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rFonts w:ascii="Times New Roman" w:cs="Times New Roman" w:eastAsia="Times New Roman" w:hAnsi="Times New Roman"/>
          <w:b/>
          <w:bCs/>
          <w:color w:val="020617"/>
          <w:sz w:val="56"/>
          <w:szCs w:val="56"/>
        </w:rPr>
        <w:t xml:space="preserve">DATASPHERE INNOVATION</w:t>
      </w:r>
    </w:p>
    <w:p>
      <w:pPr>
        <w:spacing w:before="200"/>
      </w:pPr>
    </w:p>
    <w:p>
      <w:pPr>
        <w:jc w:val="center"/>
      </w:pPr>
      <w:r>
        <w:rPr>
          <w:rFonts w:ascii="Times New Roman" w:cs="Times New Roman" w:eastAsia="Times New Roman" w:hAnsi="Times New Roman"/>
          <w:color w:val="64748B"/>
          <w:sz w:val="40"/>
          <w:szCs w:val="40"/>
        </w:rPr>
        <w:t xml:space="preserve">Proposition de Fonctionnalités</w:t>
      </w:r>
    </w:p>
    <w:p>
      <w:pPr>
        <w:spacing w:before="100"/>
        <w:jc w:val="center"/>
      </w:pPr>
      <w:r>
        <w:rPr>
          <w:rFonts w:ascii="Times New Roman" w:cs="Times New Roman" w:eastAsia="Times New Roman" w:hAnsi="Times New Roman"/>
          <w:color w:val="94A3B8"/>
          <w:sz w:val="28"/>
          <w:szCs w:val="28"/>
        </w:rPr>
        <w:t xml:space="preserve">Phase 2 - Innovation &amp; Différenciation</w:t>
      </w:r>
    </w:p>
    <w:p>
      <w:pPr>
        <w:spacing w:before="3000"/>
      </w:pPr>
    </w:p>
    <w:p>
      <w:pPr>
        <w:jc w:val="center"/>
      </w:pPr>
      <w:r>
        <w:rPr>
          <w:rFonts w:ascii="Times New Roman" w:cs="Times New Roman" w:eastAsia="Times New Roman" w:hAnsi="Times New Roman"/>
          <w:color w:val="1E293B"/>
          <w:sz w:val="24"/>
          <w:szCs w:val="24"/>
        </w:rPr>
        <w:t xml:space="preserve">Plateforme Data Engineering Multi-Agent</w:t>
      </w:r>
    </w:p>
    <w:p>
      <w:pPr>
        <w:spacing w:before="100"/>
        <w:jc w:val="center"/>
      </w:pPr>
      <w:r>
        <w:rPr>
          <w:rFonts w:ascii="Times New Roman" w:cs="Times New Roman" w:eastAsia="Times New Roman" w:hAnsi="Times New Roman"/>
          <w:color w:val="64748B"/>
          <w:sz w:val="22"/>
          <w:szCs w:val="22"/>
        </w:rPr>
        <w:t xml:space="preserve">Document de Référence Stratégique</w:t>
      </w:r>
    </w:p>
    <w:p>
      <w:pPr>
        <w:spacing w:before="2000"/>
      </w:pPr>
    </w:p>
    <w:p>
      <w:pPr>
        <w:jc w:val="center"/>
      </w:pPr>
      <w:r>
        <w:rPr>
          <w:rFonts w:ascii="Times New Roman" w:cs="Times New Roman" w:eastAsia="Times New Roman" w:hAnsi="Times New Roman"/>
          <w:color w:val="94A3B8"/>
          <w:sz w:val="20"/>
          <w:szCs w:val="20"/>
        </w:rPr>
        <w:t xml:space="preserve">Version 2.0 - Janvier 2025</w:t>
      </w:r>
    </w:p>
    <w:p>
      <w:pPr>
        <w:sectPr>
          <w:pgSz w:w="11906" w:h="16838" w:orient="portrait"/>
          <w:pgMar w:top="0" w:right="0" w:bottom="0" w:left="0" w:header="708" w:footer="708" w:gutter="0"/>
          <w:pgNumType/>
          <w:docGrid w:linePitch="360"/>
        </w:sectPr>
      </w:pPr>
    </w:p>
    <w:sdt>
      <w:sdtPr>
        <w:alias w:val="Table des Matières"/>
      </w:sdtPr>
      <w:sdtContent>
        <w:p>
          <w:r>
            <w:fldChar w:fldCharType="begin" w:dirty="true"/>
            <w:instrText xml:space="preserve">TOC \h \o "1-2"</w:instrText>
            <w:fldChar w:fldCharType="separate"/>
          </w:r>
        </w:p>
        <w:p>
          <w:pPr>
            <w:pStyle w:val="9"/>
            <w:tabs>
              <w:tab w:val="right" w:leader="dot" w:pos="9026"/>
            </w:tabs>
          </w:pPr>
          <w:r>
            <w:t>1. Résumé Exécutif</w:t>
          </w:r>
          <w:r>
            <w:tab/>
          </w:r>
          <w:r>
            <w:t>1</w:t>
          </w:r>
        </w:p>
        <w:p>
          <w:pPr>
            <w:pStyle w:val="9"/>
            <w:tabs>
              <w:tab w:val="right" w:leader="dot" w:pos="9026"/>
            </w:tabs>
          </w:pPr>
          <w:r>
            <w:t>2. Data Lineage &amp; Impact Analysis</w:t>
          </w:r>
          <w:r>
            <w:tab/>
          </w:r>
          <w:r>
            <w:t>2</w:t>
          </w:r>
        </w:p>
        <w:p>
          <w:pPr>
            <w:pStyle w:val="9"/>
            <w:tabs>
              <w:tab w:val="right" w:leader="dot" w:pos="9026"/>
            </w:tabs>
          </w:pPr>
          <w:r>
            <w:t>3. AI-Powered Data Catalog</w:t>
          </w:r>
          <w:r>
            <w:tab/>
          </w:r>
          <w:r>
            <w:t>4</w:t>
          </w:r>
        </w:p>
        <w:p>
          <w:pPr>
            <w:pStyle w:val="9"/>
            <w:tabs>
              <w:tab w:val="right" w:leader="dot" w:pos="9026"/>
            </w:tabs>
          </w:pPr>
          <w:r>
            <w:t>4. Real-time Data Streaming</w:t>
          </w:r>
          <w:r>
            <w:tab/>
          </w:r>
          <w:r>
            <w:t>5</w:t>
          </w:r>
        </w:p>
        <w:p>
          <w:pPr>
            <w:pStyle w:val="9"/>
            <w:tabs>
              <w:tab w:val="right" w:leader="dot" w:pos="9026"/>
            </w:tabs>
          </w:pPr>
          <w:r>
            <w:t>5. Data Mesh Architecture Support</w:t>
          </w:r>
          <w:r>
            <w:tab/>
          </w:r>
          <w:r>
            <w:t>7</w:t>
          </w:r>
        </w:p>
        <w:p>
          <w:pPr>
            <w:pStyle w:val="9"/>
            <w:tabs>
              <w:tab w:val="right" w:leader="dot" w:pos="9026"/>
            </w:tabs>
          </w:pPr>
          <w:r>
            <w:t>6. Espace Collaboratif pour Équipes Data</w:t>
          </w:r>
          <w:r>
            <w:tab/>
          </w:r>
          <w:r>
            <w:t>8</w:t>
          </w:r>
        </w:p>
        <w:p>
          <w:pPr>
            <w:pStyle w:val="9"/>
            <w:tabs>
              <w:tab w:val="right" w:leader="dot" w:pos="9026"/>
            </w:tabs>
          </w:pPr>
          <w:r>
            <w:t>7. Security &amp; Compliance Center</w:t>
          </w:r>
          <w:r>
            <w:tab/>
          </w:r>
          <w:r>
            <w:t>9</w:t>
          </w:r>
        </w:p>
        <w:p>
          <w:pPr>
            <w:pStyle w:val="9"/>
            <w:tabs>
              <w:tab w:val="right" w:leader="dot" w:pos="9026"/>
            </w:tabs>
          </w:pPr>
          <w:r>
            <w:t>8. Integration Hub &amp; iPaaS</w:t>
          </w:r>
          <w:r>
            <w:tab/>
          </w:r>
          <w:r>
            <w:t>11</w:t>
          </w:r>
        </w:p>
        <w:p>
          <w:pPr>
            <w:pStyle w:val="9"/>
            <w:tabs>
              <w:tab w:val="right" w:leader="dot" w:pos="9026"/>
            </w:tabs>
          </w:pPr>
          <w:r>
            <w:t>9. Customer Success Platform</w:t>
          </w:r>
          <w:r>
            <w:tab/>
          </w:r>
          <w:r>
            <w:t>12</w:t>
          </w:r>
        </w:p>
        <w:p>
          <w:pPr>
            <w:pStyle w:val="9"/>
            <w:tabs>
              <w:tab w:val="right" w:leader="dot" w:pos="9026"/>
            </w:tabs>
          </w:pPr>
          <w:r>
            <w:t>10. Roadmap d'Implémentation</w:t>
          </w:r>
          <w:r>
            <w:tab/>
          </w:r>
          <w:r>
            <w:t>13</w:t>
          </w:r>
        </w:p>
        <w:p>
          <w:pPr>
            <w:pStyle w:val="9"/>
            <w:tabs>
              <w:tab w:val="right" w:leader="dot" w:pos="9026"/>
            </w:tabs>
          </w:pPr>
          <w:r>
            <w:t>11. Synthèse de l'Investissement</w:t>
          </w:r>
          <w:r>
            <w:tab/>
          </w:r>
          <w:r>
            <w:t>14</w:t>
          </w:r>
        </w:p>
        <w:p>
          <w:r>
            <w:fldChar w:fldCharType="end"/>
          </w:r>
        </w:p>
      </w:sdtContent>
    </w:sdt>
    <w:p>
      <w:pPr>
        <w:spacing w:after="300"/>
        <w:jc w:val="center"/>
      </w:pPr>
      <w:r>
        <w:rPr>
          <w:rFonts w:ascii="Times New Roman" w:cs="Times New Roman" w:eastAsia="Times New Roman" w:hAnsi="Times New Roman"/>
          <w:i/>
          <w:iCs/>
          <w:color w:val="999999"/>
          <w:sz w:val="18"/>
          <w:szCs w:val="18"/>
        </w:rPr>
        <w:t xml:space="preserve">Note: Clic droit sur la table → « Mettre à jour le champ » pour actualiser les numéros de page</w:t>
      </w:r>
    </w:p>
    <w:p>
      <w:r>
        <w:br w:type="page"/>
      </w:r>
    </w:p>
    <w:p>
      <w:pPr>
        <w:pStyle w:val="Heading1"/>
        <w:spacing w:after="200" w:before="400"/>
      </w:pPr>
      <w:r>
        <w:rPr>
          <w:rFonts w:ascii="Times New Roman" w:cs="Times New Roman" w:eastAsia="Times New Roman" w:hAnsi="Times New Roman"/>
          <w:b/>
          <w:bCs/>
          <w:color w:val="020617"/>
          <w:sz w:val="36"/>
          <w:szCs w:val="36"/>
        </w:rPr>
        <w:t xml:space="preserve">1. Résumé Exécutif</w:t>
      </w:r>
    </w:p>
    <w:p>
      <w:pPr>
        <w:spacing w:after="150" w:line="250"/>
        <w:jc w:val="both"/>
      </w:pPr>
      <w:r>
        <w:rPr>
          <w:rFonts w:ascii="Times New Roman" w:cs="Times New Roman" w:eastAsia="Times New Roman" w:hAnsi="Times New Roman"/>
          <w:color w:val="1E293B"/>
          <w:sz w:val="22"/>
          <w:szCs w:val="22"/>
        </w:rPr>
        <w:t xml:space="preserve">DataSphere Innovation a atteint une maturité commerciale significative avec le déploiement de la Phase 1, incluant le système de billing Stripe, l'authentification SSO Enterprise, plus de 35 connecteurs multi-secteurs, et une API publique complète. La plateforme dispose désormais d'une infrastructure solide permettant d'envisager des fonctionnalités avancées pour se différencier sur le marché concurrentiel du Data Engineering as a Service.</w:t>
      </w:r>
    </w:p>
    <w:p>
      <w:pPr>
        <w:spacing w:after="150" w:line="250"/>
        <w:jc w:val="both"/>
      </w:pPr>
      <w:r>
        <w:rPr>
          <w:rFonts w:ascii="Times New Roman" w:cs="Times New Roman" w:eastAsia="Times New Roman" w:hAnsi="Times New Roman"/>
          <w:color w:val="1E293B"/>
          <w:sz w:val="22"/>
          <w:szCs w:val="22"/>
        </w:rPr>
        <w:t xml:space="preserve">Ce document présente huit propositions de fonctionnalités stratégiques pour la Phase 2, conçues pour renforcer la proposition de valeur unique de DataSphere Innovation : « La seule plateforme qui génère une stack data complète en 1 clic, avec architecture, pipelines, transformations et dashboards prêts à déployer ». Ces fonctionnalités visent à améliorer la productivité des utilisateurs, renforcer la sécurité enterprise, et créer de nouvelles sources de revenus.</w:t>
      </w:r>
    </w:p>
    <w:p>
      <w:pPr>
        <w:spacing w:after="200"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Borders>
              <w:top w:val="single" w:color="020617" w:sz="12"/>
              <w:left w:val="none"/>
              <w:bottom w:val="single" w:color="020617" w:sz="12"/>
              <w:right w:val="none"/>
            </w:tcBorders>
            <w:shd w:fill="F8FAFC" w:val="clear"/>
            <w:vAlign w:val="center"/>
          </w:tcPr>
          <w:p>
            <w:pPr>
              <w:jc w:val="center"/>
            </w:pPr>
            <w:r>
              <w:rPr>
                <w:rFonts w:ascii="Times New Roman" w:cs="Times New Roman" w:eastAsia="Times New Roman" w:hAnsi="Times New Roman"/>
                <w:b/>
                <w:bCs/>
                <w:sz w:val="22"/>
                <w:szCs w:val="22"/>
              </w:rPr>
              <w:t xml:space="preserve">Indicateur</w:t>
            </w:r>
          </w:p>
        </w:tc>
        <w:tc>
          <w:tcPr>
            <w:tcBorders>
              <w:top w:val="single" w:color="020617" w:sz="12"/>
              <w:left w:val="none"/>
              <w:bottom w:val="single" w:color="020617" w:sz="12"/>
              <w:right w:val="none"/>
            </w:tcBorders>
            <w:shd w:fill="F8FAFC" w:val="clear"/>
            <w:vAlign w:val="center"/>
          </w:tcPr>
          <w:p>
            <w:pPr>
              <w:jc w:val="center"/>
            </w:pPr>
            <w:r>
              <w:rPr>
                <w:rFonts w:ascii="Times New Roman" w:cs="Times New Roman" w:eastAsia="Times New Roman" w:hAnsi="Times New Roman"/>
                <w:b/>
                <w:bCs/>
                <w:sz w:val="22"/>
                <w:szCs w:val="22"/>
              </w:rPr>
              <w:t xml:space="preserve">Objectif Phase 2</w:t>
            </w:r>
          </w:p>
        </w:tc>
      </w:tr>
      <w:tr>
        <w:tc>
          <w:tcPr>
            <w:tcBorders>
              <w:top w:val="single" w:color="020617" w:sz="12"/>
              <w:left w:val="none"/>
              <w:bottom w:val="single" w:color="020617" w:sz="12"/>
              <w:right w:val="none"/>
            </w:tcBorders>
          </w:tcPr>
          <w:p>
            <w:r>
              <w:rPr>
                <w:rFonts w:ascii="Times New Roman" w:cs="Times New Roman" w:eastAsia="Times New Roman" w:hAnsi="Times New Roman"/>
                <w:sz w:val="22"/>
                <w:szCs w:val="22"/>
              </w:rPr>
              <w:t xml:space="preserve">Temps de mise en production</w:t>
            </w:r>
          </w:p>
        </w:tc>
        <w:tc>
          <w:tcPr>
            <w:tcBorders>
              <w:top w:val="single" w:color="020617" w:sz="12"/>
              <w:left w:val="none"/>
              <w:bottom w:val="single" w:color="020617" w:sz="12"/>
              <w:right w:val="none"/>
            </w:tcBorders>
          </w:tcPr>
          <w:p>
            <w:pPr>
              <w:jc w:val="center"/>
            </w:pPr>
            <w:r>
              <w:rPr>
                <w:rFonts w:ascii="Times New Roman" w:cs="Times New Roman" w:eastAsia="Times New Roman" w:hAnsi="Times New Roman"/>
                <w:sz w:val="22"/>
                <w:szCs w:val="22"/>
              </w:rPr>
              <w:t xml:space="preserve">-75% (2 semaines vs 2 mois)</w:t>
            </w:r>
          </w:p>
        </w:tc>
      </w:tr>
      <w:tr>
        <w:tc>
          <w:tcPr>
            <w:tcBorders>
              <w:top w:val="single" w:color="020617" w:sz="12"/>
              <w:left w:val="none"/>
              <w:bottom w:val="single" w:color="020617" w:sz="12"/>
              <w:right w:val="none"/>
            </w:tcBorders>
          </w:tcPr>
          <w:p>
            <w:r>
              <w:rPr>
                <w:rFonts w:ascii="Times New Roman" w:cs="Times New Roman" w:eastAsia="Times New Roman" w:hAnsi="Times New Roman"/>
                <w:sz w:val="22"/>
                <w:szCs w:val="22"/>
              </w:rPr>
              <w:t xml:space="preserve">Score qualité moyen</w:t>
            </w:r>
          </w:p>
        </w:tc>
        <w:tc>
          <w:tcPr>
            <w:tcBorders>
              <w:top w:val="single" w:color="020617" w:sz="12"/>
              <w:left w:val="none"/>
              <w:bottom w:val="single" w:color="020617" w:sz="12"/>
              <w:right w:val="none"/>
            </w:tcBorders>
          </w:tcPr>
          <w:p>
            <w:pPr>
              <w:jc w:val="center"/>
            </w:pPr>
            <w:r>
              <w:rPr>
                <w:rFonts w:ascii="Times New Roman" w:cs="Times New Roman" w:eastAsia="Times New Roman" w:hAnsi="Times New Roman"/>
                <w:sz w:val="22"/>
                <w:szCs w:val="22"/>
              </w:rPr>
              <w:t xml:space="preserve">95%+ (vs 72% baseline)</w:t>
            </w:r>
          </w:p>
        </w:tc>
      </w:tr>
      <w:tr>
        <w:tc>
          <w:tcPr>
            <w:tcBorders>
              <w:top w:val="single" w:color="020617" w:sz="12"/>
              <w:left w:val="none"/>
              <w:bottom w:val="single" w:color="020617" w:sz="12"/>
              <w:right w:val="none"/>
            </w:tcBorders>
          </w:tcPr>
          <w:p>
            <w:r>
              <w:rPr>
                <w:rFonts w:ascii="Times New Roman" w:cs="Times New Roman" w:eastAsia="Times New Roman" w:hAnsi="Times New Roman"/>
                <w:sz w:val="22"/>
                <w:szCs w:val="22"/>
              </w:rPr>
              <w:t xml:space="preserve">Taux de rétention clients</w:t>
            </w:r>
          </w:p>
        </w:tc>
        <w:tc>
          <w:tcPr>
            <w:tcBorders>
              <w:top w:val="single" w:color="020617" w:sz="12"/>
              <w:left w:val="none"/>
              <w:bottom w:val="single" w:color="020617" w:sz="12"/>
              <w:right w:val="none"/>
            </w:tcBorders>
          </w:tcPr>
          <w:p>
            <w:pPr>
              <w:jc w:val="center"/>
            </w:pPr>
            <w:r>
              <w:rPr>
                <w:rFonts w:ascii="Times New Roman" w:cs="Times New Roman" w:eastAsia="Times New Roman" w:hAnsi="Times New Roman"/>
                <w:sz w:val="22"/>
                <w:szCs w:val="22"/>
              </w:rPr>
              <w:t xml:space="preserve">95%+ (vs 85% actuel)</w:t>
            </w:r>
          </w:p>
        </w:tc>
      </w:tr>
      <w:tr>
        <w:tc>
          <w:tcPr>
            <w:tcBorders>
              <w:top w:val="single" w:color="020617" w:sz="12"/>
              <w:left w:val="none"/>
              <w:bottom w:val="single" w:color="020617" w:sz="12"/>
              <w:right w:val="none"/>
            </w:tcBorders>
          </w:tcPr>
          <w:p>
            <w:r>
              <w:rPr>
                <w:rFonts w:ascii="Times New Roman" w:cs="Times New Roman" w:eastAsia="Times New Roman" w:hAnsi="Times New Roman"/>
                <w:sz w:val="22"/>
                <w:szCs w:val="22"/>
              </w:rPr>
              <w:t xml:space="preserve">ARPU (Revenue moyen)</w:t>
            </w:r>
          </w:p>
        </w:tc>
        <w:tc>
          <w:tcPr>
            <w:tcBorders>
              <w:top w:val="single" w:color="020617" w:sz="12"/>
              <w:left w:val="none"/>
              <w:bottom w:val="single" w:color="020617" w:sz="12"/>
              <w:right w:val="none"/>
            </w:tcBorders>
          </w:tcPr>
          <w:p>
            <w:pPr>
              <w:jc w:val="center"/>
            </w:pPr>
            <w:r>
              <w:rPr>
                <w:rFonts w:ascii="Times New Roman" w:cs="Times New Roman" w:eastAsia="Times New Roman" w:hAnsi="Times New Roman"/>
                <w:sz w:val="22"/>
                <w:szCs w:val="22"/>
              </w:rPr>
              <w:t xml:space="preserve">+40% via upselling</w:t>
            </w:r>
          </w:p>
        </w:tc>
      </w:tr>
    </w:tbl>
    <w:p>
      <w:pPr>
        <w:spacing w:before="100"/>
        <w:jc w:val="center"/>
      </w:pPr>
      <w:r>
        <w:rPr>
          <w:rFonts w:ascii="Times New Roman" w:cs="Times New Roman" w:eastAsia="Times New Roman" w:hAnsi="Times New Roman"/>
          <w:i/>
          <w:iCs/>
          <w:color w:val="64748B"/>
          <w:sz w:val="18"/>
          <w:szCs w:val="18"/>
        </w:rPr>
        <w:t xml:space="preserve">Tableau 1: Objectifs clés de la Phase 2</w:t>
      </w:r>
    </w:p>
    <w:p>
      <w:pPr>
        <w:pStyle w:val="Heading1"/>
        <w:spacing w:after="200" w:before="400"/>
      </w:pPr>
      <w:r>
        <w:rPr>
          <w:rFonts w:ascii="Times New Roman" w:cs="Times New Roman" w:eastAsia="Times New Roman" w:hAnsi="Times New Roman"/>
          <w:b/>
          <w:bCs/>
          <w:color w:val="020617"/>
          <w:sz w:val="36"/>
          <w:szCs w:val="36"/>
        </w:rPr>
        <w:t xml:space="preserve">2. Data Lineage &amp; Impact Analysis</w:t>
      </w:r>
    </w:p>
    <w:p>
      <w:pPr>
        <w:spacing w:after="150" w:line="250"/>
        <w:jc w:val="both"/>
      </w:pPr>
      <w:r>
        <w:rPr>
          <w:rFonts w:ascii="Times New Roman" w:cs="Times New Roman" w:eastAsia="Times New Roman" w:hAnsi="Times New Roman"/>
          <w:color w:val="1E293B"/>
          <w:sz w:val="22"/>
          <w:szCs w:val="22"/>
        </w:rPr>
        <w:t xml:space="preserve">Le Data Lineage représente une fonctionnalité critique pour les entreprises devant tracer le parcours de leurs données de la source jusqu'aux rapports finaux. Cette capacité devient indispensable dans un contexte réglementaire de plus en plus exigeant (RGPD, SOX, Bâle III) où les organisations doivent prouver l'origine et la transformation de chaque indicateur.</w:t>
      </w:r>
    </w:p>
    <w:p>
      <w:pPr>
        <w:pStyle w:val="Heading2"/>
        <w:spacing w:after="150" w:before="300"/>
      </w:pPr>
      <w:r>
        <w:rPr>
          <w:rFonts w:ascii="Times New Roman" w:cs="Times New Roman" w:eastAsia="Times New Roman" w:hAnsi="Times New Roman"/>
          <w:b/>
          <w:bCs/>
          <w:color w:val="1E293B"/>
          <w:sz w:val="28"/>
          <w:szCs w:val="28"/>
        </w:rPr>
        <w:t xml:space="preserve">2.1 Fonctionnalités Principales</w:t>
      </w:r>
    </w:p>
    <w:p>
      <w:pPr>
        <w:pStyle w:val="ListParagraph"/>
        <w:numPr>
          <w:ilvl w:val="0"/>
          <w:numId w:val="2"/>
        </w:numPr>
        <w:spacing w:after="80" w:line="250"/>
      </w:pPr>
      <w:r>
        <w:rPr>
          <w:rFonts w:ascii="Times New Roman" w:cs="Times New Roman" w:eastAsia="Times New Roman" w:hAnsi="Times New Roman"/>
          <w:color w:val="1E293B"/>
          <w:sz w:val="22"/>
          <w:szCs w:val="22"/>
        </w:rPr>
        <w:t xml:space="preserve">Visualisation graphique interactive du parcours des données avec navigation par glisser-déposer permettant d'explorer chaque étape de transformation</w:t>
      </w:r>
    </w:p>
    <w:p>
      <w:pPr>
        <w:pStyle w:val="ListParagraph"/>
        <w:numPr>
          <w:ilvl w:val="0"/>
          <w:numId w:val="2"/>
        </w:numPr>
        <w:spacing w:after="80" w:line="250"/>
      </w:pPr>
      <w:r>
        <w:rPr>
          <w:rFonts w:ascii="Times New Roman" w:cs="Times New Roman" w:eastAsia="Times New Roman" w:hAnsi="Times New Roman"/>
          <w:color w:val="1E293B"/>
          <w:sz w:val="22"/>
          <w:szCs w:val="22"/>
        </w:rPr>
        <w:t xml:space="preserve">Analyse d'impact automatisée avant modification d'un champ source : identification de tous les pipelines, modèles et dashboards affectés</w:t>
      </w:r>
    </w:p>
    <w:p>
      <w:pPr>
        <w:pStyle w:val="ListParagraph"/>
        <w:numPr>
          <w:ilvl w:val="0"/>
          <w:numId w:val="2"/>
        </w:numPr>
        <w:spacing w:after="80" w:line="250"/>
      </w:pPr>
      <w:r>
        <w:rPr>
          <w:rFonts w:ascii="Times New Roman" w:cs="Times New Roman" w:eastAsia="Times New Roman" w:hAnsi="Times New Roman"/>
          <w:color w:val="1E293B"/>
          <w:sz w:val="22"/>
          <w:szCs w:val="22"/>
        </w:rPr>
        <w:t xml:space="preserve">Traçabilité complète colonne par colonne avec historique des transformations appliquées et métadonnées associées</w:t>
      </w:r>
    </w:p>
    <w:p>
      <w:pPr>
        <w:pStyle w:val="ListParagraph"/>
        <w:numPr>
          <w:ilvl w:val="0"/>
          <w:numId w:val="2"/>
        </w:numPr>
        <w:spacing w:after="80" w:line="250"/>
      </w:pPr>
      <w:r>
        <w:rPr>
          <w:rFonts w:ascii="Times New Roman" w:cs="Times New Roman" w:eastAsia="Times New Roman" w:hAnsi="Times New Roman"/>
          <w:color w:val="1E293B"/>
          <w:sz w:val="22"/>
          <w:szCs w:val="22"/>
        </w:rPr>
        <w:t xml:space="preserve">Support natif dbt pour extraction automatique du lineage à partir des fichiers YAML et SQL du projet</w:t>
      </w:r>
    </w:p>
    <w:p>
      <w:pPr>
        <w:pStyle w:val="ListParagraph"/>
        <w:numPr>
          <w:ilvl w:val="0"/>
          <w:numId w:val="2"/>
        </w:numPr>
        <w:spacing w:after="80" w:line="250"/>
      </w:pPr>
      <w:r>
        <w:rPr>
          <w:rFonts w:ascii="Times New Roman" w:cs="Times New Roman" w:eastAsia="Times New Roman" w:hAnsi="Times New Roman"/>
          <w:color w:val="1E293B"/>
          <w:sz w:val="22"/>
          <w:szCs w:val="22"/>
        </w:rPr>
        <w:t xml:space="preserve">Export des diagrammes de lineage aux formats PNG, SVG et PDF pour documentation et présentations aux parties prenantes</w:t>
      </w:r>
    </w:p>
    <w:p>
      <w:pPr>
        <w:pStyle w:val="Heading2"/>
        <w:spacing w:after="150" w:before="300"/>
      </w:pPr>
      <w:r>
        <w:rPr>
          <w:rFonts w:ascii="Times New Roman" w:cs="Times New Roman" w:eastAsia="Times New Roman" w:hAnsi="Times New Roman"/>
          <w:b/>
          <w:bCs/>
          <w:color w:val="1E293B"/>
          <w:sz w:val="28"/>
          <w:szCs w:val="28"/>
        </w:rPr>
        <w:t xml:space="preserve">2.2 Valeur Commerciale</w:t>
      </w:r>
    </w:p>
    <w:p>
      <w:pPr>
        <w:spacing w:after="150" w:line="250"/>
        <w:jc w:val="both"/>
      </w:pPr>
      <w:r>
        <w:rPr>
          <w:rFonts w:ascii="Times New Roman" w:cs="Times New Roman" w:eastAsia="Times New Roman" w:hAnsi="Times New Roman"/>
          <w:color w:val="1E293B"/>
          <w:sz w:val="22"/>
          <w:szCs w:val="22"/>
        </w:rPr>
        <w:t xml:space="preserve">Cette fonctionnalité justifie à elle seule l'upgrade vers le plan Enterprise pour les entreprises soumises à des réglementations strictes. Elle permet de réduire les risques de non-conformité, d'accélérer les audits, et d'éviter les erreurs coûteuses lors des modifications de structure de données. L'estimation montre un gain de productivité de 60% sur les analyses d'impact manuelles.</w:t>
      </w:r>
    </w:p>
    <w:p>
      <w:pPr>
        <w:pStyle w:val="Heading2"/>
        <w:spacing w:after="150" w:before="300"/>
      </w:pPr>
      <w:r>
        <w:rPr>
          <w:rFonts w:ascii="Times New Roman" w:cs="Times New Roman" w:eastAsia="Times New Roman" w:hAnsi="Times New Roman"/>
          <w:b/>
          <w:bCs/>
          <w:color w:val="1E293B"/>
          <w:sz w:val="28"/>
          <w:szCs w:val="28"/>
        </w:rPr>
        <w:t xml:space="preserve">2.3 Estimation de Développement</w:t>
      </w:r>
    </w:p>
    <w:p>
      <w:pPr>
        <w:spacing w:after="150" w:before="15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Borders>
              <w:top w:val="single" w:color="020617" w:sz="12"/>
              <w:left w:val="none"/>
              <w:bottom w:val="single" w:color="020617" w:sz="12"/>
              <w:right w:val="none"/>
            </w:tcBorders>
            <w:shd w:fill="F8FAFC" w:val="clear"/>
          </w:tcPr>
          <w:p>
            <w:pPr>
              <w:jc w:val="center"/>
            </w:pPr>
            <w:r>
              <w:rPr>
                <w:rFonts w:ascii="Times New Roman" w:cs="Times New Roman" w:eastAsia="Times New Roman" w:hAnsi="Times New Roman"/>
                <w:b/>
                <w:bCs/>
                <w:sz w:val="22"/>
                <w:szCs w:val="22"/>
              </w:rPr>
              <w:t xml:space="preserve">Composant</w:t>
            </w:r>
          </w:p>
        </w:tc>
        <w:tc>
          <w:tcPr>
            <w:tcBorders>
              <w:top w:val="single" w:color="020617" w:sz="12"/>
              <w:left w:val="none"/>
              <w:bottom w:val="single" w:color="020617" w:sz="12"/>
              <w:right w:val="none"/>
            </w:tcBorders>
            <w:shd w:fill="F8FAFC" w:val="clear"/>
          </w:tcPr>
          <w:p>
            <w:pPr>
              <w:jc w:val="center"/>
            </w:pPr>
            <w:r>
              <w:rPr>
                <w:rFonts w:ascii="Times New Roman" w:cs="Times New Roman" w:eastAsia="Times New Roman" w:hAnsi="Times New Roman"/>
                <w:b/>
                <w:bCs/>
                <w:sz w:val="22"/>
                <w:szCs w:val="22"/>
              </w:rPr>
              <w:t xml:space="preserve">Effort (semaines)</w:t>
            </w:r>
          </w:p>
        </w:tc>
      </w:tr>
      <w:tr>
        <w:tc>
          <w:tcPr>
            <w:tcBorders>
              <w:top w:val="single" w:color="020617" w:sz="12"/>
              <w:left w:val="none"/>
              <w:bottom w:val="single" w:color="020617" w:sz="12"/>
              <w:right w:val="none"/>
            </w:tcBorders>
          </w:tcPr>
          <w:p>
            <w:r>
              <w:rPr>
                <w:rFonts w:ascii="Times New Roman" w:cs="Times New Roman" w:eastAsia="Times New Roman" w:hAnsi="Times New Roman"/>
                <w:sz w:val="22"/>
                <w:szCs w:val="22"/>
              </w:rPr>
              <w:t xml:space="preserve">Moteur de parsing dbt</w:t>
            </w:r>
          </w:p>
        </w:tc>
        <w:tc>
          <w:tcPr>
            <w:tcBorders>
              <w:top w:val="single" w:color="020617" w:sz="12"/>
              <w:left w:val="none"/>
              <w:bottom w:val="single" w:color="020617" w:sz="12"/>
              <w:right w:val="none"/>
            </w:tcBorders>
          </w:tcPr>
          <w:p>
            <w:pPr>
              <w:jc w:val="center"/>
            </w:pPr>
            <w:r>
              <w:rPr>
                <w:rFonts w:ascii="Times New Roman" w:cs="Times New Roman" w:eastAsia="Times New Roman" w:hAnsi="Times New Roman"/>
                <w:sz w:val="22"/>
                <w:szCs w:val="22"/>
              </w:rPr>
              <w:t xml:space="preserve">3 semaines</w:t>
            </w:r>
          </w:p>
        </w:tc>
      </w:tr>
      <w:tr>
        <w:tc>
          <w:tcPr>
            <w:tcBorders>
              <w:top w:val="single" w:color="020617" w:sz="12"/>
              <w:left w:val="none"/>
              <w:bottom w:val="single" w:color="020617" w:sz="12"/>
              <w:right w:val="none"/>
            </w:tcBorders>
          </w:tcPr>
          <w:p>
            <w:r>
              <w:rPr>
                <w:rFonts w:ascii="Times New Roman" w:cs="Times New Roman" w:eastAsia="Times New Roman" w:hAnsi="Times New Roman"/>
                <w:sz w:val="22"/>
                <w:szCs w:val="22"/>
              </w:rPr>
              <w:t xml:space="preserve">Interface de visualisation</w:t>
            </w:r>
          </w:p>
        </w:tc>
        <w:tc>
          <w:tcPr>
            <w:tcBorders>
              <w:top w:val="single" w:color="020617" w:sz="12"/>
              <w:left w:val="none"/>
              <w:bottom w:val="single" w:color="020617" w:sz="12"/>
              <w:right w:val="none"/>
            </w:tcBorders>
          </w:tcPr>
          <w:p>
            <w:pPr>
              <w:jc w:val="center"/>
            </w:pPr>
            <w:r>
              <w:rPr>
                <w:rFonts w:ascii="Times New Roman" w:cs="Times New Roman" w:eastAsia="Times New Roman" w:hAnsi="Times New Roman"/>
                <w:sz w:val="22"/>
                <w:szCs w:val="22"/>
              </w:rPr>
              <w:t xml:space="preserve">4 semaines</w:t>
            </w:r>
          </w:p>
        </w:tc>
      </w:tr>
      <w:tr>
        <w:tc>
          <w:tcPr>
            <w:tcBorders>
              <w:top w:val="single" w:color="020617" w:sz="12"/>
              <w:left w:val="none"/>
              <w:bottom w:val="single" w:color="020617" w:sz="12"/>
              <w:right w:val="none"/>
            </w:tcBorders>
          </w:tcPr>
          <w:p>
            <w:r>
              <w:rPr>
                <w:rFonts w:ascii="Times New Roman" w:cs="Times New Roman" w:eastAsia="Times New Roman" w:hAnsi="Times New Roman"/>
                <w:sz w:val="22"/>
                <w:szCs w:val="22"/>
              </w:rPr>
              <w:t xml:space="preserve">Analyse d'impact</w:t>
            </w:r>
          </w:p>
        </w:tc>
        <w:tc>
          <w:tcPr>
            <w:tcBorders>
              <w:top w:val="single" w:color="020617" w:sz="12"/>
              <w:left w:val="none"/>
              <w:bottom w:val="single" w:color="020617" w:sz="12"/>
              <w:right w:val="none"/>
            </w:tcBorders>
          </w:tcPr>
          <w:p>
            <w:pPr>
              <w:jc w:val="center"/>
            </w:pPr>
            <w:r>
              <w:rPr>
                <w:rFonts w:ascii="Times New Roman" w:cs="Times New Roman" w:eastAsia="Times New Roman" w:hAnsi="Times New Roman"/>
                <w:sz w:val="22"/>
                <w:szCs w:val="22"/>
              </w:rPr>
              <w:t xml:space="preserve">2 semaines</w:t>
            </w:r>
          </w:p>
        </w:tc>
      </w:tr>
      <w:tr>
        <w:tc>
          <w:tcPr>
            <w:tcBorders>
              <w:top w:val="single" w:color="020617" w:sz="12"/>
              <w:left w:val="none"/>
              <w:bottom w:val="single" w:color="020617" w:sz="12"/>
              <w:right w:val="none"/>
            </w:tcBorders>
            <w:shd w:fill="F8FAFC" w:val="clear"/>
          </w:tcPr>
          <w:p>
            <w:r>
              <w:rPr>
                <w:rFonts w:ascii="Times New Roman" w:cs="Times New Roman" w:eastAsia="Times New Roman" w:hAnsi="Times New Roman"/>
                <w:b/>
                <w:bCs/>
                <w:sz w:val="22"/>
                <w:szCs w:val="22"/>
              </w:rPr>
              <w:t xml:space="preserve">Total</w:t>
            </w:r>
          </w:p>
        </w:tc>
        <w:tc>
          <w:tcPr>
            <w:tcBorders>
              <w:top w:val="single" w:color="020617" w:sz="12"/>
              <w:left w:val="none"/>
              <w:bottom w:val="single" w:color="020617" w:sz="12"/>
              <w:right w:val="none"/>
            </w:tcBorders>
            <w:shd w:fill="F8FAFC" w:val="clear"/>
          </w:tcPr>
          <w:p>
            <w:pPr>
              <w:jc w:val="center"/>
            </w:pPr>
            <w:r>
              <w:rPr>
                <w:rFonts w:ascii="Times New Roman" w:cs="Times New Roman" w:eastAsia="Times New Roman" w:hAnsi="Times New Roman"/>
                <w:b/>
                <w:bCs/>
                <w:sz w:val="22"/>
                <w:szCs w:val="22"/>
              </w:rPr>
              <w:t xml:space="preserve">9 semaines</w:t>
            </w:r>
          </w:p>
        </w:tc>
      </w:tr>
    </w:tbl>
    <w:p>
      <w:pPr>
        <w:spacing w:before="100"/>
        <w:jc w:val="center"/>
      </w:pPr>
      <w:r>
        <w:rPr>
          <w:rFonts w:ascii="Times New Roman" w:cs="Times New Roman" w:eastAsia="Times New Roman" w:hAnsi="Times New Roman"/>
          <w:i/>
          <w:iCs/>
          <w:color w:val="64748B"/>
          <w:sz w:val="18"/>
          <w:szCs w:val="18"/>
        </w:rPr>
        <w:t xml:space="preserve">Tableau 2: Estimation Data Lineage</w:t>
      </w:r>
    </w:p>
    <w:p>
      <w:pPr>
        <w:pStyle w:val="Heading1"/>
        <w:spacing w:after="200" w:before="400"/>
      </w:pPr>
      <w:r>
        <w:rPr>
          <w:rFonts w:ascii="Times New Roman" w:cs="Times New Roman" w:eastAsia="Times New Roman" w:hAnsi="Times New Roman"/>
          <w:b/>
          <w:bCs/>
          <w:color w:val="020617"/>
          <w:sz w:val="36"/>
          <w:szCs w:val="36"/>
        </w:rPr>
        <w:t xml:space="preserve">3. AI-Powered Data Catalog</w:t>
      </w:r>
    </w:p>
    <w:p>
      <w:pPr>
        <w:spacing w:after="150" w:line="250"/>
        <w:jc w:val="both"/>
      </w:pPr>
      <w:r>
        <w:rPr>
          <w:rFonts w:ascii="Times New Roman" w:cs="Times New Roman" w:eastAsia="Times New Roman" w:hAnsi="Times New Roman"/>
          <w:color w:val="1E293B"/>
          <w:sz w:val="22"/>
          <w:szCs w:val="22"/>
        </w:rPr>
        <w:t xml:space="preserve">Le catalogue de données enrichi par intelligence artificielle transforme la découverte et la compréhension des données. Au lieu de naviguer manuellement dans des milliers de tables, les utilisateurs peuvent poser des questions en langage naturel et recevoir des suggestions pertinentes, accompagnées de descriptions automatiques et de contextes métier.</w:t>
      </w:r>
    </w:p>
    <w:p>
      <w:pPr>
        <w:pStyle w:val="Heading2"/>
        <w:spacing w:after="150" w:before="300"/>
      </w:pPr>
      <w:r>
        <w:rPr>
          <w:rFonts w:ascii="Times New Roman" w:cs="Times New Roman" w:eastAsia="Times New Roman" w:hAnsi="Times New Roman"/>
          <w:b/>
          <w:bCs/>
          <w:color w:val="1E293B"/>
          <w:sz w:val="28"/>
          <w:szCs w:val="28"/>
        </w:rPr>
        <w:t xml:space="preserve">3.1 Fonctionnalités Principales</w:t>
      </w:r>
    </w:p>
    <w:p>
      <w:pPr>
        <w:pStyle w:val="ListParagraph"/>
        <w:numPr>
          <w:ilvl w:val="0"/>
          <w:numId w:val="3"/>
        </w:numPr>
        <w:spacing w:after="80" w:line="250"/>
      </w:pPr>
      <w:r>
        <w:rPr>
          <w:rFonts w:ascii="Times New Roman" w:cs="Times New Roman" w:eastAsia="Times New Roman" w:hAnsi="Times New Roman"/>
          <w:color w:val="1E293B"/>
          <w:sz w:val="22"/>
          <w:szCs w:val="22"/>
        </w:rPr>
        <w:t xml:space="preserve">Découverte en langage naturel : recherche par questions (ex: « Quelles tables contiennent les revenus clients ? ») avec résultats contextuels et pertinents</w:t>
      </w:r>
    </w:p>
    <w:p>
      <w:pPr>
        <w:pStyle w:val="ListParagraph"/>
        <w:numPr>
          <w:ilvl w:val="0"/>
          <w:numId w:val="3"/>
        </w:numPr>
        <w:spacing w:after="80" w:line="250"/>
      </w:pPr>
      <w:r>
        <w:rPr>
          <w:rFonts w:ascii="Times New Roman" w:cs="Times New Roman" w:eastAsia="Times New Roman" w:hAnsi="Times New Roman"/>
          <w:color w:val="1E293B"/>
          <w:sz w:val="22"/>
          <w:szCs w:val="22"/>
        </w:rPr>
        <w:t xml:space="preserve">Auto-documentation intelligente générée par IA qui analyse les données échantillons et les patterns d'utilisation pour créer des descriptions précises</w:t>
      </w:r>
    </w:p>
    <w:p>
      <w:pPr>
        <w:pStyle w:val="ListParagraph"/>
        <w:numPr>
          <w:ilvl w:val="0"/>
          <w:numId w:val="3"/>
        </w:numPr>
        <w:spacing w:after="80" w:line="250"/>
      </w:pPr>
      <w:r>
        <w:rPr>
          <w:rFonts w:ascii="Times New Roman" w:cs="Times New Roman" w:eastAsia="Times New Roman" w:hAnsi="Times New Roman"/>
          <w:color w:val="1E293B"/>
          <w:sz w:val="22"/>
          <w:szCs w:val="22"/>
        </w:rPr>
        <w:t xml:space="preserve">Classification automatique des données sensibles (PII, financiers, médicaux) avec suggestions de masquage et de politiques d'accès appropriées</w:t>
      </w:r>
    </w:p>
    <w:p>
      <w:pPr>
        <w:pStyle w:val="ListParagraph"/>
        <w:numPr>
          <w:ilvl w:val="0"/>
          <w:numId w:val="3"/>
        </w:numPr>
        <w:spacing w:after="80" w:line="250"/>
      </w:pPr>
      <w:r>
        <w:rPr>
          <w:rFonts w:ascii="Times New Roman" w:cs="Times New Roman" w:eastAsia="Times New Roman" w:hAnsi="Times New Roman"/>
          <w:color w:val="1E293B"/>
          <w:sz w:val="22"/>
          <w:szCs w:val="22"/>
        </w:rPr>
        <w:t xml:space="preserve">Détection et suggestion de jointures intelligentes basées sur l'analyse des clés étrangères et des patterns de données</w:t>
      </w:r>
    </w:p>
    <w:p>
      <w:pPr>
        <w:pStyle w:val="ListParagraph"/>
        <w:numPr>
          <w:ilvl w:val="0"/>
          <w:numId w:val="3"/>
        </w:numPr>
        <w:spacing w:after="80" w:line="250"/>
      </w:pPr>
      <w:r>
        <w:rPr>
          <w:rFonts w:ascii="Times New Roman" w:cs="Times New Roman" w:eastAsia="Times New Roman" w:hAnsi="Times New Roman"/>
          <w:color w:val="1E293B"/>
          <w:sz w:val="22"/>
          <w:szCs w:val="22"/>
        </w:rPr>
        <w:t xml:space="preserve">Glossaire métier collaboratif avec définitions, propriétaires, et mapping automatique vers les colonnes correspondantes</w:t>
      </w:r>
    </w:p>
    <w:p>
      <w:pPr>
        <w:pStyle w:val="ListParagraph"/>
        <w:numPr>
          <w:ilvl w:val="0"/>
          <w:numId w:val="3"/>
        </w:numPr>
        <w:spacing w:after="80" w:line="250"/>
      </w:pPr>
      <w:r>
        <w:rPr>
          <w:rFonts w:ascii="Times New Roman" w:cs="Times New Roman" w:eastAsia="Times New Roman" w:hAnsi="Times New Roman"/>
          <w:color w:val="1E293B"/>
          <w:sz w:val="22"/>
          <w:szCs w:val="22"/>
        </w:rPr>
        <w:t xml:space="preserve">Score de popularité et de qualité pour chaque table, aidant les utilisateurs à identifier les sources les plus fiables</w:t>
      </w:r>
    </w:p>
    <w:p>
      <w:pPr>
        <w:pStyle w:val="Heading2"/>
        <w:spacing w:after="150" w:before="300"/>
      </w:pPr>
      <w:r>
        <w:rPr>
          <w:rFonts w:ascii="Times New Roman" w:cs="Times New Roman" w:eastAsia="Times New Roman" w:hAnsi="Times New Roman"/>
          <w:b/>
          <w:bCs/>
          <w:color w:val="1E293B"/>
          <w:sz w:val="28"/>
          <w:szCs w:val="28"/>
        </w:rPr>
        <w:t xml:space="preserve">3.2 Architecture Technique</w:t>
      </w:r>
    </w:p>
    <w:p>
      <w:pPr>
        <w:spacing w:after="150" w:line="250"/>
        <w:jc w:val="both"/>
      </w:pPr>
      <w:r>
        <w:rPr>
          <w:rFonts w:ascii="Times New Roman" w:cs="Times New Roman" w:eastAsia="Times New Roman" w:hAnsi="Times New Roman"/>
          <w:color w:val="1E293B"/>
          <w:sz w:val="22"/>
          <w:szCs w:val="22"/>
        </w:rPr>
        <w:t xml:space="preserve">Le catalogue s'appuie sur un pipeline d'enrichissement qui scanne régulièrement les sources connectées. Un moteur NLP analyse les schémas, les données échantillons et les requêtes historiques pour générer des métadonnées enrichies. L'index vectoriel permet des recherches sémantiques rapides même sur des catalogues de plusieurs milliers de tables.</w:t>
      </w:r>
    </w:p>
    <w:p>
      <w:pPr>
        <w:pStyle w:val="Heading2"/>
        <w:spacing w:after="150" w:before="300"/>
      </w:pPr>
      <w:r>
        <w:rPr>
          <w:rFonts w:ascii="Times New Roman" w:cs="Times New Roman" w:eastAsia="Times New Roman" w:hAnsi="Times New Roman"/>
          <w:b/>
          <w:bCs/>
          <w:color w:val="1E293B"/>
          <w:sz w:val="28"/>
          <w:szCs w:val="28"/>
        </w:rPr>
        <w:t xml:space="preserve">3.3 Impact Business</w:t>
      </w:r>
    </w:p>
    <w:p>
      <w:pPr>
        <w:spacing w:after="150" w:line="250"/>
        <w:jc w:val="both"/>
      </w:pPr>
      <w:r>
        <w:rPr>
          <w:rFonts w:ascii="Times New Roman" w:cs="Times New Roman" w:eastAsia="Times New Roman" w:hAnsi="Times New Roman"/>
          <w:color w:val="1E293B"/>
          <w:sz w:val="22"/>
          <w:szCs w:val="22"/>
        </w:rPr>
        <w:t xml:space="preserve">Les études montrent que les data scientists passent 80% de leur temps à rechercher et préparer les données. Le catalogue IA réduit ce temps à 20%, libérant du temps pour l'analyse à valeur ajoutée. Cette fonctionnalité est particulièrement appréciée des équipes data dispersed et des nouveaux arrivants nécessitant une montée en compétences rapide sur l'environnement de données.</w:t>
      </w:r>
    </w:p>
    <w:p>
      <w:pPr>
        <w:pStyle w:val="Heading1"/>
        <w:spacing w:after="200" w:before="400"/>
      </w:pPr>
      <w:r>
        <w:rPr>
          <w:rFonts w:ascii="Times New Roman" w:cs="Times New Roman" w:eastAsia="Times New Roman" w:hAnsi="Times New Roman"/>
          <w:b/>
          <w:bCs/>
          <w:color w:val="020617"/>
          <w:sz w:val="36"/>
          <w:szCs w:val="36"/>
        </w:rPr>
        <w:t xml:space="preserve">4. Real-time Data Streaming</w:t>
      </w:r>
    </w:p>
    <w:p>
      <w:pPr>
        <w:spacing w:after="150" w:line="250"/>
        <w:jc w:val="both"/>
      </w:pPr>
      <w:r>
        <w:rPr>
          <w:rFonts w:ascii="Times New Roman" w:cs="Times New Roman" w:eastAsia="Times New Roman" w:hAnsi="Times New Roman"/>
          <w:color w:val="1E293B"/>
          <w:sz w:val="22"/>
          <w:szCs w:val="22"/>
        </w:rPr>
        <w:t xml:space="preserve">Le support natif du streaming temps réel permet de capturer, transformer et livrer des données en mouvement. Cette capacité devient essentielle pour les cas d'usage modernes : détection de fraude en temps réel, personnalisation e-commerce instantanée, monitoring IoT, et alertes métier critiques.</w:t>
      </w:r>
    </w:p>
    <w:p>
      <w:pPr>
        <w:pStyle w:val="Heading2"/>
        <w:spacing w:after="150" w:before="300"/>
      </w:pPr>
      <w:r>
        <w:rPr>
          <w:rFonts w:ascii="Times New Roman" w:cs="Times New Roman" w:eastAsia="Times New Roman" w:hAnsi="Times New Roman"/>
          <w:b/>
          <w:bCs/>
          <w:color w:val="1E293B"/>
          <w:sz w:val="28"/>
          <w:szCs w:val="28"/>
        </w:rPr>
        <w:t xml:space="preserve">4.1 Sources et Destinations Supportées</w:t>
      </w:r>
    </w:p>
    <w:p>
      <w:pPr>
        <w:pStyle w:val="ListParagraph"/>
        <w:numPr>
          <w:ilvl w:val="0"/>
          <w:numId w:val="4"/>
        </w:numPr>
        <w:spacing w:after="80" w:line="250"/>
      </w:pPr>
      <w:r>
        <w:rPr>
          <w:rFonts w:ascii="Times New Roman" w:cs="Times New Roman" w:eastAsia="Times New Roman" w:hAnsi="Times New Roman"/>
          <w:color w:val="1E293B"/>
          <w:sz w:val="22"/>
          <w:szCs w:val="22"/>
        </w:rPr>
        <w:t xml:space="preserve">Kafka et Confluent Cloud pour l'ingestion de flux haute performance avec support des partitions et consommateur groups</w:t>
      </w:r>
    </w:p>
    <w:p>
      <w:pPr>
        <w:pStyle w:val="ListParagraph"/>
        <w:numPr>
          <w:ilvl w:val="0"/>
          <w:numId w:val="4"/>
        </w:numPr>
        <w:spacing w:after="80" w:line="250"/>
      </w:pPr>
      <w:r>
        <w:rPr>
          <w:rFonts w:ascii="Times New Roman" w:cs="Times New Roman" w:eastAsia="Times New Roman" w:hAnsi="Times New Roman"/>
          <w:color w:val="1E293B"/>
          <w:sz w:val="22"/>
          <w:szCs w:val="22"/>
        </w:rPr>
        <w:t xml:space="preserve">Amazon Kinesis et Azure Event Hubs pour l'intégration native cloud avec rétention configurable</w:t>
      </w:r>
    </w:p>
    <w:p>
      <w:pPr>
        <w:pStyle w:val="ListParagraph"/>
        <w:numPr>
          <w:ilvl w:val="0"/>
          <w:numId w:val="4"/>
        </w:numPr>
        <w:spacing w:after="80" w:line="250"/>
      </w:pPr>
      <w:r>
        <w:rPr>
          <w:rFonts w:ascii="Times New Roman" w:cs="Times New Roman" w:eastAsia="Times New Roman" w:hAnsi="Times New Roman"/>
          <w:color w:val="1E293B"/>
          <w:sz w:val="22"/>
          <w:szCs w:val="22"/>
        </w:rPr>
        <w:t xml:space="preserve">Google Pub/Sub et Pulsar pour les architectures multi-cloud et hybrides</w:t>
      </w:r>
    </w:p>
    <w:p>
      <w:pPr>
        <w:pStyle w:val="ListParagraph"/>
        <w:numPr>
          <w:ilvl w:val="0"/>
          <w:numId w:val="4"/>
        </w:numPr>
        <w:spacing w:after="80" w:line="250"/>
      </w:pPr>
      <w:r>
        <w:rPr>
          <w:rFonts w:ascii="Times New Roman" w:cs="Times New Roman" w:eastAsia="Times New Roman" w:hAnsi="Times New Roman"/>
          <w:color w:val="1E293B"/>
          <w:sz w:val="22"/>
          <w:szCs w:val="22"/>
        </w:rPr>
        <w:t xml:space="preserve">Webhooks entrants pour capturer des événements d'applications tierces sans infrastructure de streaming</w:t>
      </w:r>
    </w:p>
    <w:p>
      <w:pPr>
        <w:pStyle w:val="ListParagraph"/>
        <w:numPr>
          <w:ilvl w:val="0"/>
          <w:numId w:val="4"/>
        </w:numPr>
        <w:spacing w:after="80" w:line="250"/>
      </w:pPr>
      <w:r>
        <w:rPr>
          <w:rFonts w:ascii="Times New Roman" w:cs="Times New Roman" w:eastAsia="Times New Roman" w:hAnsi="Times New Roman"/>
          <w:color w:val="1E293B"/>
          <w:sz w:val="22"/>
          <w:szCs w:val="22"/>
        </w:rPr>
        <w:t xml:space="preserve">CDC (Change Data Capture) depuis PostgreSQL, MySQL, MongoDB pour répliquer les modifications en temps réel</w:t>
      </w:r>
    </w:p>
    <w:p>
      <w:pPr>
        <w:pStyle w:val="Heading2"/>
        <w:spacing w:after="150" w:before="300"/>
      </w:pPr>
      <w:r>
        <w:rPr>
          <w:rFonts w:ascii="Times New Roman" w:cs="Times New Roman" w:eastAsia="Times New Roman" w:hAnsi="Times New Roman"/>
          <w:b/>
          <w:bCs/>
          <w:color w:val="1E293B"/>
          <w:sz w:val="28"/>
          <w:szCs w:val="28"/>
        </w:rPr>
        <w:t xml:space="preserve">4.2 Capacités de Traitement</w:t>
      </w:r>
    </w:p>
    <w:p>
      <w:pPr>
        <w:spacing w:after="150" w:line="250"/>
        <w:jc w:val="both"/>
      </w:pPr>
      <w:r>
        <w:rPr>
          <w:rFonts w:ascii="Times New Roman" w:cs="Times New Roman" w:eastAsia="Times New Roman" w:hAnsi="Times New Roman"/>
          <w:color w:val="1E293B"/>
          <w:sz w:val="22"/>
          <w:szCs w:val="22"/>
        </w:rPr>
        <w:t xml:space="preserve">Le moteur de traitement supporte les fenêtres temporelles (tumbling, sliding, session), les jointures stream-to-stream et stream-to-table, les agrégations continues, et les détections de patterns complexes (CEP). Les transformations sont définies visuellement dans le builder et déployées automatiquement vers l'environnement cible.</w:t>
      </w:r>
    </w:p>
    <w:p>
      <w:pPr>
        <w:pStyle w:val="Heading2"/>
        <w:spacing w:after="150" w:before="300"/>
      </w:pPr>
      <w:r>
        <w:rPr>
          <w:rFonts w:ascii="Times New Roman" w:cs="Times New Roman" w:eastAsia="Times New Roman" w:hAnsi="Times New Roman"/>
          <w:b/>
          <w:bCs/>
          <w:color w:val="1E293B"/>
          <w:sz w:val="28"/>
          <w:szCs w:val="28"/>
        </w:rPr>
        <w:t xml:space="preserve">4.3 Cas d'Usage Types</w:t>
      </w:r>
    </w:p>
    <w:p>
      <w:pPr>
        <w:spacing w:after="150" w:before="15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Borders>
              <w:top w:val="single" w:color="020617" w:sz="12"/>
              <w:left w:val="none"/>
              <w:bottom w:val="single" w:color="020617" w:sz="12"/>
              <w:right w:val="none"/>
            </w:tcBorders>
            <w:shd w:fill="F8FAFC" w:val="clear"/>
          </w:tcPr>
          <w:p>
            <w:pPr>
              <w:jc w:val="center"/>
            </w:pPr>
            <w:r>
              <w:rPr>
                <w:rFonts w:ascii="Times New Roman" w:cs="Times New Roman" w:eastAsia="Times New Roman" w:hAnsi="Times New Roman"/>
                <w:b/>
                <w:bCs/>
                <w:sz w:val="22"/>
                <w:szCs w:val="22"/>
              </w:rPr>
              <w:t xml:space="preserve">Secteur</w:t>
            </w:r>
          </w:p>
        </w:tc>
        <w:tc>
          <w:tcPr>
            <w:tcBorders>
              <w:top w:val="single" w:color="020617" w:sz="12"/>
              <w:left w:val="none"/>
              <w:bottom w:val="single" w:color="020617" w:sz="12"/>
              <w:right w:val="none"/>
            </w:tcBorders>
            <w:shd w:fill="F8FAFC" w:val="clear"/>
          </w:tcPr>
          <w:p>
            <w:pPr>
              <w:jc w:val="center"/>
            </w:pPr>
            <w:r>
              <w:rPr>
                <w:rFonts w:ascii="Times New Roman" w:cs="Times New Roman" w:eastAsia="Times New Roman" w:hAnsi="Times New Roman"/>
                <w:b/>
                <w:bCs/>
                <w:sz w:val="22"/>
                <w:szCs w:val="22"/>
              </w:rPr>
              <w:t xml:space="preserve">Cas d'usage</w:t>
            </w:r>
          </w:p>
        </w:tc>
        <w:tc>
          <w:tcPr>
            <w:tcBorders>
              <w:top w:val="single" w:color="020617" w:sz="12"/>
              <w:left w:val="none"/>
              <w:bottom w:val="single" w:color="020617" w:sz="12"/>
              <w:right w:val="none"/>
            </w:tcBorders>
            <w:shd w:fill="F8FAFC" w:val="clear"/>
          </w:tcPr>
          <w:p>
            <w:pPr>
              <w:jc w:val="center"/>
            </w:pPr>
            <w:r>
              <w:rPr>
                <w:rFonts w:ascii="Times New Roman" w:cs="Times New Roman" w:eastAsia="Times New Roman" w:hAnsi="Times New Roman"/>
                <w:b/>
                <w:bCs/>
                <w:sz w:val="22"/>
                <w:szCs w:val="22"/>
              </w:rPr>
              <w:t xml:space="preserve">ROI estimé</w:t>
            </w:r>
          </w:p>
        </w:tc>
      </w:tr>
      <w:tr>
        <w:tc>
          <w:tcPr>
            <w:tcBorders>
              <w:top w:val="single" w:color="020617" w:sz="12"/>
              <w:left w:val="none"/>
              <w:bottom w:val="single" w:color="020617" w:sz="12"/>
              <w:right w:val="none"/>
            </w:tcBorders>
          </w:tcPr>
          <w:p>
            <w:r>
              <w:rPr>
                <w:rFonts w:ascii="Times New Roman" w:cs="Times New Roman" w:eastAsia="Times New Roman" w:hAnsi="Times New Roman"/>
                <w:sz w:val="22"/>
                <w:szCs w:val="22"/>
              </w:rPr>
              <w:t xml:space="preserve">Finance</w:t>
            </w:r>
          </w:p>
        </w:tc>
        <w:tc>
          <w:tcPr>
            <w:tcBorders>
              <w:top w:val="single" w:color="020617" w:sz="12"/>
              <w:left w:val="none"/>
              <w:bottom w:val="single" w:color="020617" w:sz="12"/>
              <w:right w:val="none"/>
            </w:tcBorders>
          </w:tcPr>
          <w:p>
            <w:r>
              <w:rPr>
                <w:rFonts w:ascii="Times New Roman" w:cs="Times New Roman" w:eastAsia="Times New Roman" w:hAnsi="Times New Roman"/>
                <w:sz w:val="22"/>
                <w:szCs w:val="22"/>
              </w:rPr>
              <w:t xml:space="preserve">Détection fraude</w:t>
            </w:r>
          </w:p>
        </w:tc>
        <w:tc>
          <w:tcPr>
            <w:tcBorders>
              <w:top w:val="single" w:color="020617" w:sz="12"/>
              <w:left w:val="none"/>
              <w:bottom w:val="single" w:color="020617" w:sz="12"/>
              <w:right w:val="none"/>
            </w:tcBorders>
          </w:tcPr>
          <w:p>
            <w:pPr>
              <w:jc w:val="center"/>
            </w:pPr>
            <w:r>
              <w:rPr>
                <w:rFonts w:ascii="Times New Roman" w:cs="Times New Roman" w:eastAsia="Times New Roman" w:hAnsi="Times New Roman"/>
                <w:sz w:val="22"/>
                <w:szCs w:val="22"/>
              </w:rPr>
              <w:t xml:space="preserve">5M€/an sauvés</w:t>
            </w:r>
          </w:p>
        </w:tc>
      </w:tr>
      <w:tr>
        <w:tc>
          <w:tcPr>
            <w:tcBorders>
              <w:top w:val="single" w:color="020617" w:sz="12"/>
              <w:left w:val="none"/>
              <w:bottom w:val="single" w:color="020617" w:sz="12"/>
              <w:right w:val="none"/>
            </w:tcBorders>
          </w:tcPr>
          <w:p>
            <w:r>
              <w:rPr>
                <w:rFonts w:ascii="Times New Roman" w:cs="Times New Roman" w:eastAsia="Times New Roman" w:hAnsi="Times New Roman"/>
                <w:sz w:val="22"/>
                <w:szCs w:val="22"/>
              </w:rPr>
              <w:t xml:space="preserve">E-commerce</w:t>
            </w:r>
          </w:p>
        </w:tc>
        <w:tc>
          <w:tcPr>
            <w:tcBorders>
              <w:top w:val="single" w:color="020617" w:sz="12"/>
              <w:left w:val="none"/>
              <w:bottom w:val="single" w:color="020617" w:sz="12"/>
              <w:right w:val="none"/>
            </w:tcBorders>
          </w:tcPr>
          <w:p>
            <w:r>
              <w:rPr>
                <w:rFonts w:ascii="Times New Roman" w:cs="Times New Roman" w:eastAsia="Times New Roman" w:hAnsi="Times New Roman"/>
                <w:sz w:val="22"/>
                <w:szCs w:val="22"/>
              </w:rPr>
              <w:t xml:space="preserve">Personnalisation live</w:t>
            </w:r>
          </w:p>
        </w:tc>
        <w:tc>
          <w:tcPr>
            <w:tcBorders>
              <w:top w:val="single" w:color="020617" w:sz="12"/>
              <w:left w:val="none"/>
              <w:bottom w:val="single" w:color="020617" w:sz="12"/>
              <w:right w:val="none"/>
            </w:tcBorders>
          </w:tcPr>
          <w:p>
            <w:pPr>
              <w:jc w:val="center"/>
            </w:pPr>
            <w:r>
              <w:rPr>
                <w:rFonts w:ascii="Times New Roman" w:cs="Times New Roman" w:eastAsia="Times New Roman" w:hAnsi="Times New Roman"/>
                <w:sz w:val="22"/>
                <w:szCs w:val="22"/>
              </w:rPr>
              <w:t xml:space="preserve">+15% conversion</w:t>
            </w:r>
          </w:p>
        </w:tc>
      </w:tr>
      <w:tr>
        <w:tc>
          <w:tcPr>
            <w:tcBorders>
              <w:top w:val="single" w:color="020617" w:sz="12"/>
              <w:left w:val="none"/>
              <w:bottom w:val="single" w:color="020617" w:sz="12"/>
              <w:right w:val="none"/>
            </w:tcBorders>
          </w:tcPr>
          <w:p>
            <w:r>
              <w:rPr>
                <w:rFonts w:ascii="Times New Roman" w:cs="Times New Roman" w:eastAsia="Times New Roman" w:hAnsi="Times New Roman"/>
                <w:sz w:val="22"/>
                <w:szCs w:val="22"/>
              </w:rPr>
              <w:t xml:space="preserve">Industrie</w:t>
            </w:r>
          </w:p>
        </w:tc>
        <w:tc>
          <w:tcPr>
            <w:tcBorders>
              <w:top w:val="single" w:color="020617" w:sz="12"/>
              <w:left w:val="none"/>
              <w:bottom w:val="single" w:color="020617" w:sz="12"/>
              <w:right w:val="none"/>
            </w:tcBorders>
          </w:tcPr>
          <w:p>
            <w:r>
              <w:rPr>
                <w:rFonts w:ascii="Times New Roman" w:cs="Times New Roman" w:eastAsia="Times New Roman" w:hAnsi="Times New Roman"/>
                <w:sz w:val="22"/>
                <w:szCs w:val="22"/>
              </w:rPr>
              <w:t xml:space="preserve">Maintenance prédictive</w:t>
            </w:r>
          </w:p>
        </w:tc>
        <w:tc>
          <w:tcPr>
            <w:tcBorders>
              <w:top w:val="single" w:color="020617" w:sz="12"/>
              <w:left w:val="none"/>
              <w:bottom w:val="single" w:color="020617" w:sz="12"/>
              <w:right w:val="none"/>
            </w:tcBorders>
          </w:tcPr>
          <w:p>
            <w:pPr>
              <w:jc w:val="center"/>
            </w:pPr>
            <w:r>
              <w:rPr>
                <w:rFonts w:ascii="Times New Roman" w:cs="Times New Roman" w:eastAsia="Times New Roman" w:hAnsi="Times New Roman"/>
                <w:sz w:val="22"/>
                <w:szCs w:val="22"/>
              </w:rPr>
              <w:t xml:space="preserve">-30% arrêts</w:t>
            </w:r>
          </w:p>
        </w:tc>
      </w:tr>
    </w:tbl>
    <w:p>
      <w:pPr>
        <w:spacing w:before="100"/>
        <w:jc w:val="center"/>
      </w:pPr>
      <w:r>
        <w:rPr>
          <w:rFonts w:ascii="Times New Roman" w:cs="Times New Roman" w:eastAsia="Times New Roman" w:hAnsi="Times New Roman"/>
          <w:i/>
          <w:iCs/>
          <w:color w:val="64748B"/>
          <w:sz w:val="18"/>
          <w:szCs w:val="18"/>
        </w:rPr>
        <w:t xml:space="preserve">Tableau 3: Cas d'usage streaming par secteur</w:t>
      </w:r>
    </w:p>
    <w:p>
      <w:pPr>
        <w:pStyle w:val="Heading1"/>
        <w:spacing w:after="200" w:before="400"/>
      </w:pPr>
      <w:r>
        <w:rPr>
          <w:rFonts w:ascii="Times New Roman" w:cs="Times New Roman" w:eastAsia="Times New Roman" w:hAnsi="Times New Roman"/>
          <w:b/>
          <w:bCs/>
          <w:color w:val="020617"/>
          <w:sz w:val="36"/>
          <w:szCs w:val="36"/>
        </w:rPr>
        <w:t xml:space="preserve">5. Data Mesh Architecture Support</w:t>
      </w:r>
    </w:p>
    <w:p>
      <w:pPr>
        <w:spacing w:after="150" w:line="250"/>
        <w:jc w:val="both"/>
      </w:pPr>
      <w:r>
        <w:rPr>
          <w:rFonts w:ascii="Times New Roman" w:cs="Times New Roman" w:eastAsia="Times New Roman" w:hAnsi="Times New Roman"/>
          <w:color w:val="1E293B"/>
          <w:sz w:val="22"/>
          <w:szCs w:val="22"/>
        </w:rPr>
        <w:t xml:space="preserve">Le Data Mesh représente un changement de paradigme dans l'organisation des données d'entreprise. Plutôt qu'une architecture centralisée, le mesh promeut des domaines de données autonomes, chacun responsable de ses propres produits de données. DataSphere Innovation devient l'environnement de gouvernance et de fédération de ce mesh.</w:t>
      </w:r>
    </w:p>
    <w:p>
      <w:pPr>
        <w:pStyle w:val="Heading2"/>
        <w:spacing w:after="150" w:before="300"/>
      </w:pPr>
      <w:r>
        <w:rPr>
          <w:rFonts w:ascii="Times New Roman" w:cs="Times New Roman" w:eastAsia="Times New Roman" w:hAnsi="Times New Roman"/>
          <w:b/>
          <w:bCs/>
          <w:color w:val="1E293B"/>
          <w:sz w:val="28"/>
          <w:szCs w:val="28"/>
        </w:rPr>
        <w:t xml:space="preserve">5.1 Fonctionnalités Clés</w:t>
      </w:r>
    </w:p>
    <w:p>
      <w:pPr>
        <w:pStyle w:val="ListParagraph"/>
        <w:numPr>
          <w:ilvl w:val="0"/>
          <w:numId w:val="5"/>
        </w:numPr>
        <w:spacing w:after="80" w:line="250"/>
      </w:pPr>
      <w:r>
        <w:rPr>
          <w:rFonts w:ascii="Times New Roman" w:cs="Times New Roman" w:eastAsia="Times New Roman" w:hAnsi="Times New Roman"/>
          <w:color w:val="1E293B"/>
          <w:sz w:val="22"/>
          <w:szCs w:val="22"/>
        </w:rPr>
        <w:t xml:space="preserve">Domaines de données autonomes avec isolation complète des ressources, des permissions et des pipelines par équipe métier</w:t>
      </w:r>
    </w:p>
    <w:p>
      <w:pPr>
        <w:pStyle w:val="ListParagraph"/>
        <w:numPr>
          <w:ilvl w:val="0"/>
          <w:numId w:val="5"/>
        </w:numPr>
        <w:spacing w:after="80" w:line="250"/>
      </w:pPr>
      <w:r>
        <w:rPr>
          <w:rFonts w:ascii="Times New Roman" w:cs="Times New Roman" w:eastAsia="Times New Roman" w:hAnsi="Times New Roman"/>
          <w:color w:val="1E293B"/>
          <w:sz w:val="22"/>
          <w:szCs w:val="22"/>
        </w:rPr>
        <w:t xml:space="preserve">Contrats de données formalisés entre domaines avec versioning, SLA, et validation automatique de la conformité</w:t>
      </w:r>
    </w:p>
    <w:p>
      <w:pPr>
        <w:pStyle w:val="ListParagraph"/>
        <w:numPr>
          <w:ilvl w:val="0"/>
          <w:numId w:val="5"/>
        </w:numPr>
        <w:spacing w:after="80" w:line="250"/>
      </w:pPr>
      <w:r>
        <w:rPr>
          <w:rFonts w:ascii="Times New Roman" w:cs="Times New Roman" w:eastAsia="Times New Roman" w:hAnsi="Times New Roman"/>
          <w:color w:val="1E293B"/>
          <w:sz w:val="22"/>
          <w:szCs w:val="22"/>
        </w:rPr>
        <w:t xml:space="preserve">Registry central des produits de données exposant la disponibilité, la qualité et les modalités d'accès de chaque dataset</w:t>
      </w:r>
    </w:p>
    <w:p>
      <w:pPr>
        <w:pStyle w:val="ListParagraph"/>
        <w:numPr>
          <w:ilvl w:val="0"/>
          <w:numId w:val="5"/>
        </w:numPr>
        <w:spacing w:after="80" w:line="250"/>
      </w:pPr>
      <w:r>
        <w:rPr>
          <w:rFonts w:ascii="Times New Roman" w:cs="Times New Roman" w:eastAsia="Times New Roman" w:hAnsi="Times New Roman"/>
          <w:color w:val="1E293B"/>
          <w:sz w:val="22"/>
          <w:szCs w:val="22"/>
        </w:rPr>
        <w:t xml:space="preserve">Self-service marketplace permettant aux consommateurs de découvrir et demander l'accès aux produits de données</w:t>
      </w:r>
    </w:p>
    <w:p>
      <w:pPr>
        <w:pStyle w:val="ListParagraph"/>
        <w:numPr>
          <w:ilvl w:val="0"/>
          <w:numId w:val="5"/>
        </w:numPr>
        <w:spacing w:after="80" w:line="250"/>
      </w:pPr>
      <w:r>
        <w:rPr>
          <w:rFonts w:ascii="Times New Roman" w:cs="Times New Roman" w:eastAsia="Times New Roman" w:hAnsi="Times New Roman"/>
          <w:color w:val="1E293B"/>
          <w:sz w:val="22"/>
          <w:szCs w:val="22"/>
        </w:rPr>
        <w:t xml:space="preserve">Gouvernance fédérée avec politiques centralisées mais application distribuée au niveau des domaines</w:t>
      </w:r>
    </w:p>
    <w:p>
      <w:pPr>
        <w:pStyle w:val="ListParagraph"/>
        <w:numPr>
          <w:ilvl w:val="0"/>
          <w:numId w:val="5"/>
        </w:numPr>
        <w:spacing w:after="80" w:line="250"/>
      </w:pPr>
      <w:r>
        <w:rPr>
          <w:rFonts w:ascii="Times New Roman" w:cs="Times New Roman" w:eastAsia="Times New Roman" w:hAnsi="Times New Roman"/>
          <w:color w:val="1E293B"/>
          <w:sz w:val="22"/>
          <w:szCs w:val="22"/>
        </w:rPr>
        <w:t xml:space="preserve">Métriques croisées domaines pour mesurer la valeur et l'utilisation des produits de données</w:t>
      </w:r>
    </w:p>
    <w:p>
      <w:pPr>
        <w:pStyle w:val="Heading2"/>
        <w:spacing w:after="150" w:before="300"/>
      </w:pPr>
      <w:r>
        <w:rPr>
          <w:rFonts w:ascii="Times New Roman" w:cs="Times New Roman" w:eastAsia="Times New Roman" w:hAnsi="Times New Roman"/>
          <w:b/>
          <w:bCs/>
          <w:color w:val="1E293B"/>
          <w:sz w:val="28"/>
          <w:szCs w:val="28"/>
        </w:rPr>
        <w:t xml:space="preserve">5.2 Bénéfices Organisationnels</w:t>
      </w:r>
    </w:p>
    <w:p>
      <w:pPr>
        <w:spacing w:after="150" w:line="250"/>
        <w:jc w:val="both"/>
      </w:pPr>
      <w:r>
        <w:rPr>
          <w:rFonts w:ascii="Times New Roman" w:cs="Times New Roman" w:eastAsia="Times New Roman" w:hAnsi="Times New Roman"/>
          <w:color w:val="1E293B"/>
          <w:sz w:val="22"/>
          <w:szCs w:val="22"/>
        </w:rPr>
        <w:t xml:space="preserve">L'architecture Data Mesh permet de scaler le programme data avec l'organisation. Chaque domaine peut itérer à son rythme sans créer de goulot d'étranglement au niveau de l'équipe data centrale. Les contrats formalisés réduisent les ruptures de pipeline et améliorent la fiabilité globale des flux de données inter-équipes.</w:t>
      </w:r>
    </w:p>
    <w:p>
      <w:pPr>
        <w:pStyle w:val="Heading1"/>
        <w:spacing w:after="200" w:before="400"/>
      </w:pPr>
      <w:r>
        <w:rPr>
          <w:rFonts w:ascii="Times New Roman" w:cs="Times New Roman" w:eastAsia="Times New Roman" w:hAnsi="Times New Roman"/>
          <w:b/>
          <w:bCs/>
          <w:color w:val="020617"/>
          <w:sz w:val="36"/>
          <w:szCs w:val="36"/>
        </w:rPr>
        <w:t xml:space="preserve">6. Espace Collaboratif pour Équipes Data</w:t>
      </w:r>
    </w:p>
    <w:p>
      <w:pPr>
        <w:spacing w:after="150" w:line="250"/>
        <w:jc w:val="both"/>
      </w:pPr>
      <w:r>
        <w:rPr>
          <w:rFonts w:ascii="Times New Roman" w:cs="Times New Roman" w:eastAsia="Times New Roman" w:hAnsi="Times New Roman"/>
          <w:color w:val="1E293B"/>
          <w:sz w:val="22"/>
          <w:szCs w:val="22"/>
        </w:rPr>
        <w:t xml:space="preserve">Le workspace collaboratif transforme DataSphere Innovation d'un outil individuel en une plateforme d'équipe. Les fonctionnalités collaboratives permettent à plusieurs utilisateurs de travailler simultanément sur un projet, avec traçabilité complète des contributions et communication intégrée.</w:t>
      </w:r>
    </w:p>
    <w:p>
      <w:pPr>
        <w:pStyle w:val="Heading2"/>
        <w:spacing w:after="150" w:before="300"/>
      </w:pPr>
      <w:r>
        <w:rPr>
          <w:rFonts w:ascii="Times New Roman" w:cs="Times New Roman" w:eastAsia="Times New Roman" w:hAnsi="Times New Roman"/>
          <w:b/>
          <w:bCs/>
          <w:color w:val="1E293B"/>
          <w:sz w:val="28"/>
          <w:szCs w:val="28"/>
        </w:rPr>
        <w:t xml:space="preserve">6.1 Fonctionnalités de Collaboration</w:t>
      </w:r>
    </w:p>
    <w:p>
      <w:pPr>
        <w:pStyle w:val="ListParagraph"/>
        <w:numPr>
          <w:ilvl w:val="0"/>
          <w:numId w:val="6"/>
        </w:numPr>
        <w:spacing w:after="80" w:line="250"/>
      </w:pPr>
      <w:r>
        <w:rPr>
          <w:rFonts w:ascii="Times New Roman" w:cs="Times New Roman" w:eastAsia="Times New Roman" w:hAnsi="Times New Roman"/>
          <w:color w:val="1E293B"/>
          <w:sz w:val="22"/>
          <w:szCs w:val="22"/>
        </w:rPr>
        <w:t xml:space="preserve">Édition collaborative en temps réel des pipelines avec curseurs multiples et indication des utilisateurs actifs</w:t>
      </w:r>
    </w:p>
    <w:p>
      <w:pPr>
        <w:pStyle w:val="ListParagraph"/>
        <w:numPr>
          <w:ilvl w:val="0"/>
          <w:numId w:val="6"/>
        </w:numPr>
        <w:spacing w:after="80" w:line="250"/>
      </w:pPr>
      <w:r>
        <w:rPr>
          <w:rFonts w:ascii="Times New Roman" w:cs="Times New Roman" w:eastAsia="Times New Roman" w:hAnsi="Times New Roman"/>
          <w:color w:val="1E293B"/>
          <w:sz w:val="22"/>
          <w:szCs w:val="22"/>
        </w:rPr>
        <w:t xml:space="preserve">Système de commentaires et annotations sur chaque élément du projet (tables, transformations, dashboards)</w:t>
      </w:r>
    </w:p>
    <w:p>
      <w:pPr>
        <w:pStyle w:val="ListParagraph"/>
        <w:numPr>
          <w:ilvl w:val="0"/>
          <w:numId w:val="6"/>
        </w:numPr>
        <w:spacing w:after="80" w:line="250"/>
      </w:pPr>
      <w:r>
        <w:rPr>
          <w:rFonts w:ascii="Times New Roman" w:cs="Times New Roman" w:eastAsia="Times New Roman" w:hAnsi="Times New Roman"/>
          <w:color w:val="1E293B"/>
          <w:sz w:val="22"/>
          <w:szCs w:val="22"/>
        </w:rPr>
        <w:t xml:space="preserve">Workflows de revue et approbation avec notifications et tableau de bord des demandes en attente</w:t>
      </w:r>
    </w:p>
    <w:p>
      <w:pPr>
        <w:pStyle w:val="ListParagraph"/>
        <w:numPr>
          <w:ilvl w:val="0"/>
          <w:numId w:val="6"/>
        </w:numPr>
        <w:spacing w:after="80" w:line="250"/>
      </w:pPr>
      <w:r>
        <w:rPr>
          <w:rFonts w:ascii="Times New Roman" w:cs="Times New Roman" w:eastAsia="Times New Roman" w:hAnsi="Times New Roman"/>
          <w:color w:val="1E293B"/>
          <w:sz w:val="22"/>
          <w:szCs w:val="22"/>
        </w:rPr>
        <w:t xml:space="preserve">Historique complet des modifications avec possibilité de restaurer n'importe quelle version antérieure</w:t>
      </w:r>
    </w:p>
    <w:p>
      <w:pPr>
        <w:pStyle w:val="ListParagraph"/>
        <w:numPr>
          <w:ilvl w:val="0"/>
          <w:numId w:val="6"/>
        </w:numPr>
        <w:spacing w:after="80" w:line="250"/>
      </w:pPr>
      <w:r>
        <w:rPr>
          <w:rFonts w:ascii="Times New Roman" w:cs="Times New Roman" w:eastAsia="Times New Roman" w:hAnsi="Times New Roman"/>
          <w:color w:val="1E293B"/>
          <w:sz w:val="22"/>
          <w:szCs w:val="22"/>
        </w:rPr>
        <w:t xml:space="preserve">Branches et environnements isolés pour le développement et les tests avant merger en production</w:t>
      </w:r>
    </w:p>
    <w:p>
      <w:pPr>
        <w:pStyle w:val="ListParagraph"/>
        <w:numPr>
          <w:ilvl w:val="0"/>
          <w:numId w:val="6"/>
        </w:numPr>
        <w:spacing w:after="80" w:line="250"/>
      </w:pPr>
      <w:r>
        <w:rPr>
          <w:rFonts w:ascii="Times New Roman" w:cs="Times New Roman" w:eastAsia="Times New Roman" w:hAnsi="Times New Roman"/>
          <w:color w:val="1E293B"/>
          <w:sz w:val="22"/>
          <w:szCs w:val="22"/>
        </w:rPr>
        <w:t xml:space="preserve">Intégration Slack et Teams pour notifications et alertes en temps réel vers les canaux d'équipe</w:t>
      </w:r>
    </w:p>
    <w:p>
      <w:pPr>
        <w:pStyle w:val="Heading2"/>
        <w:spacing w:after="150" w:before="300"/>
      </w:pPr>
      <w:r>
        <w:rPr>
          <w:rFonts w:ascii="Times New Roman" w:cs="Times New Roman" w:eastAsia="Times New Roman" w:hAnsi="Times New Roman"/>
          <w:b/>
          <w:bCs/>
          <w:color w:val="1E293B"/>
          <w:sz w:val="28"/>
          <w:szCs w:val="28"/>
        </w:rPr>
        <w:t xml:space="preserve">6.2 Gestion des Droits</w:t>
      </w:r>
    </w:p>
    <w:p>
      <w:pPr>
        <w:spacing w:after="150" w:line="250"/>
        <w:jc w:val="both"/>
      </w:pPr>
      <w:r>
        <w:rPr>
          <w:rFonts w:ascii="Times New Roman" w:cs="Times New Roman" w:eastAsia="Times New Roman" w:hAnsi="Times New Roman"/>
          <w:color w:val="1E293B"/>
          <w:sz w:val="22"/>
          <w:szCs w:val="22"/>
        </w:rPr>
        <w:t xml:space="preserve">Le système de permissions granulaires permet de définir des rôles personnalisés par projet : Owner (tous les droits), Editor (modification sans suppression), Viewer (lecture seule), et Custom (sélection fine des permissions). Les héritages de permissions simplifient l'administration des grandes organisations.</w:t>
      </w:r>
    </w:p>
    <w:p>
      <w:pPr>
        <w:pStyle w:val="Heading1"/>
        <w:spacing w:after="200" w:before="400"/>
      </w:pPr>
      <w:r>
        <w:rPr>
          <w:rFonts w:ascii="Times New Roman" w:cs="Times New Roman" w:eastAsia="Times New Roman" w:hAnsi="Times New Roman"/>
          <w:b/>
          <w:bCs/>
          <w:color w:val="020617"/>
          <w:sz w:val="36"/>
          <w:szCs w:val="36"/>
        </w:rPr>
        <w:t xml:space="preserve">7. Security &amp; Compliance Center</w:t>
      </w:r>
    </w:p>
    <w:p>
      <w:pPr>
        <w:spacing w:after="150" w:line="250"/>
        <w:jc w:val="both"/>
      </w:pPr>
      <w:r>
        <w:rPr>
          <w:rFonts w:ascii="Times New Roman" w:cs="Times New Roman" w:eastAsia="Times New Roman" w:hAnsi="Times New Roman"/>
          <w:color w:val="1E293B"/>
          <w:sz w:val="22"/>
          <w:szCs w:val="22"/>
        </w:rPr>
        <w:t xml:space="preserve">Le centre de sécurité et conformité réunit toutes les fonctionnalités de protection des données et de preuve de conformité. Cette centralisation est essentielle pour les entreprises opérant dans des secteurs réglementés nécessitant des audits réguliers et des preuves de contrôle.</w:t>
      </w:r>
    </w:p>
    <w:p>
      <w:pPr>
        <w:pStyle w:val="Heading2"/>
        <w:spacing w:after="150" w:before="300"/>
      </w:pPr>
      <w:r>
        <w:rPr>
          <w:rFonts w:ascii="Times New Roman" w:cs="Times New Roman" w:eastAsia="Times New Roman" w:hAnsi="Times New Roman"/>
          <w:b/>
          <w:bCs/>
          <w:color w:val="1E293B"/>
          <w:sz w:val="28"/>
          <w:szCs w:val="28"/>
        </w:rPr>
        <w:t xml:space="preserve">7.1 Fonctionnalités de Sécurité</w:t>
      </w:r>
    </w:p>
    <w:p>
      <w:pPr>
        <w:pStyle w:val="ListParagraph"/>
        <w:numPr>
          <w:ilvl w:val="0"/>
          <w:numId w:val="7"/>
        </w:numPr>
        <w:spacing w:after="80" w:line="250"/>
      </w:pPr>
      <w:r>
        <w:rPr>
          <w:rFonts w:ascii="Times New Roman" w:cs="Times New Roman" w:eastAsia="Times New Roman" w:hAnsi="Times New Roman"/>
          <w:color w:val="1E293B"/>
          <w:sz w:val="22"/>
          <w:szCs w:val="22"/>
        </w:rPr>
        <w:t xml:space="preserve">Masquage dynamique des données sensibles basé sur le rôle et le contexte de l'utilisateur connecté</w:t>
      </w:r>
    </w:p>
    <w:p>
      <w:pPr>
        <w:pStyle w:val="ListParagraph"/>
        <w:numPr>
          <w:ilvl w:val="0"/>
          <w:numId w:val="7"/>
        </w:numPr>
        <w:spacing w:after="80" w:line="250"/>
      </w:pPr>
      <w:r>
        <w:rPr>
          <w:rFonts w:ascii="Times New Roman" w:cs="Times New Roman" w:eastAsia="Times New Roman" w:hAnsi="Times New Roman"/>
          <w:color w:val="1E293B"/>
          <w:sz w:val="22"/>
          <w:szCs w:val="22"/>
        </w:rPr>
        <w:t xml:space="preserve">Chiffrement de bout en bout avec gestion des clés intégrée ou BYOK (Bring Your Own Key) pour les entreprises exigentes</w:t>
      </w:r>
    </w:p>
    <w:p>
      <w:pPr>
        <w:pStyle w:val="ListParagraph"/>
        <w:numPr>
          <w:ilvl w:val="0"/>
          <w:numId w:val="7"/>
        </w:numPr>
        <w:spacing w:after="80" w:line="250"/>
      </w:pPr>
      <w:r>
        <w:rPr>
          <w:rFonts w:ascii="Times New Roman" w:cs="Times New Roman" w:eastAsia="Times New Roman" w:hAnsi="Times New Roman"/>
          <w:color w:val="1E293B"/>
          <w:sz w:val="22"/>
          <w:szCs w:val="22"/>
        </w:rPr>
        <w:t xml:space="preserve">Audit logs complets avec recherche, filtres avancés et export pour analyses forensiques et réponses aux incidents</w:t>
      </w:r>
    </w:p>
    <w:p>
      <w:pPr>
        <w:pStyle w:val="ListParagraph"/>
        <w:numPr>
          <w:ilvl w:val="0"/>
          <w:numId w:val="7"/>
        </w:numPr>
        <w:spacing w:after="80" w:line="250"/>
      </w:pPr>
      <w:r>
        <w:rPr>
          <w:rFonts w:ascii="Times New Roman" w:cs="Times New Roman" w:eastAsia="Times New Roman" w:hAnsi="Times New Roman"/>
          <w:color w:val="1E293B"/>
          <w:sz w:val="22"/>
          <w:szCs w:val="22"/>
        </w:rPr>
        <w:t xml:space="preserve">Scanner de vulnérabilités automatique sur les configurations et alertes en cas de risque détecté</w:t>
      </w:r>
    </w:p>
    <w:p>
      <w:pPr>
        <w:pStyle w:val="ListParagraph"/>
        <w:numPr>
          <w:ilvl w:val="0"/>
          <w:numId w:val="7"/>
        </w:numPr>
        <w:spacing w:after="80" w:line="250"/>
      </w:pPr>
      <w:r>
        <w:rPr>
          <w:rFonts w:ascii="Times New Roman" w:cs="Times New Roman" w:eastAsia="Times New Roman" w:hAnsi="Times New Roman"/>
          <w:color w:val="1E293B"/>
          <w:sz w:val="22"/>
          <w:szCs w:val="22"/>
        </w:rPr>
        <w:t xml:space="preserve">Gestion des secrets intégrée avec rotation automatique et intégration HashiCorp Vault et AWS Secrets Manager</w:t>
      </w:r>
    </w:p>
    <w:p>
      <w:pPr>
        <w:pStyle w:val="Heading2"/>
        <w:spacing w:after="150" w:before="300"/>
      </w:pPr>
      <w:r>
        <w:rPr>
          <w:rFonts w:ascii="Times New Roman" w:cs="Times New Roman" w:eastAsia="Times New Roman" w:hAnsi="Times New Roman"/>
          <w:b/>
          <w:bCs/>
          <w:color w:val="1E293B"/>
          <w:sz w:val="28"/>
          <w:szCs w:val="28"/>
        </w:rPr>
        <w:t xml:space="preserve">7.2 Compliance Frameworks</w:t>
      </w:r>
    </w:p>
    <w:p>
      <w:pPr>
        <w:spacing w:after="150" w:before="15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Borders>
              <w:top w:val="single" w:color="020617" w:sz="12"/>
              <w:left w:val="none"/>
              <w:bottom w:val="single" w:color="020617" w:sz="12"/>
              <w:right w:val="none"/>
            </w:tcBorders>
            <w:shd w:fill="F8FAFC" w:val="clear"/>
          </w:tcPr>
          <w:p>
            <w:pPr>
              <w:jc w:val="center"/>
            </w:pPr>
            <w:r>
              <w:rPr>
                <w:rFonts w:ascii="Times New Roman" w:cs="Times New Roman" w:eastAsia="Times New Roman" w:hAnsi="Times New Roman"/>
                <w:b/>
                <w:bCs/>
                <w:sz w:val="22"/>
                <w:szCs w:val="22"/>
              </w:rPr>
              <w:t xml:space="preserve">Framework</w:t>
            </w:r>
          </w:p>
        </w:tc>
        <w:tc>
          <w:tcPr>
            <w:tcBorders>
              <w:top w:val="single" w:color="020617" w:sz="12"/>
              <w:left w:val="none"/>
              <w:bottom w:val="single" w:color="020617" w:sz="12"/>
              <w:right w:val="none"/>
            </w:tcBorders>
            <w:shd w:fill="F8FAFC" w:val="clear"/>
          </w:tcPr>
          <w:p>
            <w:pPr>
              <w:jc w:val="center"/>
            </w:pPr>
            <w:r>
              <w:rPr>
                <w:rFonts w:ascii="Times New Roman" w:cs="Times New Roman" w:eastAsia="Times New Roman" w:hAnsi="Times New Roman"/>
                <w:b/>
                <w:bCs/>
                <w:sz w:val="22"/>
                <w:szCs w:val="22"/>
              </w:rPr>
              <w:t xml:space="preserve">Support</w:t>
            </w:r>
          </w:p>
        </w:tc>
      </w:tr>
      <w:tr>
        <w:tc>
          <w:tcPr>
            <w:tcBorders>
              <w:top w:val="single" w:color="020617" w:sz="12"/>
              <w:left w:val="none"/>
              <w:bottom w:val="single" w:color="020617" w:sz="12"/>
              <w:right w:val="none"/>
            </w:tcBorders>
          </w:tcPr>
          <w:p>
            <w:r>
              <w:rPr>
                <w:rFonts w:ascii="Times New Roman" w:cs="Times New Roman" w:eastAsia="Times New Roman" w:hAnsi="Times New Roman"/>
                <w:sz w:val="22"/>
                <w:szCs w:val="22"/>
              </w:rPr>
              <w:t xml:space="preserve">SOC 2 Type II</w:t>
            </w:r>
          </w:p>
        </w:tc>
        <w:tc>
          <w:tcPr>
            <w:tcBorders>
              <w:top w:val="single" w:color="020617" w:sz="12"/>
              <w:left w:val="none"/>
              <w:bottom w:val="single" w:color="020617" w:sz="12"/>
              <w:right w:val="none"/>
            </w:tcBorders>
          </w:tcPr>
          <w:p>
            <w:r>
              <w:rPr>
                <w:rFonts w:ascii="Times New Roman" w:cs="Times New Roman" w:eastAsia="Times New Roman" w:hAnsi="Times New Roman"/>
                <w:sz w:val="22"/>
                <w:szCs w:val="22"/>
              </w:rPr>
              <w:t xml:space="preserve">Rapports automatisés, contrôles continus</w:t>
            </w:r>
          </w:p>
        </w:tc>
      </w:tr>
      <w:tr>
        <w:tc>
          <w:tcPr>
            <w:tcBorders>
              <w:top w:val="single" w:color="020617" w:sz="12"/>
              <w:left w:val="none"/>
              <w:bottom w:val="single" w:color="020617" w:sz="12"/>
              <w:right w:val="none"/>
            </w:tcBorders>
          </w:tcPr>
          <w:p>
            <w:r>
              <w:rPr>
                <w:rFonts w:ascii="Times New Roman" w:cs="Times New Roman" w:eastAsia="Times New Roman" w:hAnsi="Times New Roman"/>
                <w:sz w:val="22"/>
                <w:szCs w:val="22"/>
              </w:rPr>
              <w:t xml:space="preserve">RGPD / CCPA</w:t>
            </w:r>
          </w:p>
        </w:tc>
        <w:tc>
          <w:tcPr>
            <w:tcBorders>
              <w:top w:val="single" w:color="020617" w:sz="12"/>
              <w:left w:val="none"/>
              <w:bottom w:val="single" w:color="020617" w:sz="12"/>
              <w:right w:val="none"/>
            </w:tcBorders>
          </w:tcPr>
          <w:p>
            <w:r>
              <w:rPr>
                <w:rFonts w:ascii="Times New Roman" w:cs="Times New Roman" w:eastAsia="Times New Roman" w:hAnsi="Times New Roman"/>
                <w:sz w:val="22"/>
                <w:szCs w:val="22"/>
              </w:rPr>
              <w:t xml:space="preserve">Mapping PII, droit à l'effacement, consentement</w:t>
            </w:r>
          </w:p>
        </w:tc>
      </w:tr>
      <w:tr>
        <w:tc>
          <w:tcPr>
            <w:tcBorders>
              <w:top w:val="single" w:color="020617" w:sz="12"/>
              <w:left w:val="none"/>
              <w:bottom w:val="single" w:color="020617" w:sz="12"/>
              <w:right w:val="none"/>
            </w:tcBorders>
          </w:tcPr>
          <w:p>
            <w:r>
              <w:rPr>
                <w:rFonts w:ascii="Times New Roman" w:cs="Times New Roman" w:eastAsia="Times New Roman" w:hAnsi="Times New Roman"/>
                <w:sz w:val="22"/>
                <w:szCs w:val="22"/>
              </w:rPr>
              <w:t xml:space="preserve">HIPAA</w:t>
            </w:r>
          </w:p>
        </w:tc>
        <w:tc>
          <w:tcPr>
            <w:tcBorders>
              <w:top w:val="single" w:color="020617" w:sz="12"/>
              <w:left w:val="none"/>
              <w:bottom w:val="single" w:color="020617" w:sz="12"/>
              <w:right w:val="none"/>
            </w:tcBorders>
          </w:tcPr>
          <w:p>
            <w:r>
              <w:rPr>
                <w:rFonts w:ascii="Times New Roman" w:cs="Times New Roman" w:eastAsia="Times New Roman" w:hAnsi="Times New Roman"/>
                <w:sz w:val="22"/>
                <w:szCs w:val="22"/>
              </w:rPr>
              <w:t xml:space="preserve">PHI tracking, BAA, access logging</w:t>
            </w:r>
          </w:p>
        </w:tc>
      </w:tr>
      <w:tr>
        <w:tc>
          <w:tcPr>
            <w:tcBorders>
              <w:top w:val="single" w:color="020617" w:sz="12"/>
              <w:left w:val="none"/>
              <w:bottom w:val="single" w:color="020617" w:sz="12"/>
              <w:right w:val="none"/>
            </w:tcBorders>
          </w:tcPr>
          <w:p>
            <w:r>
              <w:rPr>
                <w:rFonts w:ascii="Times New Roman" w:cs="Times New Roman" w:eastAsia="Times New Roman" w:hAnsi="Times New Roman"/>
                <w:sz w:val="22"/>
                <w:szCs w:val="22"/>
              </w:rPr>
              <w:t xml:space="preserve">PCI-DSS</w:t>
            </w:r>
          </w:p>
        </w:tc>
        <w:tc>
          <w:tcPr>
            <w:tcBorders>
              <w:top w:val="single" w:color="020617" w:sz="12"/>
              <w:left w:val="none"/>
              <w:bottom w:val="single" w:color="020617" w:sz="12"/>
              <w:right w:val="none"/>
            </w:tcBorders>
          </w:tcPr>
          <w:p>
            <w:r>
              <w:rPr>
                <w:rFonts w:ascii="Times New Roman" w:cs="Times New Roman" w:eastAsia="Times New Roman" w:hAnsi="Times New Roman"/>
                <w:sz w:val="22"/>
                <w:szCs w:val="22"/>
              </w:rPr>
              <w:t xml:space="preserve">Card data isolation, encryption, monitoring</w:t>
            </w:r>
          </w:p>
        </w:tc>
      </w:tr>
    </w:tbl>
    <w:p>
      <w:pPr>
        <w:spacing w:before="100"/>
        <w:jc w:val="center"/>
      </w:pPr>
      <w:r>
        <w:rPr>
          <w:rFonts w:ascii="Times New Roman" w:cs="Times New Roman" w:eastAsia="Times New Roman" w:hAnsi="Times New Roman"/>
          <w:i/>
          <w:iCs/>
          <w:color w:val="64748B"/>
          <w:sz w:val="18"/>
          <w:szCs w:val="18"/>
        </w:rPr>
        <w:t xml:space="preserve">Tableau 4: Frameworks de conformité supportés</w:t>
      </w:r>
    </w:p>
    <w:p>
      <w:pPr>
        <w:pStyle w:val="Heading1"/>
        <w:spacing w:after="200" w:before="400"/>
      </w:pPr>
      <w:r>
        <w:rPr>
          <w:rFonts w:ascii="Times New Roman" w:cs="Times New Roman" w:eastAsia="Times New Roman" w:hAnsi="Times New Roman"/>
          <w:b/>
          <w:bCs/>
          <w:color w:val="020617"/>
          <w:sz w:val="36"/>
          <w:szCs w:val="36"/>
        </w:rPr>
        <w:t xml:space="preserve">8. Integration Hub &amp; iPaaS</w:t>
      </w:r>
    </w:p>
    <w:p>
      <w:pPr>
        <w:spacing w:after="150" w:line="250"/>
        <w:jc w:val="both"/>
      </w:pPr>
      <w:r>
        <w:rPr>
          <w:rFonts w:ascii="Times New Roman" w:cs="Times New Roman" w:eastAsia="Times New Roman" w:hAnsi="Times New Roman"/>
          <w:color w:val="1E293B"/>
          <w:sz w:val="22"/>
          <w:szCs w:val="22"/>
        </w:rPr>
        <w:t xml:space="preserve">L'Integration Hub transforme DataSphere Innovation en plateforme d'intégration complète, permettant de connecter n'importe quelle application via des connecteurs préconstruits ou des webhooks personnalisés. Cette capacité étend la valeur de la plateforme au-delà du pure data engineering.</w:t>
      </w:r>
    </w:p>
    <w:p>
      <w:pPr>
        <w:pStyle w:val="Heading2"/>
        <w:spacing w:after="150" w:before="300"/>
      </w:pPr>
      <w:r>
        <w:rPr>
          <w:rFonts w:ascii="Times New Roman" w:cs="Times New Roman" w:eastAsia="Times New Roman" w:hAnsi="Times New Roman"/>
          <w:b/>
          <w:bCs/>
          <w:color w:val="1E293B"/>
          <w:sz w:val="28"/>
          <w:szCs w:val="28"/>
        </w:rPr>
        <w:t xml:space="preserve">8.1 Connecteurs Préconstruits</w:t>
      </w:r>
    </w:p>
    <w:p>
      <w:pPr>
        <w:pStyle w:val="ListParagraph"/>
        <w:numPr>
          <w:ilvl w:val="0"/>
          <w:numId w:val="8"/>
        </w:numPr>
        <w:spacing w:after="80" w:line="250"/>
      </w:pPr>
      <w:r>
        <w:rPr>
          <w:rFonts w:ascii="Times New Roman" w:cs="Times New Roman" w:eastAsia="Times New Roman" w:hAnsi="Times New Roman"/>
          <w:color w:val="1E293B"/>
          <w:sz w:val="22"/>
          <w:szCs w:val="22"/>
        </w:rPr>
        <w:t xml:space="preserve">Plus de 200 connecteurs préconstruits couvrant CRM, ERP, Marketing, Finance, HR, et applications métier verticales</w:t>
      </w:r>
    </w:p>
    <w:p>
      <w:pPr>
        <w:pStyle w:val="ListParagraph"/>
        <w:numPr>
          <w:ilvl w:val="0"/>
          <w:numId w:val="8"/>
        </w:numPr>
        <w:spacing w:after="80" w:line="250"/>
      </w:pPr>
      <w:r>
        <w:rPr>
          <w:rFonts w:ascii="Times New Roman" w:cs="Times New Roman" w:eastAsia="Times New Roman" w:hAnsi="Times New Roman"/>
          <w:color w:val="1E293B"/>
          <w:sz w:val="22"/>
          <w:szCs w:val="22"/>
        </w:rPr>
        <w:t xml:space="preserve">Connecteurs bidirectionnels permettant la lecture ET l'écriture vers les systèmes sources</w:t>
      </w:r>
    </w:p>
    <w:p>
      <w:pPr>
        <w:pStyle w:val="ListParagraph"/>
        <w:numPr>
          <w:ilvl w:val="0"/>
          <w:numId w:val="8"/>
        </w:numPr>
        <w:spacing w:after="80" w:line="250"/>
      </w:pPr>
      <w:r>
        <w:rPr>
          <w:rFonts w:ascii="Times New Roman" w:cs="Times New Roman" w:eastAsia="Times New Roman" w:hAnsi="Times New Roman"/>
          <w:color w:val="1E293B"/>
          <w:sz w:val="22"/>
          <w:szCs w:val="22"/>
        </w:rPr>
        <w:t xml:space="preserve">Authentification OAuth2 gérée avec refresh tokens automatiques et rotation sécurisée</w:t>
      </w:r>
    </w:p>
    <w:p>
      <w:pPr>
        <w:pStyle w:val="ListParagraph"/>
        <w:numPr>
          <w:ilvl w:val="0"/>
          <w:numId w:val="8"/>
        </w:numPr>
        <w:spacing w:after="80" w:line="250"/>
      </w:pPr>
      <w:r>
        <w:rPr>
          <w:rFonts w:ascii="Times New Roman" w:cs="Times New Roman" w:eastAsia="Times New Roman" w:hAnsi="Times New Roman"/>
          <w:color w:val="1E293B"/>
          <w:sz w:val="22"/>
          <w:szCs w:val="22"/>
        </w:rPr>
        <w:t xml:space="preserve">Synchronisation incrémentale avec détection automatique des modifications pour optimiser les volumes transférés</w:t>
      </w:r>
    </w:p>
    <w:p>
      <w:pPr>
        <w:pStyle w:val="ListParagraph"/>
        <w:numPr>
          <w:ilvl w:val="0"/>
          <w:numId w:val="8"/>
        </w:numPr>
        <w:spacing w:after="80" w:line="250"/>
      </w:pPr>
      <w:r>
        <w:rPr>
          <w:rFonts w:ascii="Times New Roman" w:cs="Times New Roman" w:eastAsia="Times New Roman" w:hAnsi="Times New Roman"/>
          <w:color w:val="1E293B"/>
          <w:sz w:val="22"/>
          <w:szCs w:val="22"/>
        </w:rPr>
        <w:t xml:space="preserve">Rate limiting intelligent respectant les quotas de chaque API tierce avec files d'attente et réessais</w:t>
      </w:r>
    </w:p>
    <w:p>
      <w:pPr>
        <w:pStyle w:val="Heading2"/>
        <w:spacing w:after="150" w:before="300"/>
      </w:pPr>
      <w:r>
        <w:rPr>
          <w:rFonts w:ascii="Times New Roman" w:cs="Times New Roman" w:eastAsia="Times New Roman" w:hAnsi="Times New Roman"/>
          <w:b/>
          <w:bCs/>
          <w:color w:val="1E293B"/>
          <w:sz w:val="28"/>
          <w:szCs w:val="28"/>
        </w:rPr>
        <w:t xml:space="preserve">8.2 Fonctionnalités iPaaS</w:t>
      </w:r>
    </w:p>
    <w:p>
      <w:pPr>
        <w:spacing w:after="150" w:line="250"/>
        <w:jc w:val="both"/>
      </w:pPr>
      <w:r>
        <w:rPr>
          <w:rFonts w:ascii="Times New Roman" w:cs="Times New Roman" w:eastAsia="Times New Roman" w:hAnsi="Times New Roman"/>
          <w:color w:val="1E293B"/>
          <w:sz w:val="22"/>
          <w:szCs w:val="22"/>
        </w:rPr>
        <w:t xml:space="preserve">Le module iPaaS permet de créer des workflows d'intégration complexes avec branchements conditionnels, boucles, gestion d'erreurs, et transformations en vol. Les workflows peuvent être déclenchés par événements, planification, ou appel API. Le monitoring temps réel permet de suivre chaque exécution et d'intervenir rapidement en cas d'anomalie.</w:t>
      </w:r>
    </w:p>
    <w:p>
      <w:pPr>
        <w:pStyle w:val="Heading1"/>
        <w:spacing w:after="200" w:before="400"/>
      </w:pPr>
      <w:r>
        <w:rPr>
          <w:rFonts w:ascii="Times New Roman" w:cs="Times New Roman" w:eastAsia="Times New Roman" w:hAnsi="Times New Roman"/>
          <w:b/>
          <w:bCs/>
          <w:color w:val="020617"/>
          <w:sz w:val="36"/>
          <w:szCs w:val="36"/>
        </w:rPr>
        <w:t xml:space="preserve">9. Customer Success Platform</w:t>
      </w:r>
    </w:p>
    <w:p>
      <w:pPr>
        <w:spacing w:after="150" w:line="250"/>
        <w:jc w:val="both"/>
      </w:pPr>
      <w:r>
        <w:rPr>
          <w:rFonts w:ascii="Times New Roman" w:cs="Times New Roman" w:eastAsia="Times New Roman" w:hAnsi="Times New Roman"/>
          <w:color w:val="1E293B"/>
          <w:sz w:val="22"/>
          <w:szCs w:val="22"/>
        </w:rPr>
        <w:t xml:space="preserve">La plateforme Customer Success intègre les outils nécessaires pour maximiser la valeur client et réduire le churn. En analysant les patterns d'utilisation et les comportements, le système peut identifier les clients à risque et proposer des interventions proactives.</w:t>
      </w:r>
    </w:p>
    <w:p>
      <w:pPr>
        <w:pStyle w:val="Heading2"/>
        <w:spacing w:after="150" w:before="300"/>
      </w:pPr>
      <w:r>
        <w:rPr>
          <w:rFonts w:ascii="Times New Roman" w:cs="Times New Roman" w:eastAsia="Times New Roman" w:hAnsi="Times New Roman"/>
          <w:b/>
          <w:bCs/>
          <w:color w:val="1E293B"/>
          <w:sz w:val="28"/>
          <w:szCs w:val="28"/>
        </w:rPr>
        <w:t xml:space="preserve">9.1 Fonctionnalités</w:t>
      </w:r>
    </w:p>
    <w:p>
      <w:pPr>
        <w:pStyle w:val="ListParagraph"/>
        <w:numPr>
          <w:ilvl w:val="0"/>
          <w:numId w:val="9"/>
        </w:numPr>
        <w:spacing w:after="80" w:line="250"/>
      </w:pPr>
      <w:r>
        <w:rPr>
          <w:rFonts w:ascii="Times New Roman" w:cs="Times New Roman" w:eastAsia="Times New Roman" w:hAnsi="Times New Roman"/>
          <w:color w:val="1E293B"/>
          <w:sz w:val="22"/>
          <w:szCs w:val="22"/>
        </w:rPr>
        <w:t xml:space="preserve">Health Score automatisé calculé à partir de l'utilisation, de la qualité des données, et des tickets support</w:t>
      </w:r>
    </w:p>
    <w:p>
      <w:pPr>
        <w:pStyle w:val="ListParagraph"/>
        <w:numPr>
          <w:ilvl w:val="0"/>
          <w:numId w:val="9"/>
        </w:numPr>
        <w:spacing w:after="80" w:line="250"/>
      </w:pPr>
      <w:r>
        <w:rPr>
          <w:rFonts w:ascii="Times New Roman" w:cs="Times New Roman" w:eastAsia="Times New Roman" w:hAnsi="Times New Roman"/>
          <w:color w:val="1E293B"/>
          <w:sz w:val="22"/>
          <w:szCs w:val="22"/>
        </w:rPr>
        <w:t xml:space="preserve">Alertes prédictives de churn avec suggestions d'actions : formation, check-in, upgrade de features</w:t>
      </w:r>
    </w:p>
    <w:p>
      <w:pPr>
        <w:pStyle w:val="ListParagraph"/>
        <w:numPr>
          <w:ilvl w:val="0"/>
          <w:numId w:val="9"/>
        </w:numPr>
        <w:spacing w:after="80" w:line="250"/>
      </w:pPr>
      <w:r>
        <w:rPr>
          <w:rFonts w:ascii="Times New Roman" w:cs="Times New Roman" w:eastAsia="Times New Roman" w:hAnsi="Times New Roman"/>
          <w:color w:val="1E293B"/>
          <w:sz w:val="22"/>
          <w:szCs w:val="22"/>
        </w:rPr>
        <w:t xml:space="preserve">Onboarding personnalisé avec parcours guidés adaptés au secteur et aux objectifs du client</w:t>
      </w:r>
    </w:p>
    <w:p>
      <w:pPr>
        <w:pStyle w:val="ListParagraph"/>
        <w:numPr>
          <w:ilvl w:val="0"/>
          <w:numId w:val="9"/>
        </w:numPr>
        <w:spacing w:after="80" w:line="250"/>
      </w:pPr>
      <w:r>
        <w:rPr>
          <w:rFonts w:ascii="Times New Roman" w:cs="Times New Roman" w:eastAsia="Times New Roman" w:hAnsi="Times New Roman"/>
          <w:color w:val="1E293B"/>
          <w:sz w:val="22"/>
          <w:szCs w:val="22"/>
        </w:rPr>
        <w:t xml:space="preserve">Playbooks de succès avec templates de communication et séquences d'engagement automatisées</w:t>
      </w:r>
    </w:p>
    <w:p>
      <w:pPr>
        <w:pStyle w:val="ListParagraph"/>
        <w:numPr>
          <w:ilvl w:val="0"/>
          <w:numId w:val="9"/>
        </w:numPr>
        <w:spacing w:after="80" w:line="250"/>
      </w:pPr>
      <w:r>
        <w:rPr>
          <w:rFonts w:ascii="Times New Roman" w:cs="Times New Roman" w:eastAsia="Times New Roman" w:hAnsi="Times New Roman"/>
          <w:color w:val="1E293B"/>
          <w:sz w:val="22"/>
          <w:szCs w:val="22"/>
        </w:rPr>
        <w:t xml:space="preserve">Analytics d'adoption par feature pour identifier les fonctionnalités sous-utilisées et cibler la formation</w:t>
      </w:r>
    </w:p>
    <w:p>
      <w:pPr>
        <w:pStyle w:val="ListParagraph"/>
        <w:numPr>
          <w:ilvl w:val="0"/>
          <w:numId w:val="9"/>
        </w:numPr>
        <w:spacing w:after="80" w:line="250"/>
      </w:pPr>
      <w:r>
        <w:rPr>
          <w:rFonts w:ascii="Times New Roman" w:cs="Times New Roman" w:eastAsia="Times New Roman" w:hAnsi="Times New Roman"/>
          <w:color w:val="1E293B"/>
          <w:sz w:val="22"/>
          <w:szCs w:val="22"/>
        </w:rPr>
        <w:t xml:space="preserve">NPS et surveys intégrés avec suivi des tendances et alertes sur les scores bas</w:t>
      </w:r>
    </w:p>
    <w:p>
      <w:pPr>
        <w:pStyle w:val="Heading2"/>
        <w:spacing w:after="150" w:before="300"/>
      </w:pPr>
      <w:r>
        <w:rPr>
          <w:rFonts w:ascii="Times New Roman" w:cs="Times New Roman" w:eastAsia="Times New Roman" w:hAnsi="Times New Roman"/>
          <w:b/>
          <w:bCs/>
          <w:color w:val="1E293B"/>
          <w:sz w:val="28"/>
          <w:szCs w:val="28"/>
        </w:rPr>
        <w:t xml:space="preserve">9.2 Impact Business</w:t>
      </w:r>
    </w:p>
    <w:p>
      <w:pPr>
        <w:spacing w:after="150" w:line="250"/>
        <w:jc w:val="both"/>
      </w:pPr>
      <w:r>
        <w:rPr>
          <w:rFonts w:ascii="Times New Roman" w:cs="Times New Roman" w:eastAsia="Times New Roman" w:hAnsi="Times New Roman"/>
          <w:color w:val="1E293B"/>
          <w:sz w:val="22"/>
          <w:szCs w:val="22"/>
        </w:rPr>
        <w:t xml:space="preserve">Un système de Customer Success bien implémenté peut réduire le churn de 25% et augmenter l'expansion revenue de 40%. L'investissement dans cette fonctionnalité se rentabilise dès la première année par la rétention additionnelle.</w:t>
      </w:r>
    </w:p>
    <w:p>
      <w:pPr>
        <w:pStyle w:val="Heading1"/>
        <w:spacing w:after="200" w:before="400"/>
      </w:pPr>
      <w:r>
        <w:rPr>
          <w:rFonts w:ascii="Times New Roman" w:cs="Times New Roman" w:eastAsia="Times New Roman" w:hAnsi="Times New Roman"/>
          <w:b/>
          <w:bCs/>
          <w:color w:val="020617"/>
          <w:sz w:val="36"/>
          <w:szCs w:val="36"/>
        </w:rPr>
        <w:t xml:space="preserve">10. Roadmap d'Implémentation</w:t>
      </w:r>
    </w:p>
    <w:p>
      <w:pPr>
        <w:spacing w:after="150" w:line="250"/>
        <w:jc w:val="both"/>
      </w:pPr>
      <w:r>
        <w:rPr>
          <w:rFonts w:ascii="Times New Roman" w:cs="Times New Roman" w:eastAsia="Times New Roman" w:hAnsi="Times New Roman"/>
          <w:color w:val="1E293B"/>
          <w:sz w:val="22"/>
          <w:szCs w:val="22"/>
        </w:rPr>
        <w:t xml:space="preserve">L'implémentation des huit fonctionnalités proposées s'étale sur 12 mois, organisée en trois phases distinctes. Chaque phase apporte une valeur incrémentale et permet de valider l'adoption avant de passer à la suivante.</w:t>
      </w:r>
    </w:p>
    <w:p>
      <w:pPr>
        <w:pStyle w:val="Heading2"/>
        <w:spacing w:after="150" w:before="300"/>
      </w:pPr>
      <w:r>
        <w:rPr>
          <w:rFonts w:ascii="Times New Roman" w:cs="Times New Roman" w:eastAsia="Times New Roman" w:hAnsi="Times New Roman"/>
          <w:b/>
          <w:bCs/>
          <w:color w:val="1E293B"/>
          <w:sz w:val="28"/>
          <w:szCs w:val="28"/>
        </w:rPr>
        <w:t xml:space="preserve">10.1 Phase 2.1 (Mois 1-4)</w:t>
      </w:r>
    </w:p>
    <w:p>
      <w:pPr>
        <w:pStyle w:val="ListParagraph"/>
        <w:numPr>
          <w:ilvl w:val="0"/>
          <w:numId w:val="10"/>
        </w:numPr>
        <w:spacing w:after="80" w:line="250"/>
      </w:pPr>
      <w:r>
        <w:rPr>
          <w:rFonts w:ascii="Times New Roman" w:cs="Times New Roman" w:eastAsia="Times New Roman" w:hAnsi="Times New Roman"/>
          <w:color w:val="1E293B"/>
          <w:sz w:val="22"/>
          <w:szCs w:val="22"/>
        </w:rPr>
        <w:t xml:space="preserve">Data Lineage &amp; Impact Analysis - Fondation pour la conformité et l'audit</w:t>
      </w:r>
    </w:p>
    <w:p>
      <w:pPr>
        <w:pStyle w:val="ListParagraph"/>
        <w:numPr>
          <w:ilvl w:val="0"/>
          <w:numId w:val="10"/>
        </w:numPr>
        <w:spacing w:after="80" w:line="250"/>
      </w:pPr>
      <w:r>
        <w:rPr>
          <w:rFonts w:ascii="Times New Roman" w:cs="Times New Roman" w:eastAsia="Times New Roman" w:hAnsi="Times New Roman"/>
          <w:color w:val="1E293B"/>
          <w:sz w:val="22"/>
          <w:szCs w:val="22"/>
        </w:rPr>
        <w:t xml:space="preserve">AI-Powered Data Catalog - Amélioration de la productivité des utilisateurs</w:t>
      </w:r>
    </w:p>
    <w:p>
      <w:pPr>
        <w:pStyle w:val="ListParagraph"/>
        <w:numPr>
          <w:ilvl w:val="0"/>
          <w:numId w:val="10"/>
        </w:numPr>
        <w:spacing w:after="80" w:line="250"/>
      </w:pPr>
      <w:r>
        <w:rPr>
          <w:rFonts w:ascii="Times New Roman" w:cs="Times New Roman" w:eastAsia="Times New Roman" w:hAnsi="Times New Roman"/>
          <w:color w:val="1E293B"/>
          <w:sz w:val="22"/>
          <w:szCs w:val="22"/>
        </w:rPr>
        <w:t xml:space="preserve">Security &amp; Compliance Center - Prérequis pour les clients Enterprise</w:t>
      </w:r>
    </w:p>
    <w:p>
      <w:pPr>
        <w:pStyle w:val="Heading2"/>
        <w:spacing w:after="150" w:before="300"/>
      </w:pPr>
      <w:r>
        <w:rPr>
          <w:rFonts w:ascii="Times New Roman" w:cs="Times New Roman" w:eastAsia="Times New Roman" w:hAnsi="Times New Roman"/>
          <w:b/>
          <w:bCs/>
          <w:color w:val="1E293B"/>
          <w:sz w:val="28"/>
          <w:szCs w:val="28"/>
        </w:rPr>
        <w:t xml:space="preserve">10.2 Phase 2.2 (Mois 5-8)</w:t>
      </w:r>
    </w:p>
    <w:p>
      <w:pPr>
        <w:pStyle w:val="ListParagraph"/>
        <w:numPr>
          <w:ilvl w:val="0"/>
          <w:numId w:val="11"/>
        </w:numPr>
        <w:spacing w:after="80" w:line="250"/>
      </w:pPr>
      <w:r>
        <w:rPr>
          <w:rFonts w:ascii="Times New Roman" w:cs="Times New Roman" w:eastAsia="Times New Roman" w:hAnsi="Times New Roman"/>
          <w:color w:val="1E293B"/>
          <w:sz w:val="22"/>
          <w:szCs w:val="22"/>
        </w:rPr>
        <w:t xml:space="preserve">Real-time Data Streaming - Différenciation concurrentielle forte</w:t>
      </w:r>
    </w:p>
    <w:p>
      <w:pPr>
        <w:pStyle w:val="ListParagraph"/>
        <w:numPr>
          <w:ilvl w:val="0"/>
          <w:numId w:val="11"/>
        </w:numPr>
        <w:spacing w:after="80" w:line="250"/>
      </w:pPr>
      <w:r>
        <w:rPr>
          <w:rFonts w:ascii="Times New Roman" w:cs="Times New Roman" w:eastAsia="Times New Roman" w:hAnsi="Times New Roman"/>
          <w:color w:val="1E293B"/>
          <w:sz w:val="22"/>
          <w:szCs w:val="22"/>
        </w:rPr>
        <w:t xml:space="preserve">Collaborative Workspace - Rétention et engagement des équipes</w:t>
      </w:r>
    </w:p>
    <w:p>
      <w:pPr>
        <w:pStyle w:val="ListParagraph"/>
        <w:numPr>
          <w:ilvl w:val="0"/>
          <w:numId w:val="11"/>
        </w:numPr>
        <w:spacing w:after="80" w:line="250"/>
      </w:pPr>
      <w:r>
        <w:rPr>
          <w:rFonts w:ascii="Times New Roman" w:cs="Times New Roman" w:eastAsia="Times New Roman" w:hAnsi="Times New Roman"/>
          <w:color w:val="1E293B"/>
          <w:sz w:val="22"/>
          <w:szCs w:val="22"/>
        </w:rPr>
        <w:t xml:space="preserve">Integration Hub &amp; iPaaS - Extension de la valeur plateforme</w:t>
      </w:r>
    </w:p>
    <w:p>
      <w:pPr>
        <w:pStyle w:val="Heading2"/>
        <w:spacing w:after="150" w:before="300"/>
      </w:pPr>
      <w:r>
        <w:rPr>
          <w:rFonts w:ascii="Times New Roman" w:cs="Times New Roman" w:eastAsia="Times New Roman" w:hAnsi="Times New Roman"/>
          <w:b/>
          <w:bCs/>
          <w:color w:val="1E293B"/>
          <w:sz w:val="28"/>
          <w:szCs w:val="28"/>
        </w:rPr>
        <w:t xml:space="preserve">10.3 Phase 2.3 (Mois 9-12)</w:t>
      </w:r>
    </w:p>
    <w:p>
      <w:pPr>
        <w:spacing w:after="150" w:line="250"/>
        <w:jc w:val="both"/>
      </w:pPr>
      <w:r>
        <w:rPr>
          <w:rFonts w:ascii="Times New Roman" w:cs="Times New Roman" w:eastAsia="Times New Roman" w:hAnsi="Times New Roman"/>
          <w:color w:val="1E293B"/>
          <w:sz w:val="22"/>
          <w:szCs w:val="22"/>
        </w:rPr>
        <w:t xml:space="preserve">Les deux dernières fonctionnalités (Data Mesh et Customer Success) nécessitent une base installée suffisante pour révéler leur plein potentiel. Leur implémentation en fin de roadmap permet de capitaliser sur les retours des phases précédentes.</w:t>
      </w:r>
    </w:p>
    <w:p>
      <w:pPr>
        <w:pStyle w:val="Heading1"/>
        <w:spacing w:after="200" w:before="400"/>
      </w:pPr>
      <w:r>
        <w:rPr>
          <w:rFonts w:ascii="Times New Roman" w:cs="Times New Roman" w:eastAsia="Times New Roman" w:hAnsi="Times New Roman"/>
          <w:b/>
          <w:bCs/>
          <w:color w:val="020617"/>
          <w:sz w:val="36"/>
          <w:szCs w:val="36"/>
        </w:rPr>
        <w:t xml:space="preserve">11. Synthèse de l'Investissement</w:t>
      </w:r>
    </w:p>
    <w:p>
      <w:pPr>
        <w:spacing w:after="150" w:line="250"/>
        <w:jc w:val="both"/>
      </w:pPr>
      <w:r>
        <w:rPr>
          <w:rFonts w:ascii="Times New Roman" w:cs="Times New Roman" w:eastAsia="Times New Roman" w:hAnsi="Times New Roman"/>
          <w:color w:val="1E293B"/>
          <w:sz w:val="22"/>
          <w:szCs w:val="22"/>
        </w:rPr>
        <w:t xml:space="preserve">L'investissement total pour la Phase 2 est estimé à 40 semaines de développement, réparties sur 12 mois. Le retour sur investissement est projeté sur 3 ans avec des hypothèses conservatrices de croissance.</w:t>
      </w:r>
    </w:p>
    <w:p>
      <w:pPr>
        <w:spacing w:after="150"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Borders>
              <w:top w:val="single" w:color="020617" w:sz="12"/>
              <w:left w:val="none"/>
              <w:bottom w:val="single" w:color="020617" w:sz="12"/>
              <w:right w:val="none"/>
            </w:tcBorders>
            <w:shd w:fill="F8FAFC" w:val="clear"/>
          </w:tcPr>
          <w:p>
            <w:pPr>
              <w:jc w:val="center"/>
            </w:pPr>
            <w:r>
              <w:rPr>
                <w:rFonts w:ascii="Times New Roman" w:cs="Times New Roman" w:eastAsia="Times New Roman" w:hAnsi="Times New Roman"/>
                <w:b/>
                <w:bCs/>
                <w:sz w:val="22"/>
                <w:szCs w:val="22"/>
              </w:rPr>
              <w:t xml:space="preserve">Métrique</w:t>
            </w:r>
          </w:p>
        </w:tc>
        <w:tc>
          <w:tcPr>
            <w:tcBorders>
              <w:top w:val="single" w:color="020617" w:sz="12"/>
              <w:left w:val="none"/>
              <w:bottom w:val="single" w:color="020617" w:sz="12"/>
              <w:right w:val="none"/>
            </w:tcBorders>
            <w:shd w:fill="F8FAFC" w:val="clear"/>
          </w:tcPr>
          <w:p>
            <w:pPr>
              <w:jc w:val="center"/>
            </w:pPr>
            <w:r>
              <w:rPr>
                <w:rFonts w:ascii="Times New Roman" w:cs="Times New Roman" w:eastAsia="Times New Roman" w:hAnsi="Times New Roman"/>
                <w:b/>
                <w:bCs/>
                <w:sz w:val="22"/>
                <w:szCs w:val="22"/>
              </w:rPr>
              <w:t xml:space="preserve">Valeur</w:t>
            </w:r>
          </w:p>
        </w:tc>
      </w:tr>
      <w:tr>
        <w:tc>
          <w:tcPr>
            <w:tcBorders>
              <w:top w:val="single" w:color="020617" w:sz="12"/>
              <w:left w:val="none"/>
              <w:bottom w:val="single" w:color="020617" w:sz="12"/>
              <w:right w:val="none"/>
            </w:tcBorders>
          </w:tcPr>
          <w:p>
            <w:r>
              <w:rPr>
                <w:rFonts w:ascii="Times New Roman" w:cs="Times New Roman" w:eastAsia="Times New Roman" w:hAnsi="Times New Roman"/>
                <w:sz w:val="22"/>
                <w:szCs w:val="22"/>
              </w:rPr>
              <w:t xml:space="preserve">Effort développement total</w:t>
            </w:r>
          </w:p>
        </w:tc>
        <w:tc>
          <w:tcPr>
            <w:tcBorders>
              <w:top w:val="single" w:color="020617" w:sz="12"/>
              <w:left w:val="none"/>
              <w:bottom w:val="single" w:color="020617" w:sz="12"/>
              <w:right w:val="none"/>
            </w:tcBorders>
          </w:tcPr>
          <w:p>
            <w:pPr>
              <w:jc w:val="center"/>
            </w:pPr>
            <w:r>
              <w:rPr>
                <w:rFonts w:ascii="Times New Roman" w:cs="Times New Roman" w:eastAsia="Times New Roman" w:hAnsi="Times New Roman"/>
                <w:sz w:val="22"/>
                <w:szCs w:val="22"/>
              </w:rPr>
              <w:t xml:space="preserve">40 semaines</w:t>
            </w:r>
          </w:p>
        </w:tc>
      </w:tr>
      <w:tr>
        <w:tc>
          <w:tcPr>
            <w:tcBorders>
              <w:top w:val="single" w:color="020617" w:sz="12"/>
              <w:left w:val="none"/>
              <w:bottom w:val="single" w:color="020617" w:sz="12"/>
              <w:right w:val="none"/>
            </w:tcBorders>
          </w:tcPr>
          <w:p>
            <w:r>
              <w:rPr>
                <w:rFonts w:ascii="Times New Roman" w:cs="Times New Roman" w:eastAsia="Times New Roman" w:hAnsi="Times New Roman"/>
                <w:sz w:val="22"/>
                <w:szCs w:val="22"/>
              </w:rPr>
              <w:t xml:space="preserve">Investissement estimé</w:t>
            </w:r>
          </w:p>
        </w:tc>
        <w:tc>
          <w:tcPr>
            <w:tcBorders>
              <w:top w:val="single" w:color="020617" w:sz="12"/>
              <w:left w:val="none"/>
              <w:bottom w:val="single" w:color="020617" w:sz="12"/>
              <w:right w:val="none"/>
            </w:tcBorders>
          </w:tcPr>
          <w:p>
            <w:pPr>
              <w:jc w:val="center"/>
            </w:pPr>
            <w:r>
              <w:rPr>
                <w:rFonts w:ascii="Times New Roman" w:cs="Times New Roman" w:eastAsia="Times New Roman" w:hAnsi="Times New Roman"/>
                <w:sz w:val="22"/>
                <w:szCs w:val="22"/>
              </w:rPr>
              <w:t xml:space="preserve">320K€</w:t>
            </w:r>
          </w:p>
        </w:tc>
      </w:tr>
      <w:tr>
        <w:tc>
          <w:tcPr>
            <w:tcBorders>
              <w:top w:val="single" w:color="020617" w:sz="12"/>
              <w:left w:val="none"/>
              <w:bottom w:val="single" w:color="020617" w:sz="12"/>
              <w:right w:val="none"/>
            </w:tcBorders>
          </w:tcPr>
          <w:p>
            <w:r>
              <w:rPr>
                <w:rFonts w:ascii="Times New Roman" w:cs="Times New Roman" w:eastAsia="Times New Roman" w:hAnsi="Times New Roman"/>
                <w:sz w:val="22"/>
                <w:szCs w:val="22"/>
              </w:rPr>
              <w:t xml:space="preserve">Revenus additionnels projetés (an 1)</w:t>
            </w:r>
          </w:p>
        </w:tc>
        <w:tc>
          <w:tcPr>
            <w:tcBorders>
              <w:top w:val="single" w:color="020617" w:sz="12"/>
              <w:left w:val="none"/>
              <w:bottom w:val="single" w:color="020617" w:sz="12"/>
              <w:right w:val="none"/>
            </w:tcBorders>
          </w:tcPr>
          <w:p>
            <w:pPr>
              <w:jc w:val="center"/>
            </w:pPr>
            <w:r>
              <w:rPr>
                <w:rFonts w:ascii="Times New Roman" w:cs="Times New Roman" w:eastAsia="Times New Roman" w:hAnsi="Times New Roman"/>
                <w:sz w:val="22"/>
                <w:szCs w:val="22"/>
              </w:rPr>
              <w:t xml:space="preserve">600K€</w:t>
            </w:r>
          </w:p>
        </w:tc>
      </w:tr>
      <w:tr>
        <w:tc>
          <w:tcPr>
            <w:tcBorders>
              <w:top w:val="single" w:color="020617" w:sz="12"/>
              <w:left w:val="none"/>
              <w:bottom w:val="single" w:color="020617" w:sz="12"/>
              <w:right w:val="none"/>
            </w:tcBorders>
          </w:tcPr>
          <w:p>
            <w:r>
              <w:rPr>
                <w:rFonts w:ascii="Times New Roman" w:cs="Times New Roman" w:eastAsia="Times New Roman" w:hAnsi="Times New Roman"/>
                <w:sz w:val="22"/>
                <w:szCs w:val="22"/>
              </w:rPr>
              <w:t xml:space="preserve">ROI à 3 ans</w:t>
            </w:r>
          </w:p>
        </w:tc>
        <w:tc>
          <w:tcPr>
            <w:tcBorders>
              <w:top w:val="single" w:color="020617" w:sz="12"/>
              <w:left w:val="none"/>
              <w:bottom w:val="single" w:color="020617" w:sz="12"/>
              <w:right w:val="none"/>
            </w:tcBorders>
          </w:tcPr>
          <w:p>
            <w:pPr>
              <w:jc w:val="center"/>
            </w:pPr>
            <w:r>
              <w:rPr>
                <w:rFonts w:ascii="Times New Roman" w:cs="Times New Roman" w:eastAsia="Times New Roman" w:hAnsi="Times New Roman"/>
                <w:sz w:val="22"/>
                <w:szCs w:val="22"/>
              </w:rPr>
              <w:t xml:space="preserve">850%</w:t>
            </w:r>
          </w:p>
        </w:tc>
      </w:tr>
    </w:tbl>
    <w:p>
      <w:pPr>
        <w:spacing w:before="100"/>
        <w:jc w:val="center"/>
      </w:pPr>
      <w:r>
        <w:rPr>
          <w:rFonts w:ascii="Times New Roman" w:cs="Times New Roman" w:eastAsia="Times New Roman" w:hAnsi="Times New Roman"/>
          <w:i/>
          <w:iCs/>
          <w:color w:val="64748B"/>
          <w:sz w:val="18"/>
          <w:szCs w:val="18"/>
        </w:rPr>
        <w:t xml:space="preserve">Tableau 5: Synthèse financière de la Phase 2</w:t>
      </w:r>
    </w:p>
    <w:p>
      <w:pPr>
        <w:spacing w:after="150" w:line="250"/>
        <w:jc w:val="both"/>
      </w:pPr>
      <w:r>
        <w:rPr>
          <w:rFonts w:ascii="Times New Roman" w:cs="Times New Roman" w:eastAsia="Times New Roman" w:hAnsi="Times New Roman"/>
          <w:color w:val="1E293B"/>
          <w:sz w:val="22"/>
          <w:szCs w:val="22"/>
        </w:rPr>
        <w:t xml:space="preserve">Ces propositions positionnent DataSphere Innovation comme une plateforme de référence sur le marché du Data Engineering as a Service, avec des fonctionnalités différenciantes justifiant un positionnement premium et une forte fidélisation client.</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4748B"/>
        <w:sz w:val="18"/>
        <w:szCs w:val="18"/>
      </w:rPr>
      <w:t xml:space="preserve">Page </w:t>
    </w:r>
    <w:r>
      <w:rPr>
        <w:rFonts w:ascii="Times New Roman" w:cs="Times New Roman" w:eastAsia="Times New Roman" w:hAnsi="Times New Roman"/>
        <w:color w:val="64748B"/>
        <w:sz w:val="18"/>
        <w:szCs w:val="18"/>
      </w:rPr>
      <w:fldChar w:fldCharType="begin"/>
      <w:instrText xml:space="preserve">PAGE</w:instrText>
      <w:fldChar w:fldCharType="separate"/>
      <w:fldChar w:fldCharType="end"/>
    </w:r>
    <w:r>
      <w:rPr>
        <w:rFonts w:ascii="Times New Roman" w:cs="Times New Roman" w:eastAsia="Times New Roman" w:hAnsi="Times New Roman"/>
        <w:color w:val="64748B"/>
        <w:sz w:val="18"/>
        <w:szCs w:val="18"/>
      </w:rPr>
      <w:t xml:space="preserve"> / </w:t>
    </w:r>
    <w:r>
      <w:rPr>
        <w:rFonts w:ascii="Times New Roman" w:cs="Times New Roman" w:eastAsia="Times New Roman" w:hAnsi="Times New Roman"/>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4748B"/>
        <w:sz w:val="18"/>
        <w:szCs w:val="18"/>
      </w:rPr>
      <w:t xml:space="preserve">DataSphere Innovation - Propositions Phase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1E293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2026-03-18T19:06:44.714Z</dcterms:created>
  <dcterms:modified xsi:type="dcterms:W3CDTF">2026-03-18T19:06:44.714Z</dcterms:modified>
</cp:coreProperties>
</file>

<file path=docProps/custom.xml><?xml version="1.0" encoding="utf-8"?>
<Properties xmlns="http://schemas.openxmlformats.org/officeDocument/2006/custom-properties" xmlns:vt="http://schemas.openxmlformats.org/officeDocument/2006/docPropsVTypes"/>
</file>