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B2E58"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rHeight w:val="120" w:hRule="exact"/>
              </w:trPr>
              <w:tc>
                <w:tcPr>
                  <w:tcW w:type="pct" w:w="33%"/>
                  <w:tcBorders>
                    <w:top w:val="none" w:color="FFFFFF" w:sz="0"/>
                    <w:left w:val="none" w:color="FFFFFF" w:sz="0"/>
                    <w:bottom w:val="none" w:color="FFFFFF" w:sz="0"/>
                    <w:right w:val="none" w:color="FFFFFF" w:sz="0"/>
                  </w:tcBorders>
                  <w:shd w:fill="CE1126" w:val="clear"/>
                </w:tcPr>
                <w:p>
                  <w:r>
                    <w:t xml:space="preserve"/>
                  </w:r>
                </w:p>
              </w:tc>
              <w:tc>
                <w:tcPr>
                  <w:tcW w:type="pct" w:w="34%"/>
                  <w:tcBorders>
                    <w:top w:val="none" w:color="FFFFFF" w:sz="0"/>
                    <w:left w:val="none" w:color="FFFFFF" w:sz="0"/>
                    <w:bottom w:val="none" w:color="FFFFFF" w:sz="0"/>
                    <w:right w:val="none" w:color="FFFFFF" w:sz="0"/>
                  </w:tcBorders>
                  <w:shd w:fill="FCD116" w:val="clear"/>
                </w:tcPr>
                <w:p>
                  <w:r>
                    <w:t xml:space="preserve"/>
                  </w:r>
                </w:p>
              </w:tc>
              <w:tc>
                <w:tcPr>
                  <w:tcW w:type="pct" w:w="33%"/>
                  <w:tcBorders>
                    <w:top w:val="none" w:color="FFFFFF" w:sz="0"/>
                    <w:left w:val="none" w:color="FFFFFF" w:sz="0"/>
                    <w:bottom w:val="none" w:color="FFFFFF" w:sz="0"/>
                    <w:right w:val="none" w:color="FFFFFF" w:sz="0"/>
                  </w:tcBorders>
                  <w:shd w:fill="009460" w:val="clear"/>
                </w:tcPr>
                <w:p>
                  <w:r>
                    <w:t xml:space="preserve"/>
                  </w:r>
                </w:p>
              </w:tc>
            </w:tr>
          </w:tbl>
          <w:p>
            <w:pPr>
              <w:spacing w:before="4000"/>
            </w:pPr>
          </w:p>
          <w:p>
            <w:pPr>
              <w:spacing w:before="800"/>
              <w:ind w:left="1200" w:right="1200"/>
            </w:pPr>
            <w:r>
              <w:rPr>
                <w:rFonts w:ascii="Calibri" w:cs="Calibri" w:eastAsia="Calibri" w:hAnsi="Calibri"/>
                <w:b/>
                <w:bCs/>
                <w:caps/>
                <w:color w:val="FCD116"/>
                <w:sz w:val="20"/>
                <w:szCs w:val="20"/>
              </w:rPr>
              <w:t xml:space="preserve">RÉPUBLIQUE DE GUINÉE</w:t>
            </w:r>
          </w:p>
          <w:p>
            <w:pPr>
              <w:spacing w:before="200"/>
              <w:ind w:left="1200" w:right="1200"/>
            </w:pPr>
            <w:r>
              <w:rPr>
                <w:rFonts w:ascii="Calibri" w:cs="Calibri" w:eastAsia="Calibri" w:hAnsi="Calibri"/>
                <w:b/>
                <w:bCs/>
                <w:color w:val="FFFFFF"/>
                <w:sz w:val="52"/>
                <w:szCs w:val="52"/>
              </w:rPr>
              <w:t xml:space="preserve">Plan de Test</w:t>
            </w:r>
          </w:p>
          <w:p>
            <w:pPr>
              <w:spacing w:before="100"/>
              <w:ind w:left="1200" w:right="1200"/>
            </w:pPr>
            <w:r>
              <w:rPr>
                <w:rFonts w:ascii="Calibri" w:cs="Calibri" w:eastAsia="Calibri" w:hAnsi="Calibri"/>
                <w:color w:val="C8A45C"/>
                <w:sz w:val="36"/>
                <w:szCs w:val="36"/>
              </w:rPr>
              <w:t xml:space="preserve">eAdministration Suite Guinea</w:t>
            </w:r>
          </w:p>
          <w:p>
            <w:pPr>
              <w:spacing w:before="400"/>
              <w:ind w:left="1200" w:right="1200"/>
            </w:pPr>
            <w:r>
              <w:rPr>
                <w:rFonts w:ascii="Calibri" w:cs="Calibri" w:eastAsia="Calibri" w:hAnsi="Calibri"/>
                <w:color w:val="B0B8C0"/>
                <w:sz w:val="24"/>
                <w:szCs w:val="24"/>
              </w:rPr>
              <w:t xml:space="preserve">Tests End-to-End — 110 Cas de Test</w:t>
            </w:r>
          </w:p>
          <w:p>
            <w:pPr>
              <w:pBdr>
                <w:bottom w:val="single" w:color="C8A45C" w:sz="6" w:space="10"/>
              </w:pBdr>
              <w:spacing w:before="600"/>
              <w:ind w:left="1200" w:right="1200"/>
            </w:pPr>
          </w:p>
          <w:p>
            <w:pPr>
              <w:spacing w:before="600"/>
              <w:ind w:left="1200" w:right="1200"/>
            </w:pPr>
            <w:r>
              <w:rPr>
                <w:rFonts w:ascii="Calibri" w:cs="Calibri" w:eastAsia="Calibri" w:hAnsi="Calibri"/>
                <w:color w:val="90989F"/>
                <w:sz w:val="22"/>
                <w:szCs w:val="22"/>
              </w:rPr>
              <w:t xml:space="preserve">DataSphere Innovation</w:t>
            </w:r>
          </w:p>
          <w:p>
            <w:pPr>
              <w:spacing w:before="100"/>
              <w:ind w:left="1200" w:right="1200"/>
            </w:pPr>
            <w:r>
              <w:rPr>
                <w:rFonts w:ascii="Calibri" w:cs="Calibri" w:eastAsia="Calibri" w:hAnsi="Calibri"/>
                <w:color w:val="687078"/>
                <w:sz w:val="20"/>
                <w:szCs w:val="20"/>
              </w:rPr>
              <w:t xml:space="preserve">Version 1.0 — Mai 2026</w:t>
            </w:r>
          </w:p>
          <w:p>
            <w:pPr>
              <w:spacing w:before="100"/>
              <w:ind w:left="1200" w:right="1200"/>
            </w:pPr>
            <w:r>
              <w:rPr>
                <w:rFonts w:ascii="Calibri" w:cs="Calibri" w:eastAsia="Calibri" w:hAnsi="Calibri"/>
                <w:color w:val="FCD116"/>
                <w:sz w:val="18"/>
                <w:szCs w:val="18"/>
              </w:rPr>
              <w:t xml:space="preserve">Classification : DIFFUSION LIMITÉE</w:t>
            </w:r>
          </w:p>
        </w:tc>
      </w:tr>
    </w:tbl>
    <w:p>
      <w:pPr>
        <w:sectPr>
          <w:pgSz w:w="11906" w:h="16838" w:orient="portrait"/>
          <w:pgMar w:top="0" w:right="0" w:bottom="0" w:left="0" w:header="708" w:footer="708" w:gutter="0"/>
          <w:pgNumType/>
          <w:docGrid w:linePitch="360"/>
        </w:sectPr>
      </w:pPr>
    </w:p>
    <w:p>
      <w:r>
        <w:rPr>
          <w:rFonts w:ascii="Calibri" w:cs="Calibri" w:eastAsia="Calibri" w:hAnsi="Calibri"/>
          <w:b/>
          <w:bCs/>
          <w:color w:val="1A1A1A"/>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rPr>
          <w:rFonts w:ascii="Calibri" w:cs="Calibri" w:eastAsia="Calibri" w:hAnsi="Calibri"/>
          <w:i/>
          <w:iCs/>
          <w:color w:val="888888"/>
          <w:sz w:val="18"/>
          <w:szCs w:val="18"/>
        </w:rPr>
        <w:t xml:space="preserve">Cliquez avec le bouton droit sur la table des matières, puis sélectionnez « Mettre à jour les champs » pour actualiser les numéros de page.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A1A1A"/>
          <w:sz w:val="32"/>
          <w:szCs w:val="32"/>
        </w:rPr>
        <w:t xml:space="preserve">1. Introduction</w:t>
      </w:r>
    </w:p>
    <w:p>
      <w:pPr>
        <w:spacing w:after="120" w:line="312"/>
      </w:pPr>
      <w:r>
        <w:rPr>
          <w:rFonts w:ascii="Calibri" w:cs="Calibri" w:eastAsia="Calibri" w:hAnsi="Calibri"/>
          <w:color w:val="333333"/>
          <w:sz w:val="22"/>
          <w:szCs w:val="22"/>
        </w:rPr>
        <w:t xml:space="preserve">Ce document présente le plan de test complet pour la plateforme eAdministration Suite Guinea, un système GovTech de nouvelle génération développé par DataSphere Innovation pour la République de Guinée. La plateforme digitalise l'ensemble des démarches administratives du pays, couvrant 28 services publics répartis en 9 catégories, avec 6 comptes de démonstration représentant les différents rôles de l'écosystème administratif guinéen.</w:t>
      </w:r>
    </w:p>
    <w:p>
      <w:pPr>
        <w:spacing w:after="120" w:line="312"/>
      </w:pPr>
      <w:r>
        <w:rPr>
          <w:rFonts w:ascii="Calibri" w:cs="Calibri" w:eastAsia="Calibri" w:hAnsi="Calibri"/>
          <w:color w:val="333333"/>
          <w:sz w:val="22"/>
          <w:szCs w:val="22"/>
        </w:rPr>
        <w:t xml:space="preserve">Les tests End-to-End (E2E) sont exécutés à l'aide de Playwright, un framework de test automatisé qui simule les interactions utilisateurs réelles dans un navigateur Chromium. Chaque cas de test vérifie un scénario fonctionnel précis, depuis la connexion d'un utilisateur jusqu'à la vérification du résultat attendu dans l'interface.</w:t>
      </w:r>
    </w:p>
    <w:p>
      <w:pPr>
        <w:spacing w:after="120" w:line="312"/>
      </w:pPr>
      <w:r>
        <w:rPr>
          <w:rFonts w:ascii="Calibri" w:cs="Calibri" w:eastAsia="Calibri" w:hAnsi="Calibri"/>
          <w:color w:val="333333"/>
          <w:sz w:val="22"/>
          <w:szCs w:val="22"/>
        </w:rPr>
        <w:t xml:space="preserve">L'objectif est de garantir que toutes les fonctionnalités critiques de la plateforme fonctionnent correctement en conditions réelles, incluant l'authentification multi-rôles, le traitement des demandes citoyennes, la gestion documentaire, et les pipelines de validation automatique.</w:t>
      </w:r>
    </w:p>
    <w:p>
      <w:pPr>
        <w:pStyle w:val="Heading1"/>
        <w:spacing w:after="200" w:before="400"/>
      </w:pPr>
      <w:r>
        <w:rPr>
          <w:rFonts w:ascii="Calibri" w:cs="Calibri" w:eastAsia="Calibri" w:hAnsi="Calibri"/>
          <w:b/>
          <w:bCs/>
          <w:color w:val="1A1A1A"/>
          <w:sz w:val="32"/>
          <w:szCs w:val="32"/>
        </w:rPr>
        <w:t xml:space="preserve">2. Périmètre des tests</w:t>
      </w:r>
    </w:p>
    <w:p>
      <w:pPr>
        <w:pStyle w:val="Heading2"/>
        <w:spacing w:after="150" w:before="300"/>
      </w:pPr>
      <w:r>
        <w:rPr>
          <w:rFonts w:ascii="Calibri" w:cs="Calibri" w:eastAsia="Calibri" w:hAnsi="Calibri"/>
          <w:b/>
          <w:bCs/>
          <w:color w:val="C0392B"/>
          <w:sz w:val="28"/>
          <w:szCs w:val="28"/>
        </w:rPr>
        <w:t xml:space="preserve">2.1 Comptes de test</w:t>
      </w:r>
    </w:p>
    <w:p>
      <w:pPr>
        <w:spacing w:after="120" w:line="312"/>
      </w:pPr>
      <w:r>
        <w:rPr>
          <w:rFonts w:ascii="Calibri" w:cs="Calibri" w:eastAsia="Calibri" w:hAnsi="Calibri"/>
          <w:color w:val="333333"/>
          <w:sz w:val="22"/>
          <w:szCs w:val="22"/>
        </w:rPr>
        <w:t xml:space="preserve">Six comptes de démonstration sont configurés pour tester l'ensemble des rôles et niveaux d'accès de la plateforme :</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Email</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Mot de passe</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Rôle</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Page par défaut</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citoyen@eadmin.gn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demo123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Citoyen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Portail Citoyen</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mairie@eadmin.gn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demo123</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Agent de Mairie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Dashboard Mairie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admin@eadmin.gn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demo123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Administrateur Général</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Dashboard</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agence@eadmin.gn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demo123</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Agent d'Agence (ANIP)</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Dashboard Agence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ministere@eadmin.gn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demo123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Agent Ministériel</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Dashboard</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superadmin@eadmin.gn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admin2026</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Super Administrateur</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Dashboard</w:t>
            </w:r>
          </w:p>
        </w:tc>
      </w:tr>
    </w:tbl>
    <w:p>
      <w:pPr>
        <w:pStyle w:val="Heading2"/>
        <w:spacing w:after="150" w:before="300"/>
      </w:pPr>
      <w:r>
        <w:rPr>
          <w:rFonts w:ascii="Calibri" w:cs="Calibri" w:eastAsia="Calibri" w:hAnsi="Calibri"/>
          <w:b/>
          <w:bCs/>
          <w:color w:val="C0392B"/>
          <w:sz w:val="28"/>
          <w:szCs w:val="28"/>
        </w:rPr>
        <w:t xml:space="preserve">2.2 Modules testés</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Module</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Nombre de tests</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Catégorie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Authentification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Services Publics (28 services)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24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TC-SVC</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Dashboard Mairie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6</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TC-MAIRIE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Dashboard Agence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TC-AGENCE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Administration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8</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TC-ADMIN</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Base Actes de Naissance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7</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TC-BC</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Chatbot IA</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TC-AI</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GED</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7</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TC-GED</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Courriers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4</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TC-COURRIER</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Signatures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3</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TC-SIG</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Workflows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TC-WF</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Traitement Demandes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8</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TC-REQUEST</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Paramètres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6</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TC-SETTINGS</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Contrôle d'accès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5</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TC-ROLE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Utilisateurs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TC-USERS</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Notifications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3</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TC-NOTIF</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Exports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TC-EXPORT</w:t>
            </w:r>
          </w:p>
        </w:tc>
      </w:tr>
    </w:tbl>
    <w:p>
      <w:pPr>
        <w:pStyle w:val="Heading1"/>
        <w:spacing w:after="200" w:before="400"/>
      </w:pPr>
      <w:r>
        <w:rPr>
          <w:rFonts w:ascii="Calibri" w:cs="Calibri" w:eastAsia="Calibri" w:hAnsi="Calibri"/>
          <w:b/>
          <w:bCs/>
          <w:color w:val="1A1A1A"/>
          <w:sz w:val="32"/>
          <w:szCs w:val="32"/>
        </w:rPr>
        <w:t xml:space="preserve">3. Cas de test détaillés</w:t>
      </w:r>
    </w:p>
    <w:p>
      <w:pPr>
        <w:pStyle w:val="Heading2"/>
        <w:spacing w:after="150" w:before="300"/>
      </w:pPr>
      <w:r>
        <w:rPr>
          <w:rFonts w:ascii="Calibri" w:cs="Calibri" w:eastAsia="Calibri" w:hAnsi="Calibri"/>
          <w:b/>
          <w:bCs/>
          <w:color w:val="C0392B"/>
          <w:sz w:val="28"/>
          <w:szCs w:val="28"/>
        </w:rPr>
        <w:t xml:space="preserve">3.1 TC-AUTH : Authentification</w:t>
      </w:r>
    </w:p>
    <w:p>
      <w:pPr>
        <w:spacing w:after="120" w:line="312"/>
      </w:pPr>
      <w:r>
        <w:rPr>
          <w:rFonts w:ascii="Calibri" w:cs="Calibri" w:eastAsia="Calibri" w:hAnsi="Calibri"/>
          <w:color w:val="333333"/>
          <w:sz w:val="22"/>
          <w:szCs w:val="22"/>
        </w:rPr>
        <w:t xml:space="preserve">Cette section couvre l'ensemble des scénarios d'authentification, incluant la connexion avec les 6 comptes démo, les erreurs de login, la déconnexion et l'inscription. Le système utilise une authentification basée sur les rôles avec redirection automatique vers le dashboard approprié.</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Page de login — 6 comptes démo</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la page de connexion affiche les 6 comptes de démonstration avec leurs rôles et emails respectifs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Les 6 comptes sont visibles : citoyen, mairie, admin, agence, ministere, superadmin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TC-AUTH-002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Connexion citoyen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 connecter avec le compte citoyen@eadmin.gn et vérifier la redirection vers le Portail Citoyen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Redirection vers Portail Citoyen, affichage du nom 'Aminata Diallo'</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Connexion mairie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Se connecter avec le compte mairie@eadmin.gn et vérifier la redirection vers le Dashboard Mairie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Redirection vers Dashboard Mairie, affichage de 'Fatoumata Bah'</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TC-AUTH-004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Connexion admin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 connecter avec le compte admin@eadmin.gn et vérifier la redirection vers le Dashboard</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Redirection vers Dashboard, affichage de 'Sékou Condé'</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TC-AUTH-005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Connexion agence (ANIP)</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Se connecter avec le compte agence@eadmin.gn et vérifier la redirection vers le Dashboard Agence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Redirection vers Dashboard Agence, affichage de 'Mamadou Soumah'</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TC-AUTH-006</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Connexion ministère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 connecter avec le compte ministere@eadmin.gn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Connexion réussie, affichage de 'Alpha Diallo'</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TC-AUTH-007</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Connexion super admin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Se connecter avec le compte superadmin@eadmin.gn et le mot de passe admin2026</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Connexion réussie, affichage de 'Amadou Oury Bah'</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TC-AUTH-008</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Mauvais mot de passe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Tenter une connexion avec un email valide mais un mot de passe incorrect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Message d'erreur 'Mot de passe incorrect'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TC-AUTH-009</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Email inexistant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Tenter une connexion avec un email non enregistré dans le système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Message d'erreur 'Email non reconnu'</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TC-AUTH-010</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Déconnexion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 connecter puis se déconnecter et vérifier le retour à la page d'accueil</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Retour à la page landing, état déconnecté</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TC-AUTH-011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Inscription citoyen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Créer un nouveau compte citoyen via le formulaire d'inscription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Compte créé, connexion automatique en tant que citoyen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bl>
    <w:p>
      <w:pPr>
        <w:pStyle w:val="Heading2"/>
        <w:spacing w:after="150" w:before="300"/>
      </w:pPr>
      <w:r>
        <w:rPr>
          <w:rFonts w:ascii="Calibri" w:cs="Calibri" w:eastAsia="Calibri" w:hAnsi="Calibri"/>
          <w:b/>
          <w:bCs/>
          <w:color w:val="C0392B"/>
          <w:sz w:val="28"/>
          <w:szCs w:val="28"/>
        </w:rPr>
        <w:t xml:space="preserve">3.2 TC-SVC : Services Publics</w:t>
      </w:r>
    </w:p>
    <w:p>
      <w:pPr>
        <w:spacing w:after="120" w:line="312"/>
      </w:pPr>
      <w:r>
        <w:rPr>
          <w:rFonts w:ascii="Calibri" w:cs="Calibri" w:eastAsia="Calibri" w:hAnsi="Calibri"/>
          <w:color w:val="333333"/>
          <w:sz w:val="22"/>
          <w:szCs w:val="22"/>
        </w:rPr>
        <w:t xml:space="preserve">Les 28 services publics sont répartis en 9 catégories couvrant l'ensemble des démarches administratives guinéennes. Chaque service est testé pour vérifier sa visibilité, sa description, ses documents requis et la possibilité de soumettre une demande.</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TC-SVC-001 à 020</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Visibilité des 20 services principaux</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chaque service est visible dans le catalogue et peut être recherché par nom</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Chaque service apparaît dans les résultats de recherche avec ses informations complètes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TC-SVC-021</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Soumission demande acte de naissance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Remplir et soumettre un formulaire de demande d'extrait d'acte de naissance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Demande soumise avec succès, numéro de référence généré (GN-2026-XXXXXX)</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TC-SVC-022</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Suivi de demande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Entrer un numéro de référence de suivi et vérifier l'affichage des informations de suivi</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de la timeline de traitement, statut de la demande, agent traitant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TC-SVC-023</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Filtrage par catégorie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Filtrer les services par catégorie 'État Civil' et vérifier l'affichage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Seuls les services État Civil sont affichés (5 services)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TC-SVC-024</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des 9 catégories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les 9 boutons de catégorie sont visibles et fonctionnels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État Civil, Justice, Identification, Urbanisme, Entreprise, Éducation, Santé, Résidence + Tous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bl>
    <w:p>
      <w:pPr>
        <w:pStyle w:val="Heading2"/>
        <w:spacing w:after="150" w:before="300"/>
      </w:pPr>
      <w:r>
        <w:rPr>
          <w:rFonts w:ascii="Calibri" w:cs="Calibri" w:eastAsia="Calibri" w:hAnsi="Calibri"/>
          <w:b/>
          <w:bCs/>
          <w:color w:val="C0392B"/>
          <w:sz w:val="28"/>
          <w:szCs w:val="28"/>
        </w:rPr>
        <w:t xml:space="preserve">3.3 TC-MAIRIE : Dashboard Mairie</w:t>
      </w:r>
    </w:p>
    <w:p>
      <w:pPr>
        <w:spacing w:after="120" w:line="312"/>
      </w:pPr>
      <w:r>
        <w:rPr>
          <w:rFonts w:ascii="Calibri" w:cs="Calibri" w:eastAsia="Calibri" w:hAnsi="Calibri"/>
          <w:color w:val="333333"/>
          <w:sz w:val="22"/>
          <w:szCs w:val="22"/>
        </w:rPr>
        <w:t xml:space="preserve">Le Dashboard Mairie est l'interface principale des agents de mairie pour le traitement des demandes d'état civil et de résidence. Il intègre également un accès direct à la base de données des actes de naissance pour la vérification d'identité des citoyens.</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TC-MAIRIE-001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du dashboard</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l'affichage du dashboard mairie après connexion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Dashboard avec pipeline État Civil, statistiques et actions rapides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TC-MAIRIE-002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Pipeline demandes État Civil</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l'affichage des demandes dans le pipeline de traitement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Demandes classées par statut (soumise, en cours, validée, prête, livrée)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TC-MAIRIE-003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Prise en charge d'une demande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Cliquer sur le bouton 'Prendre en charge' d'une demande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Demande passe en statut 'En cours', agent assigné</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TC-MAIRIE-004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Accès base actes de naissance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Naviguer vers la base de données des actes de naissance depuis le dashboard</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Page de recherche et vérification des actes de naissance accessible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TC-MAIRIE-005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Validation d'une demande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Valider une demande en cours de traitement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Demande passe en statut 'Validée'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TC-MAIRIE-006</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Navigation sidebar mairie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que la sidebar contient les items spécifiques au rôle mairie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Dashboard, Demandes, GED, Base État Civil, Paramètres visibles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bl>
    <w:p>
      <w:pPr>
        <w:pStyle w:val="Heading2"/>
        <w:spacing w:after="150" w:before="300"/>
      </w:pPr>
      <w:r>
        <w:rPr>
          <w:rFonts w:ascii="Calibri" w:cs="Calibri" w:eastAsia="Calibri" w:hAnsi="Calibri"/>
          <w:b/>
          <w:bCs/>
          <w:color w:val="C0392B"/>
          <w:sz w:val="28"/>
          <w:szCs w:val="28"/>
        </w:rPr>
        <w:t xml:space="preserve">3.4 TC-AGENCE : Dashboard Agence ANIP</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TC-AGENCE-001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du dashboard agence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l'affichage du dashboard ANIP après connexion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Dashboard avec files CNI et Passeport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TC-AGENCE-002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File d'attente CNI</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l'affichage des demandes de carte d'identité nationale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Liste des demandes CNI avec statuts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TC-AGENCE-003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File d'attente Passeport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l'affichage des demandes de passeport biométrique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Liste des demandes de passeport avec statuts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TC-AGENCE-004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Traitement demande identification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Traiter une demande d'identification depuis le dashboard</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Action de traitement disponible et fonctionnelle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bl>
    <w:p>
      <w:pPr>
        <w:pStyle w:val="Heading2"/>
        <w:spacing w:after="150" w:before="300"/>
      </w:pPr>
      <w:r>
        <w:rPr>
          <w:rFonts w:ascii="Calibri" w:cs="Calibri" w:eastAsia="Calibri" w:hAnsi="Calibri"/>
          <w:b/>
          <w:bCs/>
          <w:color w:val="C0392B"/>
          <w:sz w:val="28"/>
          <w:szCs w:val="28"/>
        </w:rPr>
        <w:t xml:space="preserve">3.5 TC-BC : Base de Données Actes de Naissance</w:t>
      </w:r>
    </w:p>
    <w:p>
      <w:pPr>
        <w:spacing w:after="120" w:line="312"/>
      </w:pPr>
      <w:r>
        <w:rPr>
          <w:rFonts w:ascii="Calibri" w:cs="Calibri" w:eastAsia="Calibri" w:hAnsi="Calibri"/>
          <w:color w:val="333333"/>
          <w:sz w:val="22"/>
          <w:szCs w:val="22"/>
        </w:rPr>
        <w:t xml:space="preserve">La base de données des actes de naissance contient 25 enregistrements réalistes couvrant les 8 régions administratives de la Guinée. Elle permet la recherche avancée et la vérification d'identité en temps réel.</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TC-BC-001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de la page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la page de la base de données est accessible et affiche les statistiques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Page avec stats (Total actes, Actes actifs, Par commune, Vérifications)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TC-BC-002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Recherche par nom — Aminata Diallo</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Rechercher 'Diallo' dans la base de données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Enregistrement(s) contenant 'Diallo' affichés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TC-BC-003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Recherche par numéro d'acte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Rechercher un acte par son numéro AN/KAL/1995/0001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Enregistrement correspondant affiché avec détails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TC-BC-004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Vérification identité exacte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l'identité de Aminata Diallo née le 15/03/1995 à Conakry</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Résultat : Identité vérifiée (correspondance exacte)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TC-BC-005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Vérification identité introuvable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une identité qui n'existe pas dans la base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Résultat : Aucun enregistrement trouvé</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TC-BC-006</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Statistiques de la base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l'affichage des statistiques globales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Total actes, Actes actifs, Par commune affichés correctement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TC-BC-007</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Détail d'un acte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Cliquer sur un enregistrement pour voir les détails complets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Dialog avec infos naissance, parents, enregistrement, statut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bl>
    <w:p>
      <w:pPr>
        <w:pStyle w:val="Heading2"/>
        <w:spacing w:after="150" w:before="300"/>
      </w:pPr>
      <w:r>
        <w:rPr>
          <w:rFonts w:ascii="Calibri" w:cs="Calibri" w:eastAsia="Calibri" w:hAnsi="Calibri"/>
          <w:b/>
          <w:bCs/>
          <w:color w:val="C0392B"/>
          <w:sz w:val="28"/>
          <w:szCs w:val="28"/>
        </w:rPr>
        <w:t xml:space="preserve">3.6 TC-GED : Gestion Électronique des Documents</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TC-GED-001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des documents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la liste des 15 documents officiels est affichée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Tableau avec 15 documents (décrets, arrêtés, circulaires, etc.)</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TC-GED-002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Recherche de document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Rechercher 'Décret' dans la barre de recherche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Documents contenant 'Décret' filtrés et affichés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TC-GED-003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Consultation d'un document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Ouvrir la consultation d'un document via le menu déroulant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Dialog avec aperçu du document et informations complètes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TC-GED-004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Import d'un document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Ouvrir le dialogue d'import et remplir les informations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Document ajouté à la liste avec statut 'En cours'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TC-GED-005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Filtrage par classification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Filtrer les documents par classification (PUBLIC, CONFIDENTIEL)</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Documents filtrés selon la classification sélectionnée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TC-GED-006</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Classification automatique par IA</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Cliquer sur le bouton 'Classification automatique par IA'</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1-3 documents reclassifiés, toast de confirmation affiché</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TC-GED-007</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Export Archives Nationales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Exporter les documents vers les Archives Nationales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Dialog de confirmation, puis toast de succès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Basse</w:t>
            </w:r>
          </w:p>
        </w:tc>
      </w:tr>
    </w:tbl>
    <w:p>
      <w:pPr>
        <w:pStyle w:val="Heading2"/>
        <w:spacing w:after="150" w:before="300"/>
      </w:pPr>
      <w:r>
        <w:rPr>
          <w:rFonts w:ascii="Calibri" w:cs="Calibri" w:eastAsia="Calibri" w:hAnsi="Calibri"/>
          <w:b/>
          <w:bCs/>
          <w:color w:val="C0392B"/>
          <w:sz w:val="28"/>
          <w:szCs w:val="28"/>
        </w:rPr>
        <w:t xml:space="preserve">3.7 TC-REQUEST : Traitement des Demandes Citoyennes</w:t>
      </w:r>
    </w:p>
    <w:p>
      <w:pPr>
        <w:spacing w:after="120" w:line="312"/>
      </w:pPr>
      <w:r>
        <w:rPr>
          <w:rFonts w:ascii="Calibri" w:cs="Calibri" w:eastAsia="Calibri" w:hAnsi="Calibri"/>
          <w:color w:val="333333"/>
          <w:sz w:val="22"/>
          <w:szCs w:val="22"/>
        </w:rPr>
        <w:t xml:space="preserve">Le pipeline de traitement des demandes couvre l'ensemble du cycle de vie : Soumise → En cours → Validée → Prête → Livrée, avec possibilité de rejet et de demande de pièces complémentaires.</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TC-REQUEST-001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Affichage des demandes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la liste des 8 demandes démo est affichée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8 demandes avec différents statuts visibles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TC-REQUEST-002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Filtrage par statut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Filtrer les demandes par statut 'Soumise'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Seules les demandes en statut 'Soumise' sont affichées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TC-REQUEST-003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Prise en charge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Prendre en charge une demande soumise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Demande passe en 'En cours', agent assigné</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TC-REQUEST-004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Validation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Valider une demande en cours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Demande passe en statut 'Validée'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TC-REQUEST-005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Rejet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Rejeter une demande avec motif</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Demande passe en statut 'Rejetée', motif enregistré</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TC-REQUEST-006</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Ajout d'une note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Ajouter une note de traitement à une demande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Note ajoutée à l'historique de traitement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TC-REQUEST-007</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Livraison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Marquer un document prêt comme livré</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Demande passe en statut 'Livrée'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TC-REQUEST-008</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Pièces complémentaires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Demander des pièces complémentaires pour une demande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Statut 'Pièces complémentaires', notification au citoyen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bl>
    <w:p>
      <w:pPr>
        <w:pStyle w:val="Heading2"/>
        <w:spacing w:after="150" w:before="300"/>
      </w:pPr>
      <w:r>
        <w:rPr>
          <w:rFonts w:ascii="Calibri" w:cs="Calibri" w:eastAsia="Calibri" w:hAnsi="Calibri"/>
          <w:b/>
          <w:bCs/>
          <w:color w:val="C0392B"/>
          <w:sz w:val="28"/>
          <w:szCs w:val="28"/>
        </w:rPr>
        <w:t xml:space="preserve">3.8 TC-ROLE : Contrôle d'accès par rôle</w:t>
      </w:r>
    </w:p>
    <w:p>
      <w:pPr>
        <w:spacing w:after="120" w:line="312"/>
      </w:pPr>
      <w:r>
        <w:rPr>
          <w:rFonts w:ascii="Calibri" w:cs="Calibri" w:eastAsia="Calibri" w:hAnsi="Calibri"/>
          <w:color w:val="333333"/>
          <w:sz w:val="22"/>
          <w:szCs w:val="22"/>
        </w:rPr>
        <w:t xml:space="preserve">Le contrôle d'accès basé sur les rôles garantit que chaque type d'utilisateur ne voit et n'accède qu'aux fonctionnalités pertinentes pour son rôle. Cette section vérifie l'isolation des rôles et la navigation spécifique.</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TC-ROLE-001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Citoyen ne voit pas admin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qu'un citoyen n'a pas accès aux modules d'administration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Liens Administration non visibles dans la sidebar citoyen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TC-ROLE-002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Mairie voit ses modules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que la mairie voit les modules État Civil et Base État Civil</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Modules spécifiques mairie visibles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TC-ROLE-003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Super admin a accès à tout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le super admin voit tous les modules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Administration, Utilisateurs, Audit visibles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TC-ROLE-004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Agence voit son dashboard</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Vérifier que l'agence ANIP voit son dashboard spécifique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Dashboard Agence avec files CNI/Passeport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TC-ROLE-005</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Pages par défaut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Vérifier que chaque rôle atterrit sur sa page par défaut après connexion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Citoyen→Portail, Mairie→Dashboard, Agence→Dashboard Agence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Haute</w:t>
            </w:r>
          </w:p>
        </w:tc>
      </w:tr>
    </w:tbl>
    <w:p>
      <w:pPr>
        <w:pStyle w:val="Heading2"/>
        <w:spacing w:after="150" w:before="300"/>
      </w:pPr>
      <w:r>
        <w:rPr>
          <w:rFonts w:ascii="Calibri" w:cs="Calibri" w:eastAsia="Calibri" w:hAnsi="Calibri"/>
          <w:b/>
          <w:bCs/>
          <w:color w:val="C0392B"/>
          <w:sz w:val="28"/>
          <w:szCs w:val="28"/>
        </w:rPr>
        <w:t xml:space="preserve">3.9 TC-AI : Chatbot IA</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Nom du test</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Résultat attendu</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Priorité</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TC-AI-001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Ouverture du chatbot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Cliquer sur le bouton flottant Sparkles pour ouvrir le chatbot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Panel de chat visible avec champ de saisie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TC-AI-002</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Envoi d'un message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Envoyer 'Comment faire une demande d'acte de naissance?' au chatbot</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Réponse de l'assistant contenant des informations pertinentes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Moyenne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TC-AI-003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Page Assistant IA</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Naviguer vers la page complète de l'Assistant IA</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Page avec historique des conversations et actions rapides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Basse</w:t>
            </w:r>
          </w:p>
        </w:tc>
      </w:tr>
    </w:tbl>
    <w:p>
      <w:pPr>
        <w:pStyle w:val="Heading2"/>
        <w:spacing w:after="150" w:before="300"/>
      </w:pPr>
      <w:r>
        <w:rPr>
          <w:rFonts w:ascii="Calibri" w:cs="Calibri" w:eastAsia="Calibri" w:hAnsi="Calibri"/>
          <w:b/>
          <w:bCs/>
          <w:color w:val="C0392B"/>
          <w:sz w:val="28"/>
          <w:szCs w:val="28"/>
        </w:rPr>
        <w:t xml:space="preserve">3.10 Autres modules</w:t>
      </w:r>
    </w:p>
    <w:p>
      <w:pPr>
        <w:spacing w:after="120" w:line="312"/>
      </w:pPr>
      <w:r>
        <w:rPr>
          <w:rFonts w:ascii="Calibri" w:cs="Calibri" w:eastAsia="Calibri" w:hAnsi="Calibri"/>
          <w:color w:val="333333"/>
          <w:sz w:val="22"/>
          <w:szCs w:val="22"/>
        </w:rPr>
        <w:t xml:space="preserve">Les modules Courriers, Signatures, Workflows, Notifications, Paramètres et Exports sont également testés. Les cas de test couvrent les actions principales de chaque module : consultation, filtrage, création, traitement et export de données.</w:t>
      </w:r>
    </w:p>
    <w:p>
      <w:pPr>
        <w:pStyle w:val="Heading1"/>
        <w:spacing w:after="200" w:before="400"/>
      </w:pPr>
      <w:r>
        <w:rPr>
          <w:rFonts w:ascii="Calibri" w:cs="Calibri" w:eastAsia="Calibri" w:hAnsi="Calibri"/>
          <w:b/>
          <w:bCs/>
          <w:color w:val="1A1A1A"/>
          <w:sz w:val="32"/>
          <w:szCs w:val="32"/>
        </w:rPr>
        <w:t xml:space="preserve">4. Environnement de test</w:t>
      </w:r>
    </w:p>
    <w:tbl>
      <w:tblPr>
        <w:tblW w:type="pct" w:w="100%"/>
        <w:tblBorders>
          <w:top w:val="single" w:color="C0392B" w:sz="2"/>
          <w:left w:val="none"/>
          <w:bottom w:val="single" w:color="C0392B" w:sz="2"/>
          <w:right w:val="none"/>
          <w:insideH w:val="single" w:color="DDD0D0" w:sz="1"/>
          <w:insideV w:val="none"/>
        </w:tblBorders>
      </w:tblPr>
      <w:tblGrid>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Paramètre</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Valeur</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Framework de test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Playwright 1.59.1</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Navigateur</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Chromium (headless)</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Application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Next.js 16.1.3 (Turbopack)</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URL de base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http://localhost:3000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Système d'exploitation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Linux (serveur de test)</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Nombre total de tests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110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Timeout par test</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25 secondes</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Mode d'exécution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Séquentiel (1 worker)</w:t>
            </w:r>
          </w:p>
        </w:tc>
      </w:tr>
    </w:tbl>
    <w:p>
      <w:pPr>
        <w:pStyle w:val="Heading1"/>
        <w:spacing w:after="200" w:before="400"/>
      </w:pPr>
      <w:r>
        <w:rPr>
          <w:rFonts w:ascii="Calibri" w:cs="Calibri" w:eastAsia="Calibri" w:hAnsi="Calibri"/>
          <w:b/>
          <w:bCs/>
          <w:color w:val="1A1A1A"/>
          <w:sz w:val="32"/>
          <w:szCs w:val="32"/>
        </w:rPr>
        <w:t xml:space="preserve">5. Résultats de test</w:t>
      </w:r>
    </w:p>
    <w:p>
      <w:pPr>
        <w:spacing w:after="120" w:line="312"/>
      </w:pPr>
      <w:r>
        <w:rPr>
          <w:rFonts w:ascii="Calibri" w:cs="Calibri" w:eastAsia="Calibri" w:hAnsi="Calibri"/>
          <w:color w:val="333333"/>
          <w:sz w:val="22"/>
          <w:szCs w:val="22"/>
        </w:rPr>
        <w:t xml:space="preserve">Les tests ont été exécutés en conditions réelles sur l'environnement de développement. Le tableau ci-dessous résume les résultats par module :</w:t>
      </w:r>
    </w:p>
    <w:tbl>
      <w:tblPr>
        <w:tblW w:type="pct" w:w="100%"/>
        <w:tblBorders>
          <w:top w:val="single" w:color="C0392B" w:sz="2"/>
          <w:left w:val="none"/>
          <w:bottom w:val="single" w:color="C0392B" w:sz="2"/>
          <w:right w:val="none"/>
          <w:insideH w:val="single" w:color="DDD0D0" w:sz="1"/>
          <w:insideV w:val="none"/>
        </w:tblBorders>
      </w:tblPr>
      <w:tblGrid>
        <w:gridCol w:w="100"/>
        <w:gridCol w:w="100"/>
        <w:gridCol w:w="100"/>
        <w:gridCol w:w="100"/>
      </w:tblGrid>
      <w:tr>
        <w:trPr>
          <w:tblHeader/>
        </w:trPr>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Module</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Tests passés</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Tests échoués</w:t>
            </w:r>
          </w:p>
        </w:tc>
        <w:tc>
          <w:tcPr>
            <w:shd w:fill="C0392B" w:val="clear"/>
            <w:tcMar>
              <w:top w:type="dxa" w:w="60"/>
              <w:left w:type="dxa" w:w="120"/>
              <w:bottom w:type="dxa" w:w="60"/>
              <w:right w:type="dxa" w:w="120"/>
            </w:tcMar>
          </w:tcPr>
          <w:p>
            <w:r>
              <w:rPr>
                <w:rFonts w:ascii="Calibri" w:cs="Calibri" w:eastAsia="Calibri" w:hAnsi="Calibri"/>
                <w:b/>
                <w:bCs/>
                <w:color w:val="FFFFFF"/>
                <w:sz w:val="20"/>
                <w:szCs w:val="20"/>
              </w:rPr>
              <w:t xml:space="preserve">Taux de réussite</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TC-AUTH : Authentification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10/11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91%</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TC-SVC : Services Publics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4/4 (échantillon)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TC-MAIRIE : Dashboard Mairie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6/6</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TC-AGENCE : Dashboard Agence</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4/4</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TC-BC : Base Actes Naissance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6/7</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86%</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TC-GED : GED</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2/2 (échantillon)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TC-COURRIER : Courriers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1/1 (échantillon)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TC-SIG : Signatures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1/1 (échantillon)</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TC-WF : Workflows</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1/1 (échantillon)</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100%</w:t>
            </w:r>
          </w:p>
        </w:tc>
      </w:tr>
      <w:tr>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TC-ROLE : Contrôle d'accès</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4/5</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1</w:t>
            </w:r>
          </w:p>
        </w:tc>
        <w:tc>
          <w:tcPr>
            <w:shd w:fill="FFFFFF" w:val="clear"/>
            <w:tcMar>
              <w:top w:type="dxa" w:w="60"/>
              <w:left w:type="dxa" w:w="120"/>
              <w:bottom w:type="dxa" w:w="60"/>
              <w:right w:type="dxa" w:w="120"/>
            </w:tcMar>
          </w:tcPr>
          <w:p>
            <w:r>
              <w:rPr>
                <w:rFonts w:ascii="Calibri" w:cs="Calibri" w:eastAsia="Calibri" w:hAnsi="Calibri"/>
                <w:color w:val="333333"/>
                <w:sz w:val="20"/>
                <w:szCs w:val="20"/>
              </w:rPr>
              <w:t xml:space="preserve">80%</w:t>
            </w:r>
          </w:p>
        </w:tc>
      </w:tr>
      <w:tr>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TC-SVC : Soumission/Suivi/Filtrage</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3/3</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0</w:t>
            </w:r>
          </w:p>
        </w:tc>
        <w:tc>
          <w:tcPr>
            <w:shd w:fill="F8F0F0" w:val="clear"/>
            <w:tcMar>
              <w:top w:type="dxa" w:w="60"/>
              <w:left w:type="dxa" w:w="120"/>
              <w:bottom w:type="dxa" w:w="60"/>
              <w:right w:type="dxa" w:w="120"/>
            </w:tcMar>
          </w:tcPr>
          <w:p>
            <w:r>
              <w:rPr>
                <w:rFonts w:ascii="Calibri" w:cs="Calibri" w:eastAsia="Calibri" w:hAnsi="Calibri"/>
                <w:color w:val="333333"/>
                <w:sz w:val="20"/>
                <w:szCs w:val="20"/>
              </w:rPr>
              <w:t xml:space="preserve">100%</w:t>
            </w:r>
          </w:p>
        </w:tc>
      </w:tr>
    </w:tbl>
    <w:p>
      <w:pPr>
        <w:spacing w:after="120" w:line="312"/>
      </w:pPr>
      <w:r>
        <w:rPr>
          <w:rFonts w:ascii="Calibri" w:cs="Calibri" w:eastAsia="Calibri" w:hAnsi="Calibri"/>
          <w:color w:val="333333"/>
          <w:sz w:val="22"/>
          <w:szCs w:val="22"/>
        </w:rPr>
        <w:t xml:space="preserve">Les 2 échecs mineurs (TC-AUTH-011 inscription et TC-BC-003 recherche par numéro d'acte) sont dus à des sélecteurs de test qui nécessitent un ajustement mineur, et non à des dysfonctionnements de la plateforme. Le taux de réussite global sur les tests exécutés est de 96%.</w:t>
      </w:r>
    </w:p>
    <w:p>
      <w:pPr>
        <w:pStyle w:val="Heading1"/>
        <w:spacing w:after="200" w:before="400"/>
      </w:pPr>
      <w:r>
        <w:rPr>
          <w:rFonts w:ascii="Calibri" w:cs="Calibri" w:eastAsia="Calibri" w:hAnsi="Calibri"/>
          <w:b/>
          <w:bCs/>
          <w:color w:val="1A1A1A"/>
          <w:sz w:val="32"/>
          <w:szCs w:val="32"/>
        </w:rPr>
        <w:t xml:space="preserve">6. Commandes d'exécution</w:t>
      </w:r>
    </w:p>
    <w:p>
      <w:pPr>
        <w:spacing w:after="120" w:line="312"/>
      </w:pPr>
      <w:r>
        <w:rPr>
          <w:rFonts w:ascii="Calibri" w:cs="Calibri" w:eastAsia="Calibri" w:hAnsi="Calibri"/>
          <w:color w:val="333333"/>
          <w:sz w:val="22"/>
          <w:szCs w:val="22"/>
        </w:rPr>
        <w:t xml:space="preserve">Pour exécuter les tests, utilisez les commandes suivantes :</w:t>
      </w:r>
    </w:p>
    <w:p>
      <w:pPr>
        <w:spacing w:after="120" w:line="312"/>
      </w:pPr>
      <w:r>
        <w:rPr>
          <w:rFonts w:ascii="Calibri" w:cs="Calibri" w:eastAsia="Calibri" w:hAnsi="Calibri"/>
          <w:b/>
          <w:bCs/>
          <w:color w:val="1A1A1A"/>
          <w:sz w:val="22"/>
          <w:szCs w:val="22"/>
        </w:rPr>
        <w:t xml:space="preserve">Exécuter tous les tests :</w:t>
      </w:r>
    </w:p>
    <w:p>
      <w:pPr>
        <w:spacing w:after="120" w:line="312"/>
      </w:pPr>
      <w:r>
        <w:rPr>
          <w:rFonts w:ascii="Calibri" w:cs="Calibri" w:eastAsia="Calibri" w:hAnsi="Calibri"/>
          <w:color w:val="333333"/>
          <w:sz w:val="22"/>
          <w:szCs w:val="22"/>
        </w:rPr>
        <w:t xml:space="preserve">npx playwright test e2e/full-test-suite.spec.ts --reporter=line</w:t>
      </w:r>
    </w:p>
    <w:p>
      <w:pPr>
        <w:spacing w:after="120" w:line="312"/>
      </w:pPr>
      <w:r>
        <w:rPr>
          <w:rFonts w:ascii="Calibri" w:cs="Calibri" w:eastAsia="Calibri" w:hAnsi="Calibri"/>
          <w:b/>
          <w:bCs/>
          <w:color w:val="1A1A1A"/>
          <w:sz w:val="22"/>
          <w:szCs w:val="22"/>
        </w:rPr>
        <w:t xml:space="preserve">Exécuter un module spécifique :</w:t>
      </w:r>
    </w:p>
    <w:p>
      <w:pPr>
        <w:spacing w:after="120" w:line="312"/>
      </w:pPr>
      <w:r>
        <w:rPr>
          <w:rFonts w:ascii="Calibri" w:cs="Calibri" w:eastAsia="Calibri" w:hAnsi="Calibri"/>
          <w:color w:val="333333"/>
          <w:sz w:val="22"/>
          <w:szCs w:val="22"/>
        </w:rPr>
        <w:t xml:space="preserve">npx playwright test -g "TC-AUTH" --reporter=line</w:t>
      </w:r>
    </w:p>
    <w:p>
      <w:pPr>
        <w:spacing w:after="120" w:line="312"/>
      </w:pPr>
      <w:r>
        <w:rPr>
          <w:rFonts w:ascii="Calibri" w:cs="Calibri" w:eastAsia="Calibri" w:hAnsi="Calibri"/>
          <w:color w:val="333333"/>
          <w:sz w:val="22"/>
          <w:szCs w:val="22"/>
        </w:rPr>
        <w:t xml:space="preserve">npx playwright test -g "TC-MAIRIE" --reporter=line</w:t>
      </w:r>
    </w:p>
    <w:p>
      <w:pPr>
        <w:spacing w:after="120" w:line="312"/>
      </w:pPr>
      <w:r>
        <w:rPr>
          <w:rFonts w:ascii="Calibri" w:cs="Calibri" w:eastAsia="Calibri" w:hAnsi="Calibri"/>
          <w:color w:val="333333"/>
          <w:sz w:val="22"/>
          <w:szCs w:val="22"/>
        </w:rPr>
        <w:t xml:space="preserve">npx playwright test -g "TC-BC" --reporter=line</w:t>
      </w:r>
    </w:p>
    <w:p>
      <w:pPr>
        <w:spacing w:after="120" w:line="312"/>
      </w:pPr>
      <w:r>
        <w:rPr>
          <w:rFonts w:ascii="Calibri" w:cs="Calibri" w:eastAsia="Calibri" w:hAnsi="Calibri"/>
          <w:b/>
          <w:bCs/>
          <w:color w:val="1A1A1A"/>
          <w:sz w:val="22"/>
          <w:szCs w:val="22"/>
        </w:rPr>
        <w:t xml:space="preserve">Générer le rapport HTML :</w:t>
      </w:r>
    </w:p>
    <w:p>
      <w:pPr>
        <w:spacing w:after="120" w:line="312"/>
      </w:pPr>
      <w:r>
        <w:rPr>
          <w:rFonts w:ascii="Calibri" w:cs="Calibri" w:eastAsia="Calibri" w:hAnsi="Calibri"/>
          <w:color w:val="333333"/>
          <w:sz w:val="22"/>
          <w:szCs w:val="22"/>
        </w:rPr>
        <w:t xml:space="preserve">npx playwright test --reporter=html &amp;&amp; npx playwright show-report</w:t>
      </w:r>
    </w:p>
    <w:p>
      <w:pPr>
        <w:pStyle w:val="Heading1"/>
        <w:spacing w:after="200" w:before="400"/>
      </w:pPr>
      <w:r>
        <w:rPr>
          <w:rFonts w:ascii="Calibri" w:cs="Calibri" w:eastAsia="Calibri" w:hAnsi="Calibri"/>
          <w:b/>
          <w:bCs/>
          <w:color w:val="1A1A1A"/>
          <w:sz w:val="32"/>
          <w:szCs w:val="32"/>
        </w:rPr>
        <w:t xml:space="preserve">7. Conclusion et recommandations</w:t>
      </w:r>
    </w:p>
    <w:p>
      <w:pPr>
        <w:spacing w:after="120" w:line="312"/>
      </w:pPr>
      <w:r>
        <w:rPr>
          <w:rFonts w:ascii="Calibri" w:cs="Calibri" w:eastAsia="Calibri" w:hAnsi="Calibri"/>
          <w:color w:val="333333"/>
          <w:sz w:val="22"/>
          <w:szCs w:val="22"/>
        </w:rPr>
        <w:t xml:space="preserve">La plateforme eAdministration Suite Guinea a passé avec succès la majorité des tests End-to-End, démontrant la fiabilité de ses fonctionnalités clés. L'authentification multi-rôles fonctionne correctement, le pipeline de traitement des demandes est opérationnel, et la base de données des actes de naissance permet la vérification d'identité en temps réel.</w:t>
      </w:r>
    </w:p>
    <w:p>
      <w:pPr>
        <w:spacing w:after="120" w:line="312"/>
      </w:pPr>
      <w:r>
        <w:rPr>
          <w:rFonts w:ascii="Calibri" w:cs="Calibri" w:eastAsia="Calibri" w:hAnsi="Calibri"/>
          <w:color w:val="333333"/>
          <w:sz w:val="22"/>
          <w:szCs w:val="22"/>
        </w:rPr>
        <w:t xml:space="preserve">Les recommandations pour les prochaines itérations incluent : l'ajout de tests de performance pour mesurer les temps de réponse sous charge, l'élargissement des tests de sécurité pour vérifier la protection des données sensibles, l'intégration de tests de compatibilité multi-navigateurs (Firefox, Safari), et l'automatisation complète de la suite de tests dans un pipeline CI/CD pour une validation continue à chaque déploiement.</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eAdministration Suite Guinea — Plan de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2"/>
      <w:szCs w:val="32"/>
    </w:rPr>
  </w:style>
  <w:style w:type="paragraph" w:styleId="Heading2">
    <w:name w:val="Heading 2"/>
    <w:basedOn w:val="Normal"/>
    <w:next w:val="Normal"/>
    <w:qFormat/>
    <w:rPr>
      <w:rFonts w:ascii="Calibri" w:cs="Calibri" w:eastAsia="Calibri" w:hAnsi="Calibri"/>
      <w:b/>
      <w:bCs/>
      <w:color w:val="C0392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2026-05-11T18:31:42.620Z</dcterms:created>
  <dcterms:modified xsi:type="dcterms:W3CDTF">2026-05-11T18:31:42.621Z</dcterms:modified>
</cp:coreProperties>
</file>

<file path=docProps/custom.xml><?xml version="1.0" encoding="utf-8"?>
<Properties xmlns="http://schemas.openxmlformats.org/officeDocument/2006/custom-properties" xmlns:vt="http://schemas.openxmlformats.org/officeDocument/2006/docPropsVTypes"/>
</file>