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C1F1A" w:val="clear"/>
            <w:vAlign w:val="top"/>
          </w:tcPr>
          <w:p>
            <w:pPr>
              <w:spacing w:before="2800"/>
            </w:pPr>
          </w:p>
          <w:p>
            <w:pPr>
              <w:spacing w:after="200" w:line="900" w:lineRule="atLeast"/>
              <w:jc w:val="center"/>
            </w:pPr>
            <w:r>
              <w:rPr>
                <w:rFonts w:ascii="Calibri" w:eastAsia="SimHei"/>
                <w:b/>
                <w:bCs/>
                <w:color w:val="FFFFFF"/>
                <w:sz w:val="72"/>
                <w:szCs w:val="72"/>
              </w:rPr>
              <w:t xml:space="preserve">HealthFlow Africa</w:t>
            </w:r>
          </w:p>
          <w:p>
            <w:pPr>
              <w:pBdr>
                <w:top w:val="single" w:color="3CB4A0" w:sz="8" w:space="20"/>
              </w:pBdr>
              <w:spacing w:after="300"/>
              <w:ind w:left="1500" w:right="1500"/>
              <w:jc w:val="center"/>
            </w:pPr>
          </w:p>
          <w:p>
            <w:pPr>
              <w:spacing w:after="100" w:line="600" w:lineRule="atLeast"/>
              <w:jc w:val="center"/>
            </w:pPr>
            <w:r>
              <w:rPr>
                <w:rFonts w:ascii="Calibri" w:eastAsia="Microsoft YaHei"/>
                <w:color w:val="B0E8D8"/>
                <w:sz w:val="36"/>
                <w:szCs w:val="36"/>
              </w:rPr>
              <w:t xml:space="preserve">Feuille de Route Stratégique 2025–2030</w:t>
            </w:r>
          </w:p>
          <w:p>
            <w:pPr>
              <w:spacing w:after="80" w:line="500" w:lineRule="atLeast"/>
              <w:jc w:val="center"/>
            </w:pPr>
            <w:r>
              <w:rPr>
                <w:rFonts w:ascii="Calibri" w:eastAsia="Microsoft YaHei"/>
                <w:i/>
                <w:iCs/>
                <w:color w:val="90B8A8"/>
                <w:sz w:val="26"/>
                <w:szCs w:val="26"/>
              </w:rPr>
              <w:t xml:space="preserve">Transformer la santé numérique en Guinée et en Afrique</w:t>
            </w:r>
          </w:p>
          <w:p>
            <w:pPr>
              <w:spacing w:before="1800"/>
            </w:pPr>
          </w:p>
          <w:p>
            <w:pPr>
              <w:spacing w:after="60"/>
              <w:jc w:val="center"/>
            </w:pPr>
            <w:r>
              <w:rPr>
                <w:rFonts w:ascii="Calibri" w:eastAsia="Microsoft YaHei"/>
                <w:b/>
                <w:bCs/>
                <w:color w:val="B0E8D8"/>
                <w:sz w:val="24"/>
                <w:szCs w:val="24"/>
              </w:rPr>
              <w:t xml:space="preserve">DataSphere Innovation</w:t>
            </w:r>
          </w:p>
          <w:p>
            <w:pPr>
              <w:spacing w:after="60"/>
              <w:jc w:val="center"/>
            </w:pPr>
            <w:r>
              <w:rPr>
                <w:rFonts w:ascii="Calibri" w:eastAsia="Microsoft YaHei"/>
                <w:color w:val="90B8A8"/>
                <w:sz w:val="20"/>
                <w:szCs w:val="20"/>
              </w:rPr>
              <w:t xml:space="preserve">France &amp; Guinée • Fondé par Sekouna KABA</w:t>
            </w:r>
          </w:p>
          <w:p>
            <w:pPr>
              <w:jc w:val="center"/>
            </w:pPr>
            <w:r>
              <w:rPr>
                <w:rFonts w:ascii="Calibri" w:eastAsia="Microsoft YaHei"/>
                <w:color w:val="687078"/>
                <w:sz w:val="20"/>
                <w:szCs w:val="20"/>
              </w:rPr>
              <w:t xml:space="preserve">Mai 2025</w:t>
            </w:r>
          </w:p>
        </w:tc>
      </w:tr>
    </w:tbl>
    <w:p>
      <w:pPr>
        <w:sectPr>
          <w:pgSz w:w="11906" w:h="16838" w:orient="portrait"/>
          <w:pgMar w:top="0" w:right="0" w:bottom="0" w:left="0" w:header="708" w:footer="708" w:gutter="0"/>
          <w:pgNumType/>
          <w:docGrid w:linePitch="360"/>
        </w:sectPr>
      </w:pPr>
    </w:p>
    <w:p>
      <w:pPr>
        <w:pStyle w:val="Heading1"/>
        <w:spacing w:after="200" w:before="400" w:line="312"/>
      </w:pPr>
      <w:r>
        <w:rPr>
          <w:rFonts w:ascii="Calibri" w:eastAsia="SimHei"/>
          <w:b/>
          <w:bCs/>
          <w:color w:val="1A3A3A"/>
          <w:sz w:val="32"/>
          <w:szCs w:val="32"/>
        </w:rPr>
        <w:t xml:space="preserve">1. Vision et Ambition</w:t>
      </w:r>
    </w:p>
    <w:p>
      <w:pPr>
        <w:spacing w:after="80" w:line="312"/>
        <w:ind w:firstLine="420"/>
        <w:jc w:val="both"/>
      </w:pPr>
      <w:r>
        <w:rPr>
          <w:rFonts w:ascii="Calibri" w:eastAsia="Microsoft YaHei"/>
          <w:color w:val="1E2E40"/>
          <w:sz w:val="22"/>
          <w:szCs w:val="22"/>
        </w:rPr>
        <w:t xml:space="preserve">HealthFlow Africa est bien plus qu’un simple système d’information hospitalier. C’est une plateforme de santé numérique pensée, conçue et déployée pour le contexte africain, avec une ambition claire : rendre les soins de santé accessibles, efficaces et intelligents pour chaque citoyen, de Conakry aux zones rurales les plus reculées du continent. Notre vision s’articule autour de trois piliers fondamentaux qui guident chaque décision stratégique et chaque ligne de code que nous écrivons.</w:t>
      </w:r>
    </w:p>
    <w:p>
      <w:pPr>
        <w:spacing w:after="80" w:line="312"/>
        <w:ind w:firstLine="420"/>
        <w:jc w:val="both"/>
      </w:pPr>
      <w:r>
        <w:rPr>
          <w:rFonts w:ascii="Calibri" w:eastAsia="Microsoft YaHei"/>
          <w:color w:val="1E2E40"/>
          <w:sz w:val="22"/>
          <w:szCs w:val="22"/>
        </w:rPr>
        <w:t xml:space="preserve">Le premier pilier est l’universalité de l’accès aux soins. En Afrique, la fracture numérique reste une réalité : seuls 36% de la population guinéenne a accès régulier à Internet, et cette proportion chute à moins de 10% dans les zones rurales. HealthFlow Africa intègre dès sa conception des mécanismes de fonctionnement offline, des interfaces légères compatibles avec les téléphones basiques, et des ponts SMS/WhatsApp pour atteindre chaque patient, même sans connexion Internet. L’objectif est qu’aucun citoyen ne soit privé de soins de qualité pour des raisons technologiques.</w:t>
      </w:r>
    </w:p>
    <w:p>
      <w:pPr>
        <w:spacing w:after="80" w:line="312"/>
        <w:ind w:firstLine="420"/>
        <w:jc w:val="both"/>
      </w:pPr>
      <w:r>
        <w:rPr>
          <w:rFonts w:ascii="Calibri" w:eastAsia="Microsoft YaHei"/>
          <w:color w:val="1E2E40"/>
          <w:sz w:val="22"/>
          <w:szCs w:val="22"/>
        </w:rPr>
        <w:t xml:space="preserve">Le deuxième pilier est l’intelligence artificielle au service du diagnostic et de la décision médicale. L’Afrique fait face à une pénurie critique de personnels de santé : la Guinée compte seulement 1 médecin pour 10 000 habitants, loin des recommandations de l’OMS. HealthFlow Africa intègre un assistant IA de diagnostic, un vérificateur d’interactions médicamenteuses et un système d’alerte précoce pour les épidémies, permettant aux agents de santé communautaires de poser des diagnostics préliminaires fiables et d’orienter les patients vers les structures adaptées.</w:t>
      </w:r>
    </w:p>
    <w:p>
      <w:pPr>
        <w:spacing w:after="80" w:line="312"/>
        <w:ind w:firstLine="420"/>
        <w:jc w:val="both"/>
      </w:pPr>
      <w:r>
        <w:rPr>
          <w:rFonts w:ascii="Calibri" w:eastAsia="Microsoft YaHei"/>
          <w:color w:val="1E2E40"/>
          <w:sz w:val="22"/>
          <w:szCs w:val="22"/>
        </w:rPr>
        <w:t xml:space="preserve">Le troisième pilier est l’interopérabilité à l’échelle continentale. Les systèmes de santé africains fonctionnent souvent en silos, rendant impossible le suivi d’un patient entre différentes structures ou pays. HealthFlow Africa adopte les standards internationaux HL7 FHIR et openHIE pour garantir que chaque donnée de santé puisse circuler de manière sécurisée entre établissements, régions et pays, créant un véritable réseau de santé numérique panafricain.</w:t>
      </w:r>
    </w:p>
    <w:p>
      <w:pPr>
        <w:pBdr>
          <w:top w:val="single" w:color="3CB4A0" w:sz="8" w:space="16"/>
        </w:pBdr>
        <w:spacing w:after="100" w:before="100"/>
        <w:ind w:left="500" w:right="500"/>
      </w:pPr>
    </w:p>
    <w:p>
      <w:pPr>
        <w:pStyle w:val="Heading1"/>
        <w:spacing w:after="200" w:before="400" w:line="312"/>
      </w:pPr>
      <w:r>
        <w:rPr>
          <w:rFonts w:ascii="Calibri" w:eastAsia="SimHei"/>
          <w:b/>
          <w:bCs/>
          <w:color w:val="1A3A3A"/>
          <w:sz w:val="32"/>
          <w:szCs w:val="32"/>
        </w:rPr>
        <w:t xml:space="preserve">2. État des Lieux</w:t>
      </w:r>
    </w:p>
    <w:p>
      <w:pPr>
        <w:spacing w:after="80" w:line="312"/>
        <w:ind w:firstLine="420"/>
        <w:jc w:val="both"/>
      </w:pPr>
      <w:r>
        <w:rPr>
          <w:rFonts w:ascii="Calibri" w:eastAsia="Microsoft YaHei"/>
          <w:color w:val="1E2E40"/>
          <w:sz w:val="22"/>
          <w:szCs w:val="22"/>
        </w:rPr>
        <w:t xml:space="preserve">La version actuelle de HealthFlow Guinea constitue une base solide et fonctionnelle. Développée avec Next.js 16, React 19, TypeScript et une architecture Zustand avec persistance locale, la plateforme offre déjà 15 modules fonctionnels couvrant l’ensemble du parcours de soins : gestion des patients, rendez-vous, consultations, laboratoire, pharmacie, hospitalisation, urgences, maternité, vaccination, facturation, téléconsultation, analytics, administration et paramètres. Un portail patient avec comptes familiaux et un système RBAC complètent cette offre.</w:t>
      </w:r>
    </w:p>
    <w:p>
      <w:pPr>
        <w:spacing w:after="80" w:line="312"/>
        <w:ind w:firstLine="420"/>
        <w:jc w:val="both"/>
      </w:pPr>
      <w:r>
        <w:rPr>
          <w:rFonts w:ascii="Calibri" w:eastAsia="Microsoft YaHei"/>
          <w:color w:val="1E2E40"/>
          <w:sz w:val="22"/>
          <w:szCs w:val="22"/>
        </w:rPr>
        <w:t xml:space="preserve">Cependant, pour devenir un projet de référence à l’échelle africaine, plusieurs lacunes doivent être comblées. L’application fonctionne actuellement en mode SPA avec stockage localStorage, sans connexion aux API backend existantes. L’authentification n’est pas encore opérationnelle malgré la présence de next-auth. Le support multilingue est installé mais non configuré. Aucune fonctionnalité offline n’est implémentée. L’intégration mobile money est absente, alors qu’elle représente le principal mode de paiement en Afrique de l’Ouest. Enfin, les capacités IA du z-ai-web-dev-sdk ne sont pas encore exploitées.</w:t>
      </w:r>
    </w:p>
    <w:tbl>
      <w:tblPr>
        <w:tblW w:type="pct" w:w="100%"/>
        <w:tblBorders>
          <w:top w:val="single" w:color="2A7A65" w:sz="2"/>
          <w:left w:val="none"/>
          <w:bottom w:val="single" w:color="2A7A65" w:sz="2"/>
          <w:right w:val="none"/>
          <w:insideH w:val="single" w:color="C5D8D0" w:sz="1"/>
          <w:insideV w:val="none"/>
        </w:tblBorders>
      </w:tblPr>
      <w:tblGrid>
        <w:gridCol w:w="100"/>
        <w:gridCol w:w="100"/>
        <w:gridCol w:w="100"/>
        <w:gridCol w:w="100"/>
      </w:tblGrid>
      <w:tr>
        <w:trPr>
          <w:cantSplit/>
          <w:tblHeader/>
        </w:trPr>
        <w:tc>
          <w:tcPr>
            <w:shd w:fill="2A7A65" w:val="clear"/>
            <w:tcMar>
              <w:top w:type="dxa" w:w="60"/>
              <w:left w:type="dxa" w:w="120"/>
              <w:bottom w:type="dxa" w:w="60"/>
              <w:right w:type="dxa" w:w="120"/>
            </w:tcMar>
          </w:tcPr>
          <w:p>
            <w:r>
              <w:rPr>
                <w:rFonts w:ascii="Calibri" w:eastAsia="Microsoft YaHei"/>
                <w:b/>
                <w:bCs/>
                <w:color w:val="FFFFFF"/>
                <w:sz w:val="21"/>
                <w:szCs w:val="21"/>
              </w:rPr>
              <w:t xml:space="preserve">Module</w:t>
            </w:r>
          </w:p>
        </w:tc>
        <w:tc>
          <w:tcPr>
            <w:shd w:fill="2A7A65" w:val="clear"/>
            <w:tcMar>
              <w:top w:type="dxa" w:w="60"/>
              <w:left w:type="dxa" w:w="120"/>
              <w:bottom w:type="dxa" w:w="60"/>
              <w:right w:type="dxa" w:w="120"/>
            </w:tcMar>
          </w:tcPr>
          <w:p>
            <w:r>
              <w:rPr>
                <w:rFonts w:ascii="Calibri" w:eastAsia="Microsoft YaHei"/>
                <w:b/>
                <w:bCs/>
                <w:color w:val="FFFFFF"/>
                <w:sz w:val="21"/>
                <w:szCs w:val="21"/>
              </w:rPr>
              <w:t xml:space="preserve">Statut Actuel</w:t>
            </w:r>
          </w:p>
        </w:tc>
        <w:tc>
          <w:tcPr>
            <w:shd w:fill="2A7A65" w:val="clear"/>
            <w:tcMar>
              <w:top w:type="dxa" w:w="60"/>
              <w:left w:type="dxa" w:w="120"/>
              <w:bottom w:type="dxa" w:w="60"/>
              <w:right w:type="dxa" w:w="120"/>
            </w:tcMar>
          </w:tcPr>
          <w:p>
            <w:r>
              <w:rPr>
                <w:rFonts w:ascii="Calibri" w:eastAsia="Microsoft YaHei"/>
                <w:b/>
                <w:bCs/>
                <w:color w:val="FFFFFF"/>
                <w:sz w:val="21"/>
                <w:szCs w:val="21"/>
              </w:rPr>
              <w:t xml:space="preserve">Cible Phase 1</w:t>
            </w:r>
          </w:p>
        </w:tc>
        <w:tc>
          <w:tcPr>
            <w:shd w:fill="2A7A65" w:val="clear"/>
            <w:tcMar>
              <w:top w:type="dxa" w:w="60"/>
              <w:left w:type="dxa" w:w="120"/>
              <w:bottom w:type="dxa" w:w="60"/>
              <w:right w:type="dxa" w:w="120"/>
            </w:tcMar>
          </w:tcPr>
          <w:p>
            <w:r>
              <w:rPr>
                <w:rFonts w:ascii="Calibri" w:eastAsia="Microsoft YaHei"/>
                <w:b/>
                <w:bCs/>
                <w:color w:val="FFFFFF"/>
                <w:sz w:val="21"/>
                <w:szCs w:val="21"/>
              </w:rPr>
              <w:t xml:space="preserve">Cible Phase 3</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Gestion Patients</w:t>
            </w:r>
          </w:p>
        </w:tc>
        <w:tc>
          <w:tcPr>
            <w:shd w:fill="EDF5F2" w:val="clear"/>
            <w:tcMar>
              <w:top w:type="dxa" w:w="60"/>
              <w:left w:type="dxa" w:w="120"/>
              <w:bottom w:type="dxa" w:w="60"/>
              <w:right w:type="dxa" w:w="120"/>
            </w:tcMar>
          </w:tcPr>
          <w:p>
            <w:r>
              <w:rPr>
                <w:rFonts w:ascii="Calibri" w:eastAsia="Microsoft YaHei"/>
                <w:color w:val="1E2E40"/>
                <w:sz w:val="20"/>
                <w:szCs w:val="20"/>
              </w:rPr>
              <w:t xml:space="preserve">CRUD + RBAC</w:t>
            </w:r>
          </w:p>
        </w:tc>
        <w:tc>
          <w:tcPr>
            <w:shd w:fill="EDF5F2" w:val="clear"/>
            <w:tcMar>
              <w:top w:type="dxa" w:w="60"/>
              <w:left w:type="dxa" w:w="120"/>
              <w:bottom w:type="dxa" w:w="60"/>
              <w:right w:type="dxa" w:w="120"/>
            </w:tcMar>
          </w:tcPr>
          <w:p>
            <w:r>
              <w:rPr>
                <w:rFonts w:ascii="Calibri" w:eastAsia="Microsoft YaHei"/>
                <w:color w:val="1E2E40"/>
                <w:sz w:val="20"/>
                <w:szCs w:val="20"/>
              </w:rPr>
              <w:t xml:space="preserve">Connexion API + Recherche avancée</w:t>
            </w:r>
          </w:p>
        </w:tc>
        <w:tc>
          <w:tcPr>
            <w:shd w:fill="EDF5F2" w:val="clear"/>
            <w:tcMar>
              <w:top w:type="dxa" w:w="60"/>
              <w:left w:type="dxa" w:w="120"/>
              <w:bottom w:type="dxa" w:w="60"/>
              <w:right w:type="dxa" w:w="120"/>
            </w:tcMar>
          </w:tcPr>
          <w:p>
            <w:r>
              <w:rPr>
                <w:rFonts w:ascii="Calibri" w:eastAsia="Microsoft YaHei"/>
                <w:color w:val="1E2E40"/>
                <w:sz w:val="20"/>
                <w:szCs w:val="20"/>
              </w:rPr>
              <w:t xml:space="preserve">ID Santé Nationale + QR</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Rendez-vous</w:t>
            </w:r>
          </w:p>
        </w:tc>
        <w:tc>
          <w:tcPr>
            <w:shd w:fill="FFFFFF" w:val="clear"/>
            <w:tcMar>
              <w:top w:type="dxa" w:w="60"/>
              <w:left w:type="dxa" w:w="120"/>
              <w:bottom w:type="dxa" w:w="60"/>
              <w:right w:type="dxa" w:w="120"/>
            </w:tcMar>
          </w:tcPr>
          <w:p>
            <w:r>
              <w:rPr>
                <w:rFonts w:ascii="Calibri" w:eastAsia="Microsoft YaHei"/>
                <w:color w:val="1E2E40"/>
                <w:sz w:val="20"/>
                <w:szCs w:val="20"/>
              </w:rPr>
              <w:t xml:space="preserve">Base fonctionnel</w:t>
            </w:r>
          </w:p>
        </w:tc>
        <w:tc>
          <w:tcPr>
            <w:shd w:fill="FFFFFF" w:val="clear"/>
            <w:tcMar>
              <w:top w:type="dxa" w:w="60"/>
              <w:left w:type="dxa" w:w="120"/>
              <w:bottom w:type="dxa" w:w="60"/>
              <w:right w:type="dxa" w:w="120"/>
            </w:tcMar>
          </w:tcPr>
          <w:p>
            <w:r>
              <w:rPr>
                <w:rFonts w:ascii="Calibri" w:eastAsia="Microsoft YaHei"/>
                <w:color w:val="1E2E40"/>
                <w:sz w:val="20"/>
                <w:szCs w:val="20"/>
              </w:rPr>
              <w:t xml:space="preserve">Rappels SMS/WhatsApp</w:t>
            </w:r>
          </w:p>
        </w:tc>
        <w:tc>
          <w:tcPr>
            <w:shd w:fill="FFFFFF" w:val="clear"/>
            <w:tcMar>
              <w:top w:type="dxa" w:w="60"/>
              <w:left w:type="dxa" w:w="120"/>
              <w:bottom w:type="dxa" w:w="60"/>
              <w:right w:type="dxa" w:w="120"/>
            </w:tcMar>
          </w:tcPr>
          <w:p>
            <w:r>
              <w:rPr>
                <w:rFonts w:ascii="Calibri" w:eastAsia="Microsoft YaHei"/>
                <w:color w:val="1E2E40"/>
                <w:sz w:val="20"/>
                <w:szCs w:val="20"/>
              </w:rPr>
              <w:t xml:space="preserve">IA optimisation créneaux</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Téléconsultation</w:t>
            </w:r>
          </w:p>
        </w:tc>
        <w:tc>
          <w:tcPr>
            <w:shd w:fill="EDF5F2" w:val="clear"/>
            <w:tcMar>
              <w:top w:type="dxa" w:w="60"/>
              <w:left w:type="dxa" w:w="120"/>
              <w:bottom w:type="dxa" w:w="60"/>
              <w:right w:type="dxa" w:w="120"/>
            </w:tcMar>
          </w:tcPr>
          <w:p>
            <w:r>
              <w:rPr>
                <w:rFonts w:ascii="Calibri" w:eastAsia="Microsoft YaHei"/>
                <w:color w:val="1E2E40"/>
                <w:sz w:val="20"/>
                <w:szCs w:val="20"/>
              </w:rPr>
              <w:t xml:space="preserve">Interface chat</w:t>
            </w:r>
          </w:p>
        </w:tc>
        <w:tc>
          <w:tcPr>
            <w:shd w:fill="EDF5F2" w:val="clear"/>
            <w:tcMar>
              <w:top w:type="dxa" w:w="60"/>
              <w:left w:type="dxa" w:w="120"/>
              <w:bottom w:type="dxa" w:w="60"/>
              <w:right w:type="dxa" w:w="120"/>
            </w:tcMar>
          </w:tcPr>
          <w:p>
            <w:r>
              <w:rPr>
                <w:rFonts w:ascii="Calibri" w:eastAsia="Microsoft YaHei"/>
                <w:color w:val="1E2E40"/>
                <w:sz w:val="20"/>
                <w:szCs w:val="20"/>
              </w:rPr>
              <w:t xml:space="preserve">Vidéo + Audio</w:t>
            </w:r>
          </w:p>
        </w:tc>
        <w:tc>
          <w:tcPr>
            <w:shd w:fill="EDF5F2" w:val="clear"/>
            <w:tcMar>
              <w:top w:type="dxa" w:w="60"/>
              <w:left w:type="dxa" w:w="120"/>
              <w:bottom w:type="dxa" w:w="60"/>
              <w:right w:type="dxa" w:w="120"/>
            </w:tcMar>
          </w:tcPr>
          <w:p>
            <w:r>
              <w:rPr>
                <w:rFonts w:ascii="Calibri" w:eastAsia="Microsoft YaHei"/>
                <w:color w:val="1E2E40"/>
                <w:sz w:val="20"/>
                <w:szCs w:val="20"/>
              </w:rPr>
              <w:t xml:space="preserve">IA pré-consultation</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Facturation</w:t>
            </w:r>
          </w:p>
        </w:tc>
        <w:tc>
          <w:tcPr>
            <w:shd w:fill="FFFFFF" w:val="clear"/>
            <w:tcMar>
              <w:top w:type="dxa" w:w="60"/>
              <w:left w:type="dxa" w:w="120"/>
              <w:bottom w:type="dxa" w:w="60"/>
              <w:right w:type="dxa" w:w="120"/>
            </w:tcMar>
          </w:tcPr>
          <w:p>
            <w:r>
              <w:rPr>
                <w:rFonts w:ascii="Calibri" w:eastAsia="Microsoft YaHei"/>
                <w:color w:val="1E2E40"/>
                <w:sz w:val="20"/>
                <w:szCs w:val="20"/>
              </w:rPr>
              <w:t xml:space="preserve">Factures basiques</w:t>
            </w:r>
          </w:p>
        </w:tc>
        <w:tc>
          <w:tcPr>
            <w:shd w:fill="FFFFFF" w:val="clear"/>
            <w:tcMar>
              <w:top w:type="dxa" w:w="60"/>
              <w:left w:type="dxa" w:w="120"/>
              <w:bottom w:type="dxa" w:w="60"/>
              <w:right w:type="dxa" w:w="120"/>
            </w:tcMar>
          </w:tcPr>
          <w:p>
            <w:r>
              <w:rPr>
                <w:rFonts w:ascii="Calibri" w:eastAsia="Microsoft YaHei"/>
                <w:color w:val="1E2E40"/>
                <w:sz w:val="20"/>
                <w:szCs w:val="20"/>
              </w:rPr>
              <w:t xml:space="preserve">Mobile Money (Orange/MTN)</w:t>
            </w:r>
          </w:p>
        </w:tc>
        <w:tc>
          <w:tcPr>
            <w:shd w:fill="FFFFFF" w:val="clear"/>
            <w:tcMar>
              <w:top w:type="dxa" w:w="60"/>
              <w:left w:type="dxa" w:w="120"/>
              <w:bottom w:type="dxa" w:w="60"/>
              <w:right w:type="dxa" w:w="120"/>
            </w:tcMar>
          </w:tcPr>
          <w:p>
            <w:r>
              <w:rPr>
                <w:rFonts w:ascii="Calibri" w:eastAsia="Microsoft YaHei"/>
                <w:color w:val="1E2E40"/>
                <w:sz w:val="20"/>
                <w:szCs w:val="20"/>
              </w:rPr>
              <w:t xml:space="preserve">Assurance santé intégrée</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Authentification</w:t>
            </w:r>
          </w:p>
        </w:tc>
        <w:tc>
          <w:tcPr>
            <w:shd w:fill="EDF5F2" w:val="clear"/>
            <w:tcMar>
              <w:top w:type="dxa" w:w="60"/>
              <w:left w:type="dxa" w:w="120"/>
              <w:bottom w:type="dxa" w:w="60"/>
              <w:right w:type="dxa" w:w="120"/>
            </w:tcMar>
          </w:tcPr>
          <w:p>
            <w:r>
              <w:rPr>
                <w:rFonts w:ascii="Calibri" w:eastAsia="Microsoft YaHei"/>
                <w:color w:val="1E2E40"/>
                <w:sz w:val="20"/>
                <w:szCs w:val="20"/>
              </w:rPr>
              <w:t xml:space="preserve">Non connecté</w:t>
            </w:r>
          </w:p>
        </w:tc>
        <w:tc>
          <w:tcPr>
            <w:shd w:fill="EDF5F2" w:val="clear"/>
            <w:tcMar>
              <w:top w:type="dxa" w:w="60"/>
              <w:left w:type="dxa" w:w="120"/>
              <w:bottom w:type="dxa" w:w="60"/>
              <w:right w:type="dxa" w:w="120"/>
            </w:tcMar>
          </w:tcPr>
          <w:p>
            <w:r>
              <w:rPr>
                <w:rFonts w:ascii="Calibri" w:eastAsia="Microsoft YaHei"/>
                <w:color w:val="1E2E40"/>
                <w:sz w:val="20"/>
                <w:szCs w:val="20"/>
              </w:rPr>
              <w:t xml:space="preserve">Next-Auth + MFA</w:t>
            </w:r>
          </w:p>
        </w:tc>
        <w:tc>
          <w:tcPr>
            <w:shd w:fill="EDF5F2" w:val="clear"/>
            <w:tcMar>
              <w:top w:type="dxa" w:w="60"/>
              <w:left w:type="dxa" w:w="120"/>
              <w:bottom w:type="dxa" w:w="60"/>
              <w:right w:type="dxa" w:w="120"/>
            </w:tcMar>
          </w:tcPr>
          <w:p>
            <w:r>
              <w:rPr>
                <w:rFonts w:ascii="Calibri" w:eastAsia="Microsoft YaHei"/>
                <w:color w:val="1E2E40"/>
                <w:sz w:val="20"/>
                <w:szCs w:val="20"/>
              </w:rPr>
              <w:t xml:space="preserve">Biométrie locale</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Multilingue</w:t>
            </w:r>
          </w:p>
        </w:tc>
        <w:tc>
          <w:tcPr>
            <w:shd w:fill="FFFFFF" w:val="clear"/>
            <w:tcMar>
              <w:top w:type="dxa" w:w="60"/>
              <w:left w:type="dxa" w:w="120"/>
              <w:bottom w:type="dxa" w:w="60"/>
              <w:right w:type="dxa" w:w="120"/>
            </w:tcMar>
          </w:tcPr>
          <w:p>
            <w:r>
              <w:rPr>
                <w:rFonts w:ascii="Calibri" w:eastAsia="Microsoft YaHei"/>
                <w:color w:val="1E2E40"/>
                <w:sz w:val="20"/>
                <w:szCs w:val="20"/>
              </w:rPr>
              <w:t xml:space="preserve">Non configuré</w:t>
            </w:r>
          </w:p>
        </w:tc>
        <w:tc>
          <w:tcPr>
            <w:shd w:fill="FFFFFF" w:val="clear"/>
            <w:tcMar>
              <w:top w:type="dxa" w:w="60"/>
              <w:left w:type="dxa" w:w="120"/>
              <w:bottom w:type="dxa" w:w="60"/>
              <w:right w:type="dxa" w:w="120"/>
            </w:tcMar>
          </w:tcPr>
          <w:p>
            <w:r>
              <w:rPr>
                <w:rFonts w:ascii="Calibri" w:eastAsia="Microsoft YaHei"/>
                <w:color w:val="1E2E40"/>
                <w:sz w:val="20"/>
                <w:szCs w:val="20"/>
              </w:rPr>
              <w:t xml:space="preserve">FR + EN + langues locales</w:t>
            </w:r>
          </w:p>
        </w:tc>
        <w:tc>
          <w:tcPr>
            <w:shd w:fill="FFFFFF" w:val="clear"/>
            <w:tcMar>
              <w:top w:type="dxa" w:w="60"/>
              <w:left w:type="dxa" w:w="120"/>
              <w:bottom w:type="dxa" w:w="60"/>
              <w:right w:type="dxa" w:w="120"/>
            </w:tcMar>
          </w:tcPr>
          <w:p>
            <w:r>
              <w:rPr>
                <w:rFonts w:ascii="Calibri" w:eastAsia="Microsoft YaHei"/>
                <w:color w:val="1E2E40"/>
                <w:sz w:val="20"/>
                <w:szCs w:val="20"/>
              </w:rPr>
              <w:t xml:space="preserve">12+ langues africaines</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Mode Offline</w:t>
            </w:r>
          </w:p>
        </w:tc>
        <w:tc>
          <w:tcPr>
            <w:shd w:fill="EDF5F2" w:val="clear"/>
            <w:tcMar>
              <w:top w:type="dxa" w:w="60"/>
              <w:left w:type="dxa" w:w="120"/>
              <w:bottom w:type="dxa" w:w="60"/>
              <w:right w:type="dxa" w:w="120"/>
            </w:tcMar>
          </w:tcPr>
          <w:p>
            <w:r>
              <w:rPr>
                <w:rFonts w:ascii="Calibri" w:eastAsia="Microsoft YaHei"/>
                <w:color w:val="1E2E40"/>
                <w:sz w:val="20"/>
                <w:szCs w:val="20"/>
              </w:rPr>
              <w:t xml:space="preserve">Absent</w:t>
            </w:r>
          </w:p>
        </w:tc>
        <w:tc>
          <w:tcPr>
            <w:shd w:fill="EDF5F2" w:val="clear"/>
            <w:tcMar>
              <w:top w:type="dxa" w:w="60"/>
              <w:left w:type="dxa" w:w="120"/>
              <w:bottom w:type="dxa" w:w="60"/>
              <w:right w:type="dxa" w:w="120"/>
            </w:tcMar>
          </w:tcPr>
          <w:p>
            <w:r>
              <w:rPr>
                <w:rFonts w:ascii="Calibri" w:eastAsia="Microsoft YaHei"/>
                <w:color w:val="1E2E40"/>
                <w:sz w:val="20"/>
                <w:szCs w:val="20"/>
              </w:rPr>
              <w:t xml:space="preserve">PWA + Sync</w:t>
            </w:r>
          </w:p>
        </w:tc>
        <w:tc>
          <w:tcPr>
            <w:shd w:fill="EDF5F2" w:val="clear"/>
            <w:tcMar>
              <w:top w:type="dxa" w:w="60"/>
              <w:left w:type="dxa" w:w="120"/>
              <w:bottom w:type="dxa" w:w="60"/>
              <w:right w:type="dxa" w:w="120"/>
            </w:tcMar>
          </w:tcPr>
          <w:p>
            <w:r>
              <w:rPr>
                <w:rFonts w:ascii="Calibri" w:eastAsia="Microsoft YaHei"/>
                <w:color w:val="1E2E40"/>
                <w:sz w:val="20"/>
                <w:szCs w:val="20"/>
              </w:rPr>
              <w:t xml:space="preserve">Full offline avec conflits</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IA Santé</w:t>
            </w:r>
          </w:p>
        </w:tc>
        <w:tc>
          <w:tcPr>
            <w:shd w:fill="FFFFFF" w:val="clear"/>
            <w:tcMar>
              <w:top w:type="dxa" w:w="60"/>
              <w:left w:type="dxa" w:w="120"/>
              <w:bottom w:type="dxa" w:w="60"/>
              <w:right w:type="dxa" w:w="120"/>
            </w:tcMar>
          </w:tcPr>
          <w:p>
            <w:r>
              <w:rPr>
                <w:rFonts w:ascii="Calibri" w:eastAsia="Microsoft YaHei"/>
                <w:color w:val="1E2E40"/>
                <w:sz w:val="20"/>
                <w:szCs w:val="20"/>
              </w:rPr>
              <w:t xml:space="preserve">Absent</w:t>
            </w:r>
          </w:p>
        </w:tc>
        <w:tc>
          <w:tcPr>
            <w:shd w:fill="FFFFFF" w:val="clear"/>
            <w:tcMar>
              <w:top w:type="dxa" w:w="60"/>
              <w:left w:type="dxa" w:w="120"/>
              <w:bottom w:type="dxa" w:w="60"/>
              <w:right w:type="dxa" w:w="120"/>
            </w:tcMar>
          </w:tcPr>
          <w:p>
            <w:r>
              <w:rPr>
                <w:rFonts w:ascii="Calibri" w:eastAsia="Microsoft YaHei"/>
                <w:color w:val="1E2E40"/>
                <w:sz w:val="20"/>
                <w:szCs w:val="20"/>
              </w:rPr>
              <w:t xml:space="preserve">Chatbot basique</w:t>
            </w:r>
          </w:p>
        </w:tc>
        <w:tc>
          <w:tcPr>
            <w:shd w:fill="FFFFFF" w:val="clear"/>
            <w:tcMar>
              <w:top w:type="dxa" w:w="60"/>
              <w:left w:type="dxa" w:w="120"/>
              <w:bottom w:type="dxa" w:w="60"/>
              <w:right w:type="dxa" w:w="120"/>
            </w:tcMar>
          </w:tcPr>
          <w:p>
            <w:r>
              <w:rPr>
                <w:rFonts w:ascii="Calibri" w:eastAsia="Microsoft YaHei"/>
                <w:color w:val="1E2E40"/>
                <w:sz w:val="20"/>
                <w:szCs w:val="20"/>
              </w:rPr>
              <w:t xml:space="preserve">Diagnostic + Alertes épidémies</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Interopérabilité</w:t>
            </w:r>
          </w:p>
        </w:tc>
        <w:tc>
          <w:tcPr>
            <w:shd w:fill="EDF5F2" w:val="clear"/>
            <w:tcMar>
              <w:top w:type="dxa" w:w="60"/>
              <w:left w:type="dxa" w:w="120"/>
              <w:bottom w:type="dxa" w:w="60"/>
              <w:right w:type="dxa" w:w="120"/>
            </w:tcMar>
          </w:tcPr>
          <w:p>
            <w:r>
              <w:rPr>
                <w:rFonts w:ascii="Calibri" w:eastAsia="Microsoft YaHei"/>
                <w:color w:val="1E2E40"/>
                <w:sz w:val="20"/>
                <w:szCs w:val="20"/>
              </w:rPr>
              <w:t xml:space="preserve">Absent</w:t>
            </w:r>
          </w:p>
        </w:tc>
        <w:tc>
          <w:tcPr>
            <w:shd w:fill="EDF5F2" w:val="clear"/>
            <w:tcMar>
              <w:top w:type="dxa" w:w="60"/>
              <w:left w:type="dxa" w:w="120"/>
              <w:bottom w:type="dxa" w:w="60"/>
              <w:right w:type="dxa" w:w="120"/>
            </w:tcMar>
          </w:tcPr>
          <w:p>
            <w:r>
              <w:rPr>
                <w:rFonts w:ascii="Calibri" w:eastAsia="Microsoft YaHei"/>
                <w:color w:val="1E2E40"/>
                <w:sz w:val="20"/>
                <w:szCs w:val="20"/>
              </w:rPr>
              <w:t xml:space="preserve">HL7 FHIR base</w:t>
            </w:r>
          </w:p>
        </w:tc>
        <w:tc>
          <w:tcPr>
            <w:shd w:fill="EDF5F2" w:val="clear"/>
            <w:tcMar>
              <w:top w:type="dxa" w:w="60"/>
              <w:left w:type="dxa" w:w="120"/>
              <w:bottom w:type="dxa" w:w="60"/>
              <w:right w:type="dxa" w:w="120"/>
            </w:tcMar>
          </w:tcPr>
          <w:p>
            <w:r>
              <w:rPr>
                <w:rFonts w:ascii="Calibri" w:eastAsia="Microsoft YaHei"/>
                <w:color w:val="1E2E40"/>
                <w:sz w:val="20"/>
                <w:szCs w:val="20"/>
              </w:rPr>
              <w:t xml:space="preserve">openHIE + DHIS2</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Mobile</w:t>
            </w:r>
          </w:p>
        </w:tc>
        <w:tc>
          <w:tcPr>
            <w:shd w:fill="FFFFFF" w:val="clear"/>
            <w:tcMar>
              <w:top w:type="dxa" w:w="60"/>
              <w:left w:type="dxa" w:w="120"/>
              <w:bottom w:type="dxa" w:w="60"/>
              <w:right w:type="dxa" w:w="120"/>
            </w:tcMar>
          </w:tcPr>
          <w:p>
            <w:r>
              <w:rPr>
                <w:rFonts w:ascii="Calibri" w:eastAsia="Microsoft YaHei"/>
                <w:color w:val="1E2E40"/>
                <w:sz w:val="20"/>
                <w:szCs w:val="20"/>
              </w:rPr>
              <w:t xml:space="preserve">Web responsive</w:t>
            </w:r>
          </w:p>
        </w:tc>
        <w:tc>
          <w:tcPr>
            <w:shd w:fill="FFFFFF" w:val="clear"/>
            <w:tcMar>
              <w:top w:type="dxa" w:w="60"/>
              <w:left w:type="dxa" w:w="120"/>
              <w:bottom w:type="dxa" w:w="60"/>
              <w:right w:type="dxa" w:w="120"/>
            </w:tcMar>
          </w:tcPr>
          <w:p>
            <w:r>
              <w:rPr>
                <w:rFonts w:ascii="Calibri" w:eastAsia="Microsoft YaHei"/>
                <w:color w:val="1E2E40"/>
                <w:sz w:val="20"/>
                <w:szCs w:val="20"/>
              </w:rPr>
              <w:t xml:space="preserve">PWA installable</w:t>
            </w:r>
          </w:p>
        </w:tc>
        <w:tc>
          <w:tcPr>
            <w:shd w:fill="FFFFFF" w:val="clear"/>
            <w:tcMar>
              <w:top w:type="dxa" w:w="60"/>
              <w:left w:type="dxa" w:w="120"/>
              <w:bottom w:type="dxa" w:w="60"/>
              <w:right w:type="dxa" w:w="120"/>
            </w:tcMar>
          </w:tcPr>
          <w:p>
            <w:r>
              <w:rPr>
                <w:rFonts w:ascii="Calibri" w:eastAsia="Microsoft YaHei"/>
                <w:color w:val="1E2E40"/>
                <w:sz w:val="20"/>
                <w:szCs w:val="20"/>
              </w:rPr>
              <w:t xml:space="preserve">App native légère</w:t>
            </w:r>
          </w:p>
        </w:tc>
      </w:tr>
    </w:tbl>
    <w:p>
      <w:pPr>
        <w:spacing w:after="80" w:before="80"/>
      </w:pPr>
    </w:p>
    <w:p>
      <w:pPr>
        <w:pBdr>
          <w:top w:val="single" w:color="3CB4A0" w:sz="8" w:space="16"/>
        </w:pBdr>
        <w:spacing w:after="100" w:before="100"/>
        <w:ind w:left="500" w:right="500"/>
      </w:pPr>
    </w:p>
    <w:p>
      <w:pPr>
        <w:pStyle w:val="Heading1"/>
        <w:spacing w:after="200" w:before="400" w:line="312"/>
      </w:pPr>
      <w:r>
        <w:rPr>
          <w:rFonts w:ascii="Calibri" w:eastAsia="SimHei"/>
          <w:b/>
          <w:bCs/>
          <w:color w:val="1A3A3A"/>
          <w:sz w:val="32"/>
          <w:szCs w:val="32"/>
        </w:rPr>
        <w:t xml:space="preserve">3. Phase 1 : Fondations Africaines (Mois 1–3)</w:t>
      </w:r>
    </w:p>
    <w:p>
      <w:pPr>
        <w:spacing w:after="80" w:line="312"/>
        <w:ind w:firstLine="420"/>
        <w:jc w:val="both"/>
      </w:pPr>
      <w:r>
        <w:rPr>
          <w:rFonts w:ascii="Calibri" w:eastAsia="Microsoft YaHei"/>
          <w:color w:val="1E2E40"/>
          <w:sz w:val="22"/>
          <w:szCs w:val="22"/>
        </w:rPr>
        <w:t xml:space="preserve">La première phase pose les fondations techniques essentielles pour un déploiement en contexte africain. Chaque fonctionnalité est conçue pour répondre aux défis spécifiques du continent : connectivité intermittente, diversité linguistique, accès limité aux terminaux, et nécessité d’une authentification robuste. Cette phase transforme HealthFlow d’un prototype fonctionnel en une plateforme prête au déploiement sur le terrain.</w:t>
      </w:r>
    </w:p>
    <w:p>
      <w:pPr>
        <w:pStyle w:val="Heading2"/>
        <w:spacing w:after="150" w:before="300" w:line="312"/>
      </w:pPr>
      <w:r>
        <w:rPr>
          <w:rFonts w:ascii="Calibri" w:eastAsia="SimHei"/>
          <w:b/>
          <w:bCs/>
          <w:color w:val="1A3A3A"/>
          <w:sz w:val="28"/>
          <w:szCs w:val="28"/>
        </w:rPr>
        <w:t xml:space="preserve">3.1 Architecture PWA Offline-First</w:t>
      </w:r>
    </w:p>
    <w:p>
      <w:pPr>
        <w:spacing w:after="80" w:line="312"/>
        <w:ind w:firstLine="420"/>
        <w:jc w:val="both"/>
      </w:pPr>
      <w:r>
        <w:rPr>
          <w:rFonts w:ascii="Calibri" w:eastAsia="Microsoft YaHei"/>
          <w:color w:val="1E2E40"/>
          <w:sz w:val="22"/>
          <w:szCs w:val="22"/>
        </w:rPr>
        <w:t xml:space="preserve">L’architecture PWA (Progressive Web App) est le socle technique le plus critique pour le marché africain. Contrairement aux applications web classiques qui deviennent inutilisables sans connexion, une PWA permet de continuer à travailler hors ligne, de s’installer sur un téléphone comme une application native, et de synchroniser les données automatiquement dès que la connexion revient. En Guinée, où les coupures d’électricité et d’Internet sont fréquentes, cette capacité est non négociable.</w:t>
      </w:r>
    </w:p>
    <w:p>
      <w:pPr>
        <w:pStyle w:val="ListParagraph"/>
        <w:numPr>
          <w:ilvl w:val="0"/>
          <w:numId w:val="1"/>
        </w:numPr>
        <w:spacing w:after="40" w:line="312"/>
      </w:pPr>
      <w:r>
        <w:rPr>
          <w:rFonts w:ascii="Calibri" w:eastAsia="Microsoft YaHei"/>
          <w:color w:val="1E2E40"/>
          <w:sz w:val="22"/>
          <w:szCs w:val="22"/>
        </w:rPr>
        <w:t xml:space="preserve">Service Worker avec stratégie Cache-First pour les ressources statiques et Network-First pour les données API</w:t>
      </w:r>
    </w:p>
    <w:p>
      <w:pPr>
        <w:pStyle w:val="ListParagraph"/>
        <w:numPr>
          <w:ilvl w:val="0"/>
          <w:numId w:val="1"/>
        </w:numPr>
        <w:spacing w:after="40" w:line="312"/>
      </w:pPr>
      <w:r>
        <w:rPr>
          <w:rFonts w:ascii="Calibri" w:eastAsia="Microsoft YaHei"/>
          <w:color w:val="1E2E40"/>
          <w:sz w:val="22"/>
          <w:szCs w:val="22"/>
        </w:rPr>
        <w:t xml:space="preserve">IndexedDB comme base de données locale pour stocker les données patients hors ligne</w:t>
      </w:r>
    </w:p>
    <w:p>
      <w:pPr>
        <w:pStyle w:val="ListParagraph"/>
        <w:numPr>
          <w:ilvl w:val="0"/>
          <w:numId w:val="1"/>
        </w:numPr>
        <w:spacing w:after="40" w:line="312"/>
      </w:pPr>
      <w:r>
        <w:rPr>
          <w:rFonts w:ascii="Calibri" w:eastAsia="Microsoft YaHei"/>
          <w:color w:val="1E2E40"/>
          <w:sz w:val="22"/>
          <w:szCs w:val="22"/>
        </w:rPr>
        <w:t xml:space="preserve">File d’attente de synchronisation avec résolution automatique des conflits (dernière écriture ou fusion)</w:t>
      </w:r>
    </w:p>
    <w:p>
      <w:pPr>
        <w:pStyle w:val="ListParagraph"/>
        <w:numPr>
          <w:ilvl w:val="0"/>
          <w:numId w:val="1"/>
        </w:numPr>
        <w:spacing w:after="40" w:line="312"/>
      </w:pPr>
      <w:r>
        <w:rPr>
          <w:rFonts w:ascii="Calibri" w:eastAsia="Microsoft YaHei"/>
          <w:color w:val="1E2E40"/>
          <w:sz w:val="22"/>
          <w:szCs w:val="22"/>
        </w:rPr>
        <w:t xml:space="preserve">Manifest.json pour installation sur écran d’accueil (Android, iOS, Desktop)</w:t>
      </w:r>
    </w:p>
    <w:p>
      <w:pPr>
        <w:pStyle w:val="ListParagraph"/>
        <w:numPr>
          <w:ilvl w:val="0"/>
          <w:numId w:val="1"/>
        </w:numPr>
        <w:spacing w:after="40" w:line="312"/>
      </w:pPr>
      <w:r>
        <w:rPr>
          <w:rFonts w:ascii="Calibri" w:eastAsia="Microsoft YaHei"/>
          <w:color w:val="1E2E40"/>
          <w:sz w:val="22"/>
          <w:szCs w:val="22"/>
        </w:rPr>
        <w:t xml:space="preserve">Indicateur visuel de statut connexion (en ligne/hors ligne/synchronisation en cours)</w:t>
      </w:r>
    </w:p>
    <w:p>
      <w:pPr>
        <w:pStyle w:val="ListParagraph"/>
        <w:numPr>
          <w:ilvl w:val="0"/>
          <w:numId w:val="1"/>
        </w:numPr>
        <w:spacing w:after="40" w:line="312"/>
      </w:pPr>
      <w:r>
        <w:rPr>
          <w:rFonts w:ascii="Calibri" w:eastAsia="Microsoft YaHei"/>
          <w:color w:val="1E2E40"/>
          <w:sz w:val="22"/>
          <w:szCs w:val="22"/>
        </w:rPr>
        <w:t xml:space="preserve">Stratégie de synchronisation progressive : priorité aux données critiques (urgences, consultations) puis aux données secondaires</w:t>
      </w:r>
    </w:p>
    <w:p>
      <w:pPr>
        <w:pStyle w:val="Heading2"/>
        <w:spacing w:after="150" w:before="300" w:line="312"/>
      </w:pPr>
      <w:r>
        <w:rPr>
          <w:rFonts w:ascii="Calibri" w:eastAsia="SimHei"/>
          <w:b/>
          <w:bCs/>
          <w:color w:val="1A3A3A"/>
          <w:sz w:val="28"/>
          <w:szCs w:val="28"/>
        </w:rPr>
        <w:t xml:space="preserve">3.2 Internationalisation Multilingue</w:t>
      </w:r>
    </w:p>
    <w:p>
      <w:pPr>
        <w:spacing w:after="80" w:line="312"/>
        <w:ind w:firstLine="420"/>
        <w:jc w:val="both"/>
      </w:pPr>
      <w:r>
        <w:rPr>
          <w:rFonts w:ascii="Calibri" w:eastAsia="Microsoft YaHei"/>
          <w:color w:val="1E2E40"/>
          <w:sz w:val="22"/>
          <w:szCs w:val="22"/>
        </w:rPr>
        <w:t xml:space="preserve">La Guinée est un pays multilingue avec trois langues nationales (Malinké, Soussou, Poular) en plus du français officiel. À l’échelle africaine, la diversité linguistique est encore plus grande avec plus de 2000 langues sur le continent. Un système de santé numérique qui ne parle que français ou anglais exclut la majorité de la population rurale, précisément celle qui a le plus besoin d’accès aux soins. L’internationalisation de HealthFlow est donc un impératif éthique et stratégique.</w:t>
      </w:r>
    </w:p>
    <w:p>
      <w:pPr>
        <w:pStyle w:val="ListParagraph"/>
        <w:numPr>
          <w:ilvl w:val="0"/>
          <w:numId w:val="1"/>
        </w:numPr>
        <w:spacing w:after="40" w:line="312"/>
      </w:pPr>
      <w:r>
        <w:rPr>
          <w:rFonts w:ascii="Calibri" w:eastAsia="Microsoft YaHei"/>
          <w:color w:val="1E2E40"/>
          <w:sz w:val="22"/>
          <w:szCs w:val="22"/>
        </w:rPr>
        <w:t xml:space="preserve">Configuration next-intl avec détection automatique de la langue du navigateur</w:t>
      </w:r>
    </w:p>
    <w:p>
      <w:pPr>
        <w:pStyle w:val="ListParagraph"/>
        <w:numPr>
          <w:ilvl w:val="0"/>
          <w:numId w:val="1"/>
        </w:numPr>
        <w:spacing w:after="40" w:line="312"/>
      </w:pPr>
      <w:r>
        <w:rPr>
          <w:rFonts w:ascii="Calibri" w:eastAsia="Microsoft YaHei"/>
          <w:color w:val="1E2E40"/>
          <w:sz w:val="22"/>
          <w:szCs w:val="22"/>
        </w:rPr>
        <w:t xml:space="preserve">Fichiers de traduction pour : Français (par défaut), Anglais, Malinké, Soussou, Poular, Wolof, Bambara, Lingala, Swahili</w:t>
      </w:r>
    </w:p>
    <w:p>
      <w:pPr>
        <w:pStyle w:val="ListParagraph"/>
        <w:numPr>
          <w:ilvl w:val="0"/>
          <w:numId w:val="1"/>
        </w:numPr>
        <w:spacing w:after="40" w:line="312"/>
      </w:pPr>
      <w:r>
        <w:rPr>
          <w:rFonts w:ascii="Calibri" w:eastAsia="Microsoft YaHei"/>
          <w:color w:val="1E2E40"/>
          <w:sz w:val="22"/>
          <w:szCs w:val="22"/>
        </w:rPr>
        <w:t xml:space="preserve">Interface de sélection de langue dans le portail patient avec persistance du choix</w:t>
      </w:r>
    </w:p>
    <w:p>
      <w:pPr>
        <w:pStyle w:val="ListParagraph"/>
        <w:numPr>
          <w:ilvl w:val="0"/>
          <w:numId w:val="1"/>
        </w:numPr>
        <w:spacing w:after="40" w:line="312"/>
      </w:pPr>
      <w:r>
        <w:rPr>
          <w:rFonts w:ascii="Calibri" w:eastAsia="Microsoft YaHei"/>
          <w:color w:val="1E2E40"/>
          <w:sz w:val="22"/>
          <w:szCs w:val="22"/>
        </w:rPr>
        <w:t xml:space="preserve">Système de traduction communautaire pour ajouter de nouvelles langues via des fichiers JSON</w:t>
      </w:r>
    </w:p>
    <w:p>
      <w:pPr>
        <w:pStyle w:val="ListParagraph"/>
        <w:numPr>
          <w:ilvl w:val="0"/>
          <w:numId w:val="1"/>
        </w:numPr>
        <w:spacing w:after="40" w:line="312"/>
      </w:pPr>
      <w:r>
        <w:rPr>
          <w:rFonts w:ascii="Calibri" w:eastAsia="Microsoft YaHei"/>
          <w:color w:val="1E2E40"/>
          <w:sz w:val="22"/>
          <w:szCs w:val="22"/>
        </w:rPr>
        <w:t xml:space="preserve">Support RTL pour les langues arabes et haoussa</w:t>
      </w:r>
    </w:p>
    <w:p>
      <w:pPr>
        <w:pStyle w:val="ListParagraph"/>
        <w:numPr>
          <w:ilvl w:val="0"/>
          <w:numId w:val="1"/>
        </w:numPr>
        <w:spacing w:after="40" w:line="312"/>
      </w:pPr>
      <w:r>
        <w:rPr>
          <w:rFonts w:ascii="Calibri" w:eastAsia="Microsoft YaHei"/>
          <w:color w:val="1E2E40"/>
          <w:sz w:val="22"/>
          <w:szCs w:val="22"/>
        </w:rPr>
        <w:t xml:space="preserve">Traduction des termes médicaux adaptée au contexte local (ex : « paludisme » plutôt que « malaria » en Afrique francophone)</w:t>
      </w:r>
    </w:p>
    <w:p>
      <w:pPr>
        <w:pStyle w:val="Heading2"/>
        <w:spacing w:after="150" w:before="300" w:line="312"/>
      </w:pPr>
      <w:r>
        <w:rPr>
          <w:rFonts w:ascii="Calibri" w:eastAsia="SimHei"/>
          <w:b/>
          <w:bCs/>
          <w:color w:val="1A3A3A"/>
          <w:sz w:val="28"/>
          <w:szCs w:val="28"/>
        </w:rPr>
        <w:t xml:space="preserve">3.3 Authentification Sécurisée</w:t>
      </w:r>
    </w:p>
    <w:p>
      <w:pPr>
        <w:spacing w:after="80" w:line="312"/>
        <w:ind w:firstLine="420"/>
        <w:jc w:val="both"/>
      </w:pPr>
      <w:r>
        <w:rPr>
          <w:rFonts w:ascii="Calibri" w:eastAsia="Microsoft YaHei"/>
          <w:color w:val="1E2E40"/>
          <w:sz w:val="22"/>
          <w:szCs w:val="22"/>
        </w:rPr>
        <w:t xml:space="preserve">La sécurité des données de santé est un impératif légal et éthique. La plateforme doit garantir que seules les personnes autorisées accèdent aux dossiers médicaux, conformément aux recommandations de l’OMS et aux cadres réglementaires africains en matière de protection des données de santé. L’authentification doit également prendre en compte les réalités locales : accès limité à l’email, préférence pour le téléphone, et nécessité de méthodes d’authentification adaptées aux contextes à faible connectivité.</w:t>
      </w:r>
    </w:p>
    <w:p>
      <w:pPr>
        <w:pStyle w:val="ListParagraph"/>
        <w:numPr>
          <w:ilvl w:val="0"/>
          <w:numId w:val="1"/>
        </w:numPr>
        <w:spacing w:after="40" w:line="312"/>
      </w:pPr>
      <w:r>
        <w:rPr>
          <w:rFonts w:ascii="Calibri" w:eastAsia="Microsoft YaHei"/>
          <w:color w:val="1E2E40"/>
          <w:sz w:val="22"/>
          <w:szCs w:val="22"/>
        </w:rPr>
        <w:t xml:space="preserve">Next-Auth avec providers : credentials (téléphone + code), Google, Microsoft</w:t>
      </w:r>
    </w:p>
    <w:p>
      <w:pPr>
        <w:pStyle w:val="ListParagraph"/>
        <w:numPr>
          <w:ilvl w:val="0"/>
          <w:numId w:val="1"/>
        </w:numPr>
        <w:spacing w:after="40" w:line="312"/>
      </w:pPr>
      <w:r>
        <w:rPr>
          <w:rFonts w:ascii="Calibri" w:eastAsia="Microsoft YaHei"/>
          <w:color w:val="1E2E40"/>
          <w:sz w:val="22"/>
          <w:szCs w:val="22"/>
        </w:rPr>
        <w:t xml:space="preserve">Authentification par numéro de téléphone et code OTP (SMS) comme méthode principale</w:t>
      </w:r>
    </w:p>
    <w:p>
      <w:pPr>
        <w:pStyle w:val="ListParagraph"/>
        <w:numPr>
          <w:ilvl w:val="0"/>
          <w:numId w:val="1"/>
        </w:numPr>
        <w:spacing w:after="40" w:line="312"/>
      </w:pPr>
      <w:r>
        <w:rPr>
          <w:rFonts w:ascii="Calibri" w:eastAsia="Microsoft YaHei"/>
          <w:color w:val="1E2E40"/>
          <w:sz w:val="22"/>
          <w:szCs w:val="22"/>
        </w:rPr>
        <w:t xml:space="preserve">Gestion des sessions avec tokens JWT et refresh tokens sécurisés</w:t>
      </w:r>
    </w:p>
    <w:p>
      <w:pPr>
        <w:pStyle w:val="ListParagraph"/>
        <w:numPr>
          <w:ilvl w:val="0"/>
          <w:numId w:val="1"/>
        </w:numPr>
        <w:spacing w:after="40" w:line="312"/>
      </w:pPr>
      <w:r>
        <w:rPr>
          <w:rFonts w:ascii="Calibri" w:eastAsia="Microsoft YaHei"/>
          <w:color w:val="1E2E40"/>
          <w:sz w:val="22"/>
          <w:szCs w:val="22"/>
        </w:rPr>
        <w:t xml:space="preserve">Multi-factor authentication (MFA) optionnel pour les administrateurs</w:t>
      </w:r>
    </w:p>
    <w:p>
      <w:pPr>
        <w:pStyle w:val="ListParagraph"/>
        <w:numPr>
          <w:ilvl w:val="0"/>
          <w:numId w:val="1"/>
        </w:numPr>
        <w:spacing w:after="40" w:line="312"/>
      </w:pPr>
      <w:r>
        <w:rPr>
          <w:rFonts w:ascii="Calibri" w:eastAsia="Microsoft YaHei"/>
          <w:color w:val="1E2E40"/>
          <w:sz w:val="22"/>
          <w:szCs w:val="22"/>
        </w:rPr>
        <w:t xml:space="preserve">Journal d’audit de toutes les connexions et accès aux données sensibles</w:t>
      </w:r>
    </w:p>
    <w:p>
      <w:pPr>
        <w:pStyle w:val="ListParagraph"/>
        <w:numPr>
          <w:ilvl w:val="0"/>
          <w:numId w:val="1"/>
        </w:numPr>
        <w:spacing w:after="40" w:line="312"/>
      </w:pPr>
      <w:r>
        <w:rPr>
          <w:rFonts w:ascii="Calibri" w:eastAsia="Microsoft YaHei"/>
          <w:color w:val="1E2E40"/>
          <w:sz w:val="22"/>
          <w:szCs w:val="22"/>
        </w:rPr>
        <w:t xml:space="preserve">Rôles et permissions granulaires déjà implémentés (Administrateur, Médecin, Infirmier, Laborantin, Pharmacien, Secrétaire)</w:t>
      </w:r>
    </w:p>
    <w:p>
      <w:pPr>
        <w:pStyle w:val="Heading2"/>
        <w:spacing w:after="150" w:before="300" w:line="312"/>
      </w:pPr>
      <w:r>
        <w:rPr>
          <w:rFonts w:ascii="Calibri" w:eastAsia="SimHei"/>
          <w:b/>
          <w:bCs/>
          <w:color w:val="1A3A3A"/>
          <w:sz w:val="28"/>
          <w:szCs w:val="28"/>
        </w:rPr>
        <w:t xml:space="preserve">3.4 Connexion API Backend</w:t>
      </w:r>
    </w:p>
    <w:p>
      <w:pPr>
        <w:spacing w:after="80" w:line="312"/>
        <w:ind w:firstLine="420"/>
        <w:jc w:val="both"/>
      </w:pPr>
      <w:r>
        <w:rPr>
          <w:rFonts w:ascii="Calibri" w:eastAsia="Microsoft YaHei"/>
          <w:color w:val="1E2E40"/>
          <w:sz w:val="22"/>
          <w:szCs w:val="22"/>
        </w:rPr>
        <w:t xml:space="preserve">L’application dispose déjà de 15 routes API complètes avec Prisma ORM connecté à SQLite, mais les composants frontend utilisent encore le store Zustand avec données de démonstration en localStorage. La connexion de l’interface aux API backend est essentielle pour permettre la persistance réelle des données, la collaboration multi-utilisateurs, et le déploiement multi-établissements. Cette migration doit être progressive pour ne pas casser les fonctionnalités existantes.</w:t>
      </w:r>
    </w:p>
    <w:p>
      <w:pPr>
        <w:pStyle w:val="ListParagraph"/>
        <w:numPr>
          <w:ilvl w:val="0"/>
          <w:numId w:val="1"/>
        </w:numPr>
        <w:spacing w:after="40" w:line="312"/>
      </w:pPr>
      <w:r>
        <w:rPr>
          <w:rFonts w:ascii="Calibri" w:eastAsia="Microsoft YaHei"/>
          <w:color w:val="1E2E40"/>
          <w:sz w:val="22"/>
          <w:szCs w:val="22"/>
        </w:rPr>
        <w:t xml:space="preserve">Migration progressive du store Zustand vers les appels API avec React Query</w:t>
      </w:r>
    </w:p>
    <w:p>
      <w:pPr>
        <w:pStyle w:val="ListParagraph"/>
        <w:numPr>
          <w:ilvl w:val="0"/>
          <w:numId w:val="1"/>
        </w:numPr>
        <w:spacing w:after="40" w:line="312"/>
      </w:pPr>
      <w:r>
        <w:rPr>
          <w:rFonts w:ascii="Calibri" w:eastAsia="Microsoft YaHei"/>
          <w:color w:val="1E2E40"/>
          <w:sz w:val="22"/>
          <w:szCs w:val="22"/>
        </w:rPr>
        <w:t xml:space="preserve">Hooks personnalisés (usePatients, useAppointments, etc.) avec cache et invalidation automatique</w:t>
      </w:r>
    </w:p>
    <w:p>
      <w:pPr>
        <w:pStyle w:val="ListParagraph"/>
        <w:numPr>
          <w:ilvl w:val="0"/>
          <w:numId w:val="1"/>
        </w:numPr>
        <w:spacing w:after="40" w:line="312"/>
      </w:pPr>
      <w:r>
        <w:rPr>
          <w:rFonts w:ascii="Calibri" w:eastAsia="Microsoft YaHei"/>
          <w:color w:val="1E2E40"/>
          <w:sz w:val="22"/>
          <w:szCs w:val="22"/>
        </w:rPr>
        <w:t xml:space="preserve">Optimistic updates pour une expérience utilisateur fluide même en connexion lente</w:t>
      </w:r>
    </w:p>
    <w:p>
      <w:pPr>
        <w:pStyle w:val="ListParagraph"/>
        <w:numPr>
          <w:ilvl w:val="0"/>
          <w:numId w:val="1"/>
        </w:numPr>
        <w:spacing w:after="40" w:line="312"/>
      </w:pPr>
      <w:r>
        <w:rPr>
          <w:rFonts w:ascii="Calibri" w:eastAsia="Microsoft YaHei"/>
          <w:color w:val="1E2E40"/>
          <w:sz w:val="22"/>
          <w:szCs w:val="22"/>
        </w:rPr>
        <w:t xml:space="preserve">Gestion des erreurs réseau avec retry automatique et fallback sur données locales</w:t>
      </w:r>
    </w:p>
    <w:p>
      <w:pPr>
        <w:pStyle w:val="ListParagraph"/>
        <w:numPr>
          <w:ilvl w:val="0"/>
          <w:numId w:val="1"/>
        </w:numPr>
        <w:spacing w:after="40" w:line="312"/>
      </w:pPr>
      <w:r>
        <w:rPr>
          <w:rFonts w:ascii="Calibri" w:eastAsia="Microsoft YaHei"/>
          <w:color w:val="1E2E40"/>
          <w:sz w:val="22"/>
          <w:szCs w:val="22"/>
        </w:rPr>
        <w:t xml:space="preserve">Migration SQLite vers PostgreSQL pour le déploiement production multi-utilisateurs</w:t>
      </w:r>
    </w:p>
    <w:p>
      <w:pPr>
        <w:pBdr>
          <w:top w:val="single" w:color="3CB4A0" w:sz="8" w:space="16"/>
        </w:pBdr>
        <w:spacing w:after="100" w:before="100"/>
        <w:ind w:left="500" w:right="500"/>
      </w:pPr>
    </w:p>
    <w:p>
      <w:pPr>
        <w:pStyle w:val="Heading1"/>
        <w:spacing w:after="200" w:before="400" w:line="312"/>
      </w:pPr>
      <w:r>
        <w:rPr>
          <w:rFonts w:ascii="Calibri" w:eastAsia="SimHei"/>
          <w:b/>
          <w:bCs/>
          <w:color w:val="1A3A3A"/>
          <w:sz w:val="32"/>
          <w:szCs w:val="32"/>
        </w:rPr>
        <w:t xml:space="preserve">4. Phase 2 : Paiements et Intégrations (Mois 4–6)</w:t>
      </w:r>
    </w:p>
    <w:p>
      <w:pPr>
        <w:spacing w:after="80" w:line="312"/>
        <w:ind w:firstLine="420"/>
        <w:jc w:val="both"/>
      </w:pPr>
      <w:r>
        <w:rPr>
          <w:rFonts w:ascii="Calibri" w:eastAsia="Microsoft YaHei"/>
          <w:color w:val="1E2E40"/>
          <w:sz w:val="22"/>
          <w:szCs w:val="22"/>
        </w:rPr>
        <w:t xml:space="preserve">La deuxième phase introduit les fonctionnalités de paiement et les intégrations critiques qui feront de HealthFlow une plateforme économiquement viable et profondément ancrée dans l’écosystème africain. Le mobile money représente plus de 70% des transactions financières en Afrique de l’Ouest, et son intégration est indispensable pour la pérennité du système. Les rappels par SMS et WhatsApp, quant à eux, répondent à un besoin réel de communication dans un contexte où l’email est peu utilisé.</w:t>
      </w:r>
    </w:p>
    <w:p>
      <w:pPr>
        <w:pStyle w:val="Heading2"/>
        <w:spacing w:after="150" w:before="300" w:line="312"/>
      </w:pPr>
      <w:r>
        <w:rPr>
          <w:rFonts w:ascii="Calibri" w:eastAsia="SimHei"/>
          <w:b/>
          <w:bCs/>
          <w:color w:val="1A3A3A"/>
          <w:sz w:val="28"/>
          <w:szCs w:val="28"/>
        </w:rPr>
        <w:t xml:space="preserve">4.1 Mobile Money : Orange Money et MTN MoMo</w:t>
      </w:r>
    </w:p>
    <w:p>
      <w:pPr>
        <w:spacing w:after="80" w:line="312"/>
        <w:ind w:firstLine="420"/>
        <w:jc w:val="both"/>
      </w:pPr>
      <w:r>
        <w:rPr>
          <w:rFonts w:ascii="Calibri" w:eastAsia="Microsoft YaHei"/>
          <w:color w:val="1E2E40"/>
          <w:sz w:val="22"/>
          <w:szCs w:val="22"/>
        </w:rPr>
        <w:t xml:space="preserve">L’intégration du mobile money est un levier de transformation considérable. En Guinée, Orange Money et MTN Mobile Money représentent plus de 2 millions d’utilisateurs actifs. Permettre aux patients de payer leurs consultations, leurs ordonnances et leurs factures hospitalières directement depuis leur téléphone élimine les barrières de paiement, réduit la fraude et accélère les encaissements pour les établissements de santé. Cette intégration doit être sécurisée, conforme aux normes de la BCEAO et offrir une traçabilité complète de chaque transaction.</w:t>
      </w:r>
    </w:p>
    <w:p>
      <w:pPr>
        <w:pStyle w:val="ListParagraph"/>
        <w:numPr>
          <w:ilvl w:val="0"/>
          <w:numId w:val="1"/>
        </w:numPr>
        <w:spacing w:after="40" w:line="312"/>
      </w:pPr>
      <w:r>
        <w:rPr>
          <w:rFonts w:ascii="Calibri" w:eastAsia="Microsoft YaHei"/>
          <w:color w:val="1E2E40"/>
          <w:sz w:val="22"/>
          <w:szCs w:val="22"/>
        </w:rPr>
        <w:t xml:space="preserve">API Orange Money : intégration du SDK officiel avec paiement web et USSD</w:t>
      </w:r>
    </w:p>
    <w:p>
      <w:pPr>
        <w:pStyle w:val="ListParagraph"/>
        <w:numPr>
          <w:ilvl w:val="0"/>
          <w:numId w:val="1"/>
        </w:numPr>
        <w:spacing w:after="40" w:line="312"/>
      </w:pPr>
      <w:r>
        <w:rPr>
          <w:rFonts w:ascii="Calibri" w:eastAsia="Microsoft YaHei"/>
          <w:color w:val="1E2E40"/>
          <w:sz w:val="22"/>
          <w:szCs w:val="22"/>
        </w:rPr>
        <w:t xml:space="preserve">API MTN MoMo : intégration avec le MoMo API Sandbox puis production</w:t>
      </w:r>
    </w:p>
    <w:p>
      <w:pPr>
        <w:pStyle w:val="ListParagraph"/>
        <w:numPr>
          <w:ilvl w:val="0"/>
          <w:numId w:val="1"/>
        </w:numPr>
        <w:spacing w:after="40" w:line="312"/>
      </w:pPr>
      <w:r>
        <w:rPr>
          <w:rFonts w:ascii="Calibri" w:eastAsia="Microsoft YaHei"/>
          <w:color w:val="1E2E40"/>
          <w:sz w:val="22"/>
          <w:szCs w:val="22"/>
        </w:rPr>
        <w:t xml:space="preserve">Paiement par QR Code : génération et scan de QR codes de paiement directement dans l’application</w:t>
      </w:r>
    </w:p>
    <w:p>
      <w:pPr>
        <w:pStyle w:val="ListParagraph"/>
        <w:numPr>
          <w:ilvl w:val="0"/>
          <w:numId w:val="1"/>
        </w:numPr>
        <w:spacing w:after="40" w:line="312"/>
      </w:pPr>
      <w:r>
        <w:rPr>
          <w:rFonts w:ascii="Calibri" w:eastAsia="Microsoft YaHei"/>
          <w:color w:val="1E2E40"/>
          <w:sz w:val="22"/>
          <w:szCs w:val="22"/>
        </w:rPr>
        <w:t xml:space="preserve">Tableau de bord financier : suivi des encaissements, impayés, et rapports de trésorerie en temps réel</w:t>
      </w:r>
    </w:p>
    <w:p>
      <w:pPr>
        <w:pStyle w:val="ListParagraph"/>
        <w:numPr>
          <w:ilvl w:val="0"/>
          <w:numId w:val="1"/>
        </w:numPr>
        <w:spacing w:after="40" w:line="312"/>
      </w:pPr>
      <w:r>
        <w:rPr>
          <w:rFonts w:ascii="Calibri" w:eastAsia="Microsoft YaHei"/>
          <w:color w:val="1E2E40"/>
          <w:sz w:val="22"/>
          <w:szCs w:val="22"/>
        </w:rPr>
        <w:t xml:space="preserve">Notifications de paiement : confirmation instantanée par SMS et in-app</w:t>
      </w:r>
    </w:p>
    <w:p>
      <w:pPr>
        <w:pStyle w:val="ListParagraph"/>
        <w:numPr>
          <w:ilvl w:val="0"/>
          <w:numId w:val="1"/>
        </w:numPr>
        <w:spacing w:after="40" w:line="312"/>
      </w:pPr>
      <w:r>
        <w:rPr>
          <w:rFonts w:ascii="Calibri" w:eastAsia="Microsoft YaHei"/>
          <w:color w:val="1E2E40"/>
          <w:sz w:val="22"/>
          <w:szCs w:val="22"/>
        </w:rPr>
        <w:t xml:space="preserve">Module de crédit santé : paiement échelonné pour les soins coûteux (maternité, chirurgie)</w:t>
      </w:r>
    </w:p>
    <w:p>
      <w:pPr>
        <w:pStyle w:val="Heading2"/>
        <w:spacing w:after="150" w:before="300" w:line="312"/>
      </w:pPr>
      <w:r>
        <w:rPr>
          <w:rFonts w:ascii="Calibri" w:eastAsia="SimHei"/>
          <w:b/>
          <w:bCs/>
          <w:color w:val="1A3A3A"/>
          <w:sz w:val="28"/>
          <w:szCs w:val="28"/>
        </w:rPr>
        <w:t xml:space="preserve">4.2 SMS et WhatsApp Business API</w:t>
      </w:r>
    </w:p>
    <w:p>
      <w:pPr>
        <w:spacing w:after="80" w:line="312"/>
        <w:ind w:firstLine="420"/>
        <w:jc w:val="both"/>
      </w:pPr>
      <w:r>
        <w:rPr>
          <w:rFonts w:ascii="Calibri" w:eastAsia="Microsoft YaHei"/>
          <w:color w:val="1E2E40"/>
          <w:sz w:val="22"/>
          <w:szCs w:val="22"/>
        </w:rPr>
        <w:t xml:space="preserve">La communication en Afrique passe principalement par le téléphone mobile. Le taux de pénétration mobile en Guinée dépasse 80%, et WhatsApp y est l’application la plus utilisée. L’intégration de canaux SMS et WhatsApp permet d’atteindre chaque patient dans sa préférence de communication, d’améliorer l’observance des traitements et de réduire les rendez-vous manqués, qui coûtent cher aux établissements de santé et désorganisent les plannings médicaux.</w:t>
      </w:r>
    </w:p>
    <w:p>
      <w:pPr>
        <w:pStyle w:val="ListParagraph"/>
        <w:numPr>
          <w:ilvl w:val="0"/>
          <w:numId w:val="1"/>
        </w:numPr>
        <w:spacing w:after="40" w:line="312"/>
      </w:pPr>
      <w:r>
        <w:rPr>
          <w:rFonts w:ascii="Calibri" w:eastAsia="Microsoft YaHei"/>
          <w:color w:val="1E2E40"/>
          <w:sz w:val="22"/>
          <w:szCs w:val="22"/>
        </w:rPr>
        <w:t xml:space="preserve">Rappels de rendez-vous automatiques : SMS 24h avant et WhatsApp 2h avant</w:t>
      </w:r>
    </w:p>
    <w:p>
      <w:pPr>
        <w:pStyle w:val="ListParagraph"/>
        <w:numPr>
          <w:ilvl w:val="0"/>
          <w:numId w:val="1"/>
        </w:numPr>
        <w:spacing w:after="40" w:line="312"/>
      </w:pPr>
      <w:r>
        <w:rPr>
          <w:rFonts w:ascii="Calibri" w:eastAsia="Microsoft YaHei"/>
          <w:color w:val="1E2E40"/>
          <w:sz w:val="22"/>
          <w:szCs w:val="22"/>
        </w:rPr>
        <w:t xml:space="preserve">Notifications de résultats de laboratoire par SMS avec lien sécurisé</w:t>
      </w:r>
    </w:p>
    <w:p>
      <w:pPr>
        <w:pStyle w:val="ListParagraph"/>
        <w:numPr>
          <w:ilvl w:val="0"/>
          <w:numId w:val="1"/>
        </w:numPr>
        <w:spacing w:after="40" w:line="312"/>
      </w:pPr>
      <w:r>
        <w:rPr>
          <w:rFonts w:ascii="Calibri" w:eastAsia="Microsoft YaHei"/>
          <w:color w:val="1E2E40"/>
          <w:sz w:val="22"/>
          <w:szCs w:val="22"/>
        </w:rPr>
        <w:t xml:space="preserve">Rappels de vaccination pour les enfants : calendrier automatique basé sur l’âge</w:t>
      </w:r>
    </w:p>
    <w:p>
      <w:pPr>
        <w:pStyle w:val="ListParagraph"/>
        <w:numPr>
          <w:ilvl w:val="0"/>
          <w:numId w:val="1"/>
        </w:numPr>
        <w:spacing w:after="40" w:line="312"/>
      </w:pPr>
      <w:r>
        <w:rPr>
          <w:rFonts w:ascii="Calibri" w:eastAsia="Microsoft YaHei"/>
          <w:color w:val="1E2E40"/>
          <w:sz w:val="22"/>
          <w:szCs w:val="22"/>
        </w:rPr>
        <w:t xml:space="preserve">Chatbot WhatsApp pour prise de rendez-vous et questions fréquentes</w:t>
      </w:r>
    </w:p>
    <w:p>
      <w:pPr>
        <w:pStyle w:val="ListParagraph"/>
        <w:numPr>
          <w:ilvl w:val="0"/>
          <w:numId w:val="1"/>
        </w:numPr>
        <w:spacing w:after="40" w:line="312"/>
      </w:pPr>
      <w:r>
        <w:rPr>
          <w:rFonts w:ascii="Calibri" w:eastAsia="Microsoft YaHei"/>
          <w:color w:val="1E2E40"/>
          <w:sz w:val="22"/>
          <w:szCs w:val="22"/>
        </w:rPr>
        <w:t xml:space="preserve">Alertes de rappel de prise de médicaments pour les traitements chroniques (VIH, tuberculose, paludisme)</w:t>
      </w:r>
    </w:p>
    <w:p>
      <w:pPr>
        <w:pStyle w:val="ListParagraph"/>
        <w:numPr>
          <w:ilvl w:val="0"/>
          <w:numId w:val="1"/>
        </w:numPr>
        <w:spacing w:after="40" w:line="312"/>
      </w:pPr>
      <w:r>
        <w:rPr>
          <w:rFonts w:ascii="Calibri" w:eastAsia="Microsoft YaHei"/>
          <w:color w:val="1E2E40"/>
          <w:sz w:val="22"/>
          <w:szCs w:val="22"/>
        </w:rPr>
        <w:t xml:space="preserve">Campagnes de santé publique : envoi groupé d’informations sur les épidémies et les campagnes de vaccination</w:t>
      </w:r>
    </w:p>
    <w:p>
      <w:pPr>
        <w:pStyle w:val="Heading2"/>
        <w:spacing w:after="150" w:before="300" w:line="312"/>
      </w:pPr>
      <w:r>
        <w:rPr>
          <w:rFonts w:ascii="Calibri" w:eastAsia="SimHei"/>
          <w:b/>
          <w:bCs/>
          <w:color w:val="1A3A3A"/>
          <w:sz w:val="28"/>
          <w:szCs w:val="28"/>
        </w:rPr>
        <w:t xml:space="preserve">4.3 Assurance Santé Intégrée</w:t>
      </w:r>
    </w:p>
    <w:p>
      <w:pPr>
        <w:spacing w:after="80" w:line="312"/>
        <w:ind w:firstLine="420"/>
        <w:jc w:val="both"/>
      </w:pPr>
      <w:r>
        <w:rPr>
          <w:rFonts w:ascii="Calibri" w:eastAsia="Microsoft YaHei"/>
          <w:color w:val="1E2E40"/>
          <w:sz w:val="22"/>
          <w:szCs w:val="22"/>
        </w:rPr>
        <w:t xml:space="preserve">L’assurance santé en Afrique de l’Ouest est un marché en pleine expansion. En Guinée, le gouvernement lance progressivement la Couverture Maladie Universelle (CMU), et plusieurs assureurs privés proposent des offres. L’intégration de modules déassurance dans HealthFlow permet aux établissements de vérifier automatiquement la couverture d’un patient, de soumettre des demandes de prise en charge électroniques, et de suivre les remboursements en temps réel, éliminant les processus papier lents et sujets aux erreurs.</w:t>
      </w:r>
    </w:p>
    <w:p>
      <w:pPr>
        <w:pStyle w:val="ListParagraph"/>
        <w:numPr>
          <w:ilvl w:val="0"/>
          <w:numId w:val="1"/>
        </w:numPr>
        <w:spacing w:after="40" w:line="312"/>
      </w:pPr>
      <w:r>
        <w:rPr>
          <w:rFonts w:ascii="Calibri" w:eastAsia="Microsoft YaHei"/>
          <w:color w:val="1E2E40"/>
          <w:sz w:val="22"/>
          <w:szCs w:val="22"/>
        </w:rPr>
        <w:t xml:space="preserve">Module de vérification d’éligibilité assurance en temps réel avant consultation</w:t>
      </w:r>
    </w:p>
    <w:p>
      <w:pPr>
        <w:pStyle w:val="ListParagraph"/>
        <w:numPr>
          <w:ilvl w:val="0"/>
          <w:numId w:val="1"/>
        </w:numPr>
        <w:spacing w:after="40" w:line="312"/>
      </w:pPr>
      <w:r>
        <w:rPr>
          <w:rFonts w:ascii="Calibri" w:eastAsia="Microsoft YaHei"/>
          <w:color w:val="1E2E40"/>
          <w:sz w:val="22"/>
          <w:szCs w:val="22"/>
        </w:rPr>
        <w:t xml:space="preserve">Soumission électronique des demandes de prise en charge avec documentation attachée</w:t>
      </w:r>
    </w:p>
    <w:p>
      <w:pPr>
        <w:pStyle w:val="ListParagraph"/>
        <w:numPr>
          <w:ilvl w:val="0"/>
          <w:numId w:val="1"/>
        </w:numPr>
        <w:spacing w:after="40" w:line="312"/>
      </w:pPr>
      <w:r>
        <w:rPr>
          <w:rFonts w:ascii="Calibri" w:eastAsia="Microsoft YaHei"/>
          <w:color w:val="1E2E40"/>
          <w:sz w:val="22"/>
          <w:szCs w:val="22"/>
        </w:rPr>
        <w:t xml:space="preserve">Suivi des remboursements et tableau de bord des deniers en attente par assureur</w:t>
      </w:r>
    </w:p>
    <w:p>
      <w:pPr>
        <w:pStyle w:val="ListParagraph"/>
        <w:numPr>
          <w:ilvl w:val="0"/>
          <w:numId w:val="1"/>
        </w:numPr>
        <w:spacing w:after="40" w:line="312"/>
      </w:pPr>
      <w:r>
        <w:rPr>
          <w:rFonts w:ascii="Calibri" w:eastAsia="Microsoft YaHei"/>
          <w:color w:val="1E2E40"/>
          <w:sz w:val="22"/>
          <w:szCs w:val="22"/>
        </w:rPr>
        <w:t xml:space="preserve">Intégration avec les principaux assureurs guinéens et ouest-africains</w:t>
      </w:r>
    </w:p>
    <w:p>
      <w:pPr>
        <w:pBdr>
          <w:top w:val="single" w:color="3CB4A0" w:sz="8" w:space="16"/>
        </w:pBdr>
        <w:spacing w:after="100" w:before="100"/>
        <w:ind w:left="500" w:right="500"/>
      </w:pPr>
    </w:p>
    <w:p>
      <w:pPr>
        <w:pStyle w:val="Heading1"/>
        <w:spacing w:after="200" w:before="400" w:line="312"/>
      </w:pPr>
      <w:r>
        <w:rPr>
          <w:rFonts w:ascii="Calibri" w:eastAsia="SimHei"/>
          <w:b/>
          <w:bCs/>
          <w:color w:val="1A3A3A"/>
          <w:sz w:val="32"/>
          <w:szCs w:val="32"/>
        </w:rPr>
        <w:t xml:space="preserve">5. Phase 3 : Intelligence Artificielle (Mois 7–10)</w:t>
      </w:r>
    </w:p>
    <w:p>
      <w:pPr>
        <w:spacing w:after="80" w:line="312"/>
        <w:ind w:firstLine="420"/>
        <w:jc w:val="both"/>
      </w:pPr>
      <w:r>
        <w:rPr>
          <w:rFonts w:ascii="Calibri" w:eastAsia="Microsoft YaHei"/>
          <w:color w:val="1E2E40"/>
          <w:sz w:val="22"/>
          <w:szCs w:val="22"/>
        </w:rPr>
        <w:t xml:space="preserve">La troisième phase marque l’entrée de HealthFlow dans l’ère de l’intelligence artificielle appliquée à la santé. En exploitant le z-ai-web-dev-sdk déjà intégré dans le projet, nous pouvons déployer des fonctionnalités d’IA qui ont un impact direct sur la qualité des soins et l’efficacité du système de santé. L’IA dans le contexte africain ne remplace pas le médecin, elle l’assiste : elle aide les agents de santé communautaires à poser des diagnostics préliminaires, alerte les médecins sur les interactions médicamenteuses dangereuses, et détecte les tendances épidémiologiques avant qu’elles ne deviennent des crises.</w:t>
      </w:r>
    </w:p>
    <w:p>
      <w:pPr>
        <w:pStyle w:val="Heading2"/>
        <w:spacing w:after="150" w:before="300" w:line="312"/>
      </w:pPr>
      <w:r>
        <w:rPr>
          <w:rFonts w:ascii="Calibri" w:eastAsia="SimHei"/>
          <w:b/>
          <w:bCs/>
          <w:color w:val="1A3A3A"/>
          <w:sz w:val="28"/>
          <w:szCs w:val="28"/>
        </w:rPr>
        <w:t xml:space="preserve">5.1 Assistant IA de Diagnostic</w:t>
      </w:r>
    </w:p>
    <w:p>
      <w:pPr>
        <w:spacing w:after="80" w:line="312"/>
        <w:ind w:firstLine="420"/>
        <w:jc w:val="both"/>
      </w:pPr>
      <w:r>
        <w:rPr>
          <w:rFonts w:ascii="Calibri" w:eastAsia="Microsoft YaHei"/>
          <w:color w:val="1E2E40"/>
          <w:sz w:val="22"/>
          <w:szCs w:val="22"/>
        </w:rPr>
        <w:t xml:space="preserve">L’assistant IA de diagnostic est la fonctionnalité phare de HealthFlow Africa. Il permet à tout agent de santé, même sans formation médicale approfondie, de décrire les symptômes d’un patient et d’obtenir une liste de diagnostics probables avec leur niveau de confiance, les examens complémentaires recommandés et l’orientation vers le niveau de soins adapté. Cet outil est particulièrement précieux dans les centres de santé ruraux où aucun médecin n’est présent, et où les agents de santé communautaires sont souvent les seuls recours des populations.</w:t>
      </w:r>
    </w:p>
    <w:p>
      <w:pPr>
        <w:pStyle w:val="ListParagraph"/>
        <w:numPr>
          <w:ilvl w:val="0"/>
          <w:numId w:val="1"/>
        </w:numPr>
        <w:spacing w:after="40" w:line="312"/>
      </w:pPr>
      <w:r>
        <w:rPr>
          <w:rFonts w:ascii="Calibri" w:eastAsia="Microsoft YaHei"/>
          <w:color w:val="1E2E40"/>
          <w:sz w:val="22"/>
          <w:szCs w:val="22"/>
        </w:rPr>
        <w:t xml:space="preserve">Interface conversationnelle basée sur le z-ai-web-dev-sdk pour la collecte des symptômes</w:t>
      </w:r>
    </w:p>
    <w:p>
      <w:pPr>
        <w:pStyle w:val="ListParagraph"/>
        <w:numPr>
          <w:ilvl w:val="0"/>
          <w:numId w:val="1"/>
        </w:numPr>
        <w:spacing w:after="40" w:line="312"/>
      </w:pPr>
      <w:r>
        <w:rPr>
          <w:rFonts w:ascii="Calibri" w:eastAsia="Microsoft YaHei"/>
          <w:color w:val="1E2E40"/>
          <w:sz w:val="22"/>
          <w:szCs w:val="22"/>
        </w:rPr>
        <w:t xml:space="preserve">Arbre de décision médicale adapté aux pathologies tropicales (paludisme, fièvre typhoïde, dengue, Ebola)</w:t>
      </w:r>
    </w:p>
    <w:p>
      <w:pPr>
        <w:pStyle w:val="ListParagraph"/>
        <w:numPr>
          <w:ilvl w:val="0"/>
          <w:numId w:val="1"/>
        </w:numPr>
        <w:spacing w:after="40" w:line="312"/>
      </w:pPr>
      <w:r>
        <w:rPr>
          <w:rFonts w:ascii="Calibri" w:eastAsia="Microsoft YaHei"/>
          <w:color w:val="1E2E40"/>
          <w:sz w:val="22"/>
          <w:szCs w:val="22"/>
        </w:rPr>
        <w:t xml:space="preserve">Score de confiance et niveau d’urgence pour chaque diagnostic suggéré</w:t>
      </w:r>
    </w:p>
    <w:p>
      <w:pPr>
        <w:pStyle w:val="ListParagraph"/>
        <w:numPr>
          <w:ilvl w:val="0"/>
          <w:numId w:val="1"/>
        </w:numPr>
        <w:spacing w:after="40" w:line="312"/>
      </w:pPr>
      <w:r>
        <w:rPr>
          <w:rFonts w:ascii="Calibri" w:eastAsia="Microsoft YaHei"/>
          <w:color w:val="1E2E40"/>
          <w:sz w:val="22"/>
          <w:szCs w:val="22"/>
        </w:rPr>
        <w:t xml:space="preserve">Recommandations d’examens complémentaires et de orientation (centre de santé, hôpital de district, hôpital national)</w:t>
      </w:r>
    </w:p>
    <w:p>
      <w:pPr>
        <w:pStyle w:val="ListParagraph"/>
        <w:numPr>
          <w:ilvl w:val="0"/>
          <w:numId w:val="1"/>
        </w:numPr>
        <w:spacing w:after="40" w:line="312"/>
      </w:pPr>
      <w:r>
        <w:rPr>
          <w:rFonts w:ascii="Calibri" w:eastAsia="Microsoft YaHei"/>
          <w:color w:val="1E2E40"/>
          <w:sz w:val="22"/>
          <w:szCs w:val="22"/>
        </w:rPr>
        <w:t xml:space="preserve">Apprentissage continu : l’IA s’améliore avec les données anonymisées du réseau HealthFlow</w:t>
      </w:r>
    </w:p>
    <w:p>
      <w:pPr>
        <w:pStyle w:val="ListParagraph"/>
        <w:numPr>
          <w:ilvl w:val="0"/>
          <w:numId w:val="1"/>
        </w:numPr>
        <w:spacing w:after="40" w:line="312"/>
      </w:pPr>
      <w:r>
        <w:rPr>
          <w:rFonts w:ascii="Calibri" w:eastAsia="Microsoft YaHei"/>
          <w:color w:val="1E2E40"/>
          <w:sz w:val="22"/>
          <w:szCs w:val="22"/>
        </w:rPr>
        <w:t xml:space="preserve">Mode hors ligne : arbre de décision statique intégré dans l’application pour les zones sans connexion</w:t>
      </w:r>
    </w:p>
    <w:p>
      <w:pPr>
        <w:pStyle w:val="Heading2"/>
        <w:spacing w:after="150" w:before="300" w:line="312"/>
      </w:pPr>
      <w:r>
        <w:rPr>
          <w:rFonts w:ascii="Calibri" w:eastAsia="SimHei"/>
          <w:b/>
          <w:bCs/>
          <w:color w:val="1A3A3A"/>
          <w:sz w:val="28"/>
          <w:szCs w:val="28"/>
        </w:rPr>
        <w:t xml:space="preserve">5.2 Vérificateur d’Interactions Médicamenteuses</w:t>
      </w:r>
    </w:p>
    <w:p>
      <w:pPr>
        <w:spacing w:after="80" w:line="312"/>
        <w:ind w:firstLine="420"/>
        <w:jc w:val="both"/>
      </w:pPr>
      <w:r>
        <w:rPr>
          <w:rFonts w:ascii="Calibri" w:eastAsia="Microsoft YaHei"/>
          <w:color w:val="1E2E40"/>
          <w:sz w:val="22"/>
          <w:szCs w:val="22"/>
        </w:rPr>
        <w:t xml:space="preserve">Les erreurs de prescription médicamenteuse sont une cause majeure d’incidents iatrogènes en Afrique, où l’automédication est très répandue et où les pharmaciens ne sont pas toujours disponibles pour contrôler les ordonnances. Le vérificateur d’interactions médicamenteuses analyse en temps réel chaque prescription et alerte le prescripteur sur les interactions potentiellement dangereuses, les contre-indications liées aux antécédents du patient, et les ajustements posologiques nécessaires selon le poids, l’âge et la fonction rénale.</w:t>
      </w:r>
    </w:p>
    <w:p>
      <w:pPr>
        <w:pStyle w:val="ListParagraph"/>
        <w:numPr>
          <w:ilvl w:val="0"/>
          <w:numId w:val="1"/>
        </w:numPr>
        <w:spacing w:after="40" w:line="312"/>
      </w:pPr>
      <w:r>
        <w:rPr>
          <w:rFonts w:ascii="Calibri" w:eastAsia="Microsoft YaHei"/>
          <w:color w:val="1E2E40"/>
          <w:sz w:val="22"/>
          <w:szCs w:val="22"/>
        </w:rPr>
        <w:t xml:space="preserve">Base de données d’interactions médicamenteuses couvrant les médicaments essentiels OMS</w:t>
      </w:r>
    </w:p>
    <w:p>
      <w:pPr>
        <w:pStyle w:val="ListParagraph"/>
        <w:numPr>
          <w:ilvl w:val="0"/>
          <w:numId w:val="1"/>
        </w:numPr>
        <w:spacing w:after="40" w:line="312"/>
      </w:pPr>
      <w:r>
        <w:rPr>
          <w:rFonts w:ascii="Calibri" w:eastAsia="Microsoft YaHei"/>
          <w:color w:val="1E2E40"/>
          <w:sz w:val="22"/>
          <w:szCs w:val="22"/>
        </w:rPr>
        <w:t xml:space="preserve">Vérification en temps réel lors de la saisie d’une ordonnance avec alertes visuelles</w:t>
      </w:r>
    </w:p>
    <w:p>
      <w:pPr>
        <w:pStyle w:val="ListParagraph"/>
        <w:numPr>
          <w:ilvl w:val="0"/>
          <w:numId w:val="1"/>
        </w:numPr>
        <w:spacing w:after="40" w:line="312"/>
      </w:pPr>
      <w:r>
        <w:rPr>
          <w:rFonts w:ascii="Calibri" w:eastAsia="Microsoft YaHei"/>
          <w:color w:val="1E2E40"/>
          <w:sz w:val="22"/>
          <w:szCs w:val="22"/>
        </w:rPr>
        <w:t xml:space="preserve">Classification des alertes : information, attention, contre-indication majeure</w:t>
      </w:r>
    </w:p>
    <w:p>
      <w:pPr>
        <w:pStyle w:val="ListParagraph"/>
        <w:numPr>
          <w:ilvl w:val="0"/>
          <w:numId w:val="1"/>
        </w:numPr>
        <w:spacing w:after="40" w:line="312"/>
      </w:pPr>
      <w:r>
        <w:rPr>
          <w:rFonts w:ascii="Calibri" w:eastAsia="Microsoft YaHei"/>
          <w:color w:val="1E2E40"/>
          <w:sz w:val="22"/>
          <w:szCs w:val="22"/>
        </w:rPr>
        <w:t xml:space="preserve">Intégration avec le dossier patient pour prise en compte des antécédents et allergies</w:t>
      </w:r>
    </w:p>
    <w:p>
      <w:pPr>
        <w:pStyle w:val="ListParagraph"/>
        <w:numPr>
          <w:ilvl w:val="0"/>
          <w:numId w:val="1"/>
        </w:numPr>
        <w:spacing w:after="40" w:line="312"/>
      </w:pPr>
      <w:r>
        <w:rPr>
          <w:rFonts w:ascii="Calibri" w:eastAsia="Microsoft YaHei"/>
          <w:color w:val="1E2E40"/>
          <w:sz w:val="22"/>
          <w:szCs w:val="22"/>
        </w:rPr>
        <w:t xml:space="preserve">Ajustements posologiques automatiques selon les paramètres du patient (poids, âge, clairance)</w:t>
      </w:r>
    </w:p>
    <w:p>
      <w:pPr>
        <w:pStyle w:val="Heading2"/>
        <w:spacing w:after="150" w:before="300" w:line="312"/>
      </w:pPr>
      <w:r>
        <w:rPr>
          <w:rFonts w:ascii="Calibri" w:eastAsia="SimHei"/>
          <w:b/>
          <w:bCs/>
          <w:color w:val="1A3A3A"/>
          <w:sz w:val="28"/>
          <w:szCs w:val="28"/>
        </w:rPr>
        <w:t xml:space="preserve">5.3 Surveillance Épidémiologique Intelligente</w:t>
      </w:r>
    </w:p>
    <w:p>
      <w:pPr>
        <w:spacing w:after="80" w:line="312"/>
        <w:ind w:firstLine="420"/>
        <w:jc w:val="both"/>
      </w:pPr>
      <w:r>
        <w:rPr>
          <w:rFonts w:ascii="Calibri" w:eastAsia="Microsoft YaHei"/>
          <w:color w:val="1E2E40"/>
          <w:sz w:val="22"/>
          <w:szCs w:val="22"/>
        </w:rPr>
        <w:t xml:space="preserve">L’Afrique est régulièrement touchée par des épidémies : Ebola, choléra, méningite, fièvre de Lassa, et bien sûr le paludisme qui tue plus de 600 000 personnes par an sur le continent. Un système de surveillance épidémiologique intelligent, intégré directement dans le système d’information hospitalier, permet de détecter les foyers épidémiques précocement, de suivre la propagation en temps réel, et d’alimenter les systèmes nationaux de surveillance comme le DHIS2 utilisé dans la plupart des pays africains.</w:t>
      </w:r>
    </w:p>
    <w:p>
      <w:pPr>
        <w:pStyle w:val="ListParagraph"/>
        <w:numPr>
          <w:ilvl w:val="0"/>
          <w:numId w:val="1"/>
        </w:numPr>
        <w:spacing w:after="40" w:line="312"/>
      </w:pPr>
      <w:r>
        <w:rPr>
          <w:rFonts w:ascii="Calibri" w:eastAsia="Microsoft YaHei"/>
          <w:color w:val="1E2E40"/>
          <w:sz w:val="22"/>
          <w:szCs w:val="22"/>
        </w:rPr>
        <w:t xml:space="preserve">Détection automatique de clusters de symptômes suspects par analyse des consultations</w:t>
      </w:r>
    </w:p>
    <w:p>
      <w:pPr>
        <w:pStyle w:val="ListParagraph"/>
        <w:numPr>
          <w:ilvl w:val="0"/>
          <w:numId w:val="1"/>
        </w:numPr>
        <w:spacing w:after="40" w:line="312"/>
      </w:pPr>
      <w:r>
        <w:rPr>
          <w:rFonts w:ascii="Calibri" w:eastAsia="Microsoft YaHei"/>
          <w:color w:val="1E2E40"/>
          <w:sz w:val="22"/>
          <w:szCs w:val="22"/>
        </w:rPr>
        <w:t xml:space="preserve">Alertes précoces envoyées au Ministère de la Santé et à l’OMS quand les seuils sont dépassés</w:t>
      </w:r>
    </w:p>
    <w:p>
      <w:pPr>
        <w:pStyle w:val="ListParagraph"/>
        <w:numPr>
          <w:ilvl w:val="0"/>
          <w:numId w:val="1"/>
        </w:numPr>
        <w:spacing w:after="40" w:line="312"/>
      </w:pPr>
      <w:r>
        <w:rPr>
          <w:rFonts w:ascii="Calibri" w:eastAsia="Microsoft YaHei"/>
          <w:color w:val="1E2E40"/>
          <w:sz w:val="22"/>
          <w:szCs w:val="22"/>
        </w:rPr>
        <w:t xml:space="preserve">Cartographie en temps réel des foyers épidémiques avec géolocalisation des cas</w:t>
      </w:r>
    </w:p>
    <w:p>
      <w:pPr>
        <w:pStyle w:val="ListParagraph"/>
        <w:numPr>
          <w:ilvl w:val="0"/>
          <w:numId w:val="1"/>
        </w:numPr>
        <w:spacing w:after="40" w:line="312"/>
      </w:pPr>
      <w:r>
        <w:rPr>
          <w:rFonts w:ascii="Calibri" w:eastAsia="Microsoft YaHei"/>
          <w:color w:val="1E2E40"/>
          <w:sz w:val="22"/>
          <w:szCs w:val="22"/>
        </w:rPr>
        <w:t xml:space="preserve">Intégration DHIS2 pour remontée automatique des données agrégées au système national</w:t>
      </w:r>
    </w:p>
    <w:p>
      <w:pPr>
        <w:pStyle w:val="ListParagraph"/>
        <w:numPr>
          <w:ilvl w:val="0"/>
          <w:numId w:val="1"/>
        </w:numPr>
        <w:spacing w:after="40" w:line="312"/>
      </w:pPr>
      <w:r>
        <w:rPr>
          <w:rFonts w:ascii="Calibri" w:eastAsia="Microsoft YaHei"/>
          <w:color w:val="1E2E40"/>
          <w:sz w:val="22"/>
          <w:szCs w:val="22"/>
        </w:rPr>
        <w:t xml:space="preserve">Modèles prédictifs basés sur les données historiques et météorologiques (saisons des pluies = paludisme)</w:t>
      </w:r>
    </w:p>
    <w:p>
      <w:pPr>
        <w:pBdr>
          <w:top w:val="single" w:color="3CB4A0" w:sz="8" w:space="16"/>
        </w:pBdr>
        <w:spacing w:after="100" w:before="100"/>
        <w:ind w:left="500" w:right="500"/>
      </w:pPr>
    </w:p>
    <w:p>
      <w:pPr>
        <w:pStyle w:val="Heading1"/>
        <w:spacing w:after="200" w:before="400" w:line="312"/>
      </w:pPr>
      <w:r>
        <w:rPr>
          <w:rFonts w:ascii="Calibri" w:eastAsia="SimHei"/>
          <w:b/>
          <w:bCs/>
          <w:color w:val="1A3A3A"/>
          <w:sz w:val="32"/>
          <w:szCs w:val="32"/>
        </w:rPr>
        <w:t xml:space="preserve">6. Phase 4 : Télémédecine Avancée (Mois 11–14)</w:t>
      </w:r>
    </w:p>
    <w:p>
      <w:pPr>
        <w:spacing w:after="80" w:line="312"/>
        <w:ind w:firstLine="420"/>
        <w:jc w:val="both"/>
      </w:pPr>
      <w:r>
        <w:rPr>
          <w:rFonts w:ascii="Calibri" w:eastAsia="Microsoft YaHei"/>
          <w:color w:val="1E2E40"/>
          <w:sz w:val="22"/>
          <w:szCs w:val="22"/>
        </w:rPr>
        <w:t xml:space="preserve">La quatrième phase fait de la télémédecine une réalité concrète pour les populations africaines. Au-delà du simple chat de consultation, HealthFlow proposera des vidéoconsultations, des outils spécifiques pour les agents de santé communautaires sur le terrain, et une IA de pré-consultation qui structure l’échange entre le patient et le médecin à distance. Cette phase vise à réduire la fracture géographique en santé, où 70% des médecins sont concentrés dans les capitales tandis que 65% de la population vit en zones rurales.</w:t>
      </w:r>
    </w:p>
    <w:p>
      <w:pPr>
        <w:pStyle w:val="Heading2"/>
        <w:spacing w:after="150" w:before="300" w:line="312"/>
      </w:pPr>
      <w:r>
        <w:rPr>
          <w:rFonts w:ascii="Calibri" w:eastAsia="SimHei"/>
          <w:b/>
          <w:bCs/>
          <w:color w:val="1A3A3A"/>
          <w:sz w:val="28"/>
          <w:szCs w:val="28"/>
        </w:rPr>
        <w:t xml:space="preserve">6.1 Vidéoconsultation Intégrée</w:t>
      </w:r>
    </w:p>
    <w:p>
      <w:pPr>
        <w:pStyle w:val="ListParagraph"/>
        <w:numPr>
          <w:ilvl w:val="0"/>
          <w:numId w:val="1"/>
        </w:numPr>
        <w:spacing w:after="40" w:line="312"/>
      </w:pPr>
      <w:r>
        <w:rPr>
          <w:rFonts w:ascii="Calibri" w:eastAsia="Microsoft YaHei"/>
          <w:color w:val="1E2E40"/>
          <w:sz w:val="22"/>
          <w:szCs w:val="22"/>
        </w:rPr>
        <w:t xml:space="preserve">Vidéo et audio haute qualité adaptative selon la bande passante disponible (de 2G à 4G)</w:t>
      </w:r>
    </w:p>
    <w:p>
      <w:pPr>
        <w:pStyle w:val="ListParagraph"/>
        <w:numPr>
          <w:ilvl w:val="0"/>
          <w:numId w:val="1"/>
        </w:numPr>
        <w:spacing w:after="40" w:line="312"/>
      </w:pPr>
      <w:r>
        <w:rPr>
          <w:rFonts w:ascii="Calibri" w:eastAsia="Microsoft YaHei"/>
          <w:color w:val="1E2E40"/>
          <w:sz w:val="22"/>
          <w:szCs w:val="22"/>
        </w:rPr>
        <w:t xml:space="preserve">Partage d’écran pour visualiser des résultats d’examens ensemble</w:t>
      </w:r>
    </w:p>
    <w:p>
      <w:pPr>
        <w:pStyle w:val="ListParagraph"/>
        <w:numPr>
          <w:ilvl w:val="0"/>
          <w:numId w:val="1"/>
        </w:numPr>
        <w:spacing w:after="40" w:line="312"/>
      </w:pPr>
      <w:r>
        <w:rPr>
          <w:rFonts w:ascii="Calibri" w:eastAsia="Microsoft YaHei"/>
          <w:color w:val="1E2E40"/>
          <w:sz w:val="22"/>
          <w:szCs w:val="22"/>
        </w:rPr>
        <w:t xml:space="preserve">Envoi de photos et documents pendant la consultation (lésions cutanées, radiographies)</w:t>
      </w:r>
    </w:p>
    <w:p>
      <w:pPr>
        <w:pStyle w:val="ListParagraph"/>
        <w:numPr>
          <w:ilvl w:val="0"/>
          <w:numId w:val="1"/>
        </w:numPr>
        <w:spacing w:after="40" w:line="312"/>
      </w:pPr>
      <w:r>
        <w:rPr>
          <w:rFonts w:ascii="Calibri" w:eastAsia="Microsoft YaHei"/>
          <w:color w:val="1E2E40"/>
          <w:sz w:val="22"/>
          <w:szCs w:val="22"/>
        </w:rPr>
        <w:t xml:space="preserve">Enregistrement (avec consentement) pour le dossier médical et la formation continue</w:t>
      </w:r>
    </w:p>
    <w:p>
      <w:pPr>
        <w:pStyle w:val="ListParagraph"/>
        <w:numPr>
          <w:ilvl w:val="0"/>
          <w:numId w:val="1"/>
        </w:numPr>
        <w:spacing w:after="40" w:line="312"/>
      </w:pPr>
      <w:r>
        <w:rPr>
          <w:rFonts w:ascii="Calibri" w:eastAsia="Microsoft YaHei"/>
          <w:color w:val="1E2E40"/>
          <w:sz w:val="22"/>
          <w:szCs w:val="22"/>
        </w:rPr>
        <w:t xml:space="preserve">Salle d’attente virtuelle avec estimation du temps d’attente en temps réel</w:t>
      </w:r>
    </w:p>
    <w:p>
      <w:pPr>
        <w:pStyle w:val="Heading2"/>
        <w:spacing w:after="150" w:before="300" w:line="312"/>
      </w:pPr>
      <w:r>
        <w:rPr>
          <w:rFonts w:ascii="Calibri" w:eastAsia="SimHei"/>
          <w:b/>
          <w:bCs/>
          <w:color w:val="1A3A3A"/>
          <w:sz w:val="28"/>
          <w:szCs w:val="28"/>
        </w:rPr>
        <w:t xml:space="preserve">6.2 Outils Agents de Santé Communautaires</w:t>
      </w:r>
    </w:p>
    <w:p>
      <w:pPr>
        <w:spacing w:after="80" w:line="312"/>
        <w:ind w:firstLine="420"/>
        <w:jc w:val="both"/>
      </w:pPr>
      <w:r>
        <w:rPr>
          <w:rFonts w:ascii="Calibri" w:eastAsia="Microsoft YaHei"/>
          <w:color w:val="1E2E40"/>
          <w:sz w:val="22"/>
          <w:szCs w:val="22"/>
        </w:rPr>
        <w:t xml:space="preserve">Les agents de santé communautaires (ASC) sont le maillon essentiel du système de santé africain. En Guinée, ils sont près de 8 000 à assurer les soins de santé primaires dans les villages. HealthFlow leur fournit un outil mobile léger, fonctionnant hors ligne, qui les guide dans le diagnostic, la prise en charge et la référence des patients vers les structures de santé. L’objectif est de transformer chaque ASC en un point de contact numérique avec le système de santé national.</w:t>
      </w:r>
    </w:p>
    <w:p>
      <w:pPr>
        <w:pStyle w:val="ListParagraph"/>
        <w:numPr>
          <w:ilvl w:val="0"/>
          <w:numId w:val="1"/>
        </w:numPr>
        <w:spacing w:after="40" w:line="312"/>
      </w:pPr>
      <w:r>
        <w:rPr>
          <w:rFonts w:ascii="Calibri" w:eastAsia="Microsoft YaHei"/>
          <w:color w:val="1E2E40"/>
          <w:sz w:val="22"/>
          <w:szCs w:val="22"/>
        </w:rPr>
        <w:t xml:space="preserve">Interface mobile ultra-légère optimisée pour les téléphones basiques Android</w:t>
      </w:r>
    </w:p>
    <w:p>
      <w:pPr>
        <w:pStyle w:val="ListParagraph"/>
        <w:numPr>
          <w:ilvl w:val="0"/>
          <w:numId w:val="1"/>
        </w:numPr>
        <w:spacing w:after="40" w:line="312"/>
      </w:pPr>
      <w:r>
        <w:rPr>
          <w:rFonts w:ascii="Calibri" w:eastAsia="Microsoft YaHei"/>
          <w:color w:val="1E2E40"/>
          <w:sz w:val="22"/>
          <w:szCs w:val="22"/>
        </w:rPr>
        <w:t xml:space="preserve">Guidage pas-à-pas pour le diagnostic et la prise en charge des pathologies courantes</w:t>
      </w:r>
    </w:p>
    <w:p>
      <w:pPr>
        <w:pStyle w:val="ListParagraph"/>
        <w:numPr>
          <w:ilvl w:val="0"/>
          <w:numId w:val="1"/>
        </w:numPr>
        <w:spacing w:after="40" w:line="312"/>
      </w:pPr>
      <w:r>
        <w:rPr>
          <w:rFonts w:ascii="Calibri" w:eastAsia="Microsoft YaHei"/>
          <w:color w:val="1E2E40"/>
          <w:sz w:val="22"/>
          <w:szCs w:val="22"/>
        </w:rPr>
        <w:t xml:space="preserve">Synchronisation automatique des données collectées dès que la connexion est disponible</w:t>
      </w:r>
    </w:p>
    <w:p>
      <w:pPr>
        <w:pStyle w:val="ListParagraph"/>
        <w:numPr>
          <w:ilvl w:val="0"/>
          <w:numId w:val="1"/>
        </w:numPr>
        <w:spacing w:after="40" w:line="312"/>
      </w:pPr>
      <w:r>
        <w:rPr>
          <w:rFonts w:ascii="Calibri" w:eastAsia="Microsoft YaHei"/>
          <w:color w:val="1E2E40"/>
          <w:sz w:val="22"/>
          <w:szCs w:val="22"/>
        </w:rPr>
        <w:t xml:space="preserve">Géolocalisation des visites et couverture sanitaire par zone</w:t>
      </w:r>
    </w:p>
    <w:p>
      <w:pPr>
        <w:pStyle w:val="ListParagraph"/>
        <w:numPr>
          <w:ilvl w:val="0"/>
          <w:numId w:val="1"/>
        </w:numPr>
        <w:spacing w:after="40" w:line="312"/>
      </w:pPr>
      <w:r>
        <w:rPr>
          <w:rFonts w:ascii="Calibri" w:eastAsia="Microsoft YaHei"/>
          <w:color w:val="1E2E40"/>
          <w:sz w:val="22"/>
          <w:szCs w:val="22"/>
        </w:rPr>
        <w:t xml:space="preserve">Formation continue intégrée : modules e-learning sur les protocoles de soins</w:t>
      </w:r>
    </w:p>
    <w:p>
      <w:pPr>
        <w:pBdr>
          <w:top w:val="single" w:color="3CB4A0" w:sz="8" w:space="16"/>
        </w:pBdr>
        <w:spacing w:after="100" w:before="100"/>
        <w:ind w:left="500" w:right="500"/>
      </w:pPr>
    </w:p>
    <w:p>
      <w:pPr>
        <w:pStyle w:val="Heading1"/>
        <w:spacing w:after="200" w:before="400" w:line="312"/>
      </w:pPr>
      <w:r>
        <w:rPr>
          <w:rFonts w:ascii="Calibri" w:eastAsia="SimHei"/>
          <w:b/>
          <w:bCs/>
          <w:color w:val="1A3A3A"/>
          <w:sz w:val="32"/>
          <w:szCs w:val="32"/>
        </w:rPr>
        <w:t xml:space="preserve">7. Phase 5 : Santé Publique Nationale (Mois 15–18)</w:t>
      </w:r>
    </w:p>
    <w:p>
      <w:pPr>
        <w:spacing w:after="80" w:line="312"/>
        <w:ind w:firstLine="420"/>
        <w:jc w:val="both"/>
      </w:pPr>
      <w:r>
        <w:rPr>
          <w:rFonts w:ascii="Calibri" w:eastAsia="Microsoft YaHei"/>
          <w:color w:val="1E2E40"/>
          <w:sz w:val="22"/>
          <w:szCs w:val="22"/>
        </w:rPr>
        <w:t xml:space="preserve">La cinquième phase élève HealthFlow du niveau de l’établissement de santé au niveau national. En intégrant les standards internationaux d’interopérabilité, en proposant un système d’identifiant santé national, et en déployant des dashboards de santé publique, HealthFlow devient l’infrastructure numérique de santé du pays. Cette phase nécessite un partenariat étroit avec le Ministère de la Santé et les organisations internationales, mais elle positionne DataSphere Innovation comme un acteur incontournable de la santé numérique en Afrique.</w:t>
      </w:r>
    </w:p>
    <w:p>
      <w:pPr>
        <w:pStyle w:val="Heading2"/>
        <w:spacing w:after="150" w:before="300" w:line="312"/>
      </w:pPr>
      <w:r>
        <w:rPr>
          <w:rFonts w:ascii="Calibri" w:eastAsia="SimHei"/>
          <w:b/>
          <w:bCs/>
          <w:color w:val="1A3A3A"/>
          <w:sz w:val="28"/>
          <w:szCs w:val="28"/>
        </w:rPr>
        <w:t xml:space="preserve">7.1 Identifiant Santé National</w:t>
      </w:r>
    </w:p>
    <w:p>
      <w:pPr>
        <w:spacing w:after="80" w:line="312"/>
        <w:ind w:firstLine="420"/>
        <w:jc w:val="both"/>
      </w:pPr>
      <w:r>
        <w:rPr>
          <w:rFonts w:ascii="Calibri" w:eastAsia="Microsoft YaHei"/>
          <w:color w:val="1E2E40"/>
          <w:sz w:val="22"/>
          <w:szCs w:val="22"/>
        </w:rPr>
        <w:t xml:space="preserve">Un identifiant santé national unique est la clé de voûte d’un système de santé numérique intégré. Il permet de retrouver le dossier médical complet d’un patient quelle que soit la structure où il se présente, d’éviter les doublons et les erreurs d’identification, et de produire des statistiques sanitaires fiables au niveau national. En Guinée, où de nombreux patients n’ont pas de pièce d’identité, le système doit utiliser des méthodes d’identification alternatives comme la biométrie locale ou les identifiants communautaires.</w:t>
      </w:r>
    </w:p>
    <w:p>
      <w:pPr>
        <w:pStyle w:val="ListParagraph"/>
        <w:numPr>
          <w:ilvl w:val="0"/>
          <w:numId w:val="1"/>
        </w:numPr>
        <w:spacing w:after="40" w:line="312"/>
      </w:pPr>
      <w:r>
        <w:rPr>
          <w:rFonts w:ascii="Calibri" w:eastAsia="Microsoft YaHei"/>
          <w:color w:val="1E2E40"/>
          <w:sz w:val="22"/>
          <w:szCs w:val="22"/>
        </w:rPr>
        <w:t xml:space="preserve">Génération d’un identifiant unique par patient avec checksum de validation</w:t>
      </w:r>
    </w:p>
    <w:p>
      <w:pPr>
        <w:pStyle w:val="ListParagraph"/>
        <w:numPr>
          <w:ilvl w:val="0"/>
          <w:numId w:val="1"/>
        </w:numPr>
        <w:spacing w:after="40" w:line="312"/>
      </w:pPr>
      <w:r>
        <w:rPr>
          <w:rFonts w:ascii="Calibri" w:eastAsia="Microsoft YaHei"/>
          <w:color w:val="1E2E40"/>
          <w:sz w:val="22"/>
          <w:szCs w:val="22"/>
        </w:rPr>
        <w:t xml:space="preserve">QR Code imprimable portant l’identifiant santé pour les cartes de santé physiques</w:t>
      </w:r>
    </w:p>
    <w:p>
      <w:pPr>
        <w:pStyle w:val="ListParagraph"/>
        <w:numPr>
          <w:ilvl w:val="0"/>
          <w:numId w:val="1"/>
        </w:numPr>
        <w:spacing w:after="40" w:line="312"/>
      </w:pPr>
      <w:r>
        <w:rPr>
          <w:rFonts w:ascii="Calibri" w:eastAsia="Microsoft YaHei"/>
          <w:color w:val="1E2E40"/>
          <w:sz w:val="22"/>
          <w:szCs w:val="22"/>
        </w:rPr>
        <w:t xml:space="preserve">Recherche cross-établissement par identifiant santé pour récupérer le dossier complet</w:t>
      </w:r>
    </w:p>
    <w:p>
      <w:pPr>
        <w:pStyle w:val="ListParagraph"/>
        <w:numPr>
          <w:ilvl w:val="0"/>
          <w:numId w:val="1"/>
        </w:numPr>
        <w:spacing w:after="40" w:line="312"/>
      </w:pPr>
      <w:r>
        <w:rPr>
          <w:rFonts w:ascii="Calibri" w:eastAsia="Microsoft YaHei"/>
          <w:color w:val="1E2E40"/>
          <w:sz w:val="22"/>
          <w:szCs w:val="22"/>
        </w:rPr>
        <w:t xml:space="preserve">Interface de dédoublonnage assistée par IA pour fusionner les dossiers en double</w:t>
      </w:r>
    </w:p>
    <w:p>
      <w:pPr>
        <w:pStyle w:val="ListParagraph"/>
        <w:numPr>
          <w:ilvl w:val="0"/>
          <w:numId w:val="1"/>
        </w:numPr>
        <w:spacing w:after="40" w:line="312"/>
      </w:pPr>
      <w:r>
        <w:rPr>
          <w:rFonts w:ascii="Calibri" w:eastAsia="Microsoft YaHei"/>
          <w:color w:val="1E2E40"/>
          <w:sz w:val="22"/>
          <w:szCs w:val="22"/>
        </w:rPr>
        <w:t xml:space="preserve">Conformité avec les standards d’identification de l’OMS et de l’Union Africaine</w:t>
      </w:r>
    </w:p>
    <w:p>
      <w:pPr>
        <w:pStyle w:val="Heading2"/>
        <w:spacing w:after="150" w:before="300" w:line="312"/>
      </w:pPr>
      <w:r>
        <w:rPr>
          <w:rFonts w:ascii="Calibri" w:eastAsia="SimHei"/>
          <w:b/>
          <w:bCs/>
          <w:color w:val="1A3A3A"/>
          <w:sz w:val="28"/>
          <w:szCs w:val="28"/>
        </w:rPr>
        <w:t xml:space="preserve">7.2 Interopérabilité HL7 FHIR et openHIE</w:t>
      </w:r>
    </w:p>
    <w:p>
      <w:pPr>
        <w:spacing w:after="80" w:line="312"/>
        <w:ind w:firstLine="420"/>
        <w:jc w:val="both"/>
      </w:pPr>
      <w:r>
        <w:rPr>
          <w:rFonts w:ascii="Calibri" w:eastAsia="Microsoft YaHei"/>
          <w:color w:val="1E2E40"/>
          <w:sz w:val="22"/>
          <w:szCs w:val="22"/>
        </w:rPr>
        <w:t xml:space="preserve">L’interopérabilité est le Graal des systèmes de santé numériques. Le standard HL7 FHIR (Fast Healthcare Interoperability Resources) est le protocole international de référence pour l’échange de données de santé entre systèmes. Le framework openHIE (Open Health Information Exchange) est la référence pour l’architecture des systèmes d’information sanitaires nationaux dans les pays en développement. En adoptant ces standards, HealthFlow garantit sa capacité à s’intégrer dans l’écosystème national et international de santé numérique.</w:t>
      </w:r>
    </w:p>
    <w:p>
      <w:pPr>
        <w:pStyle w:val="ListParagraph"/>
        <w:numPr>
          <w:ilvl w:val="0"/>
          <w:numId w:val="1"/>
        </w:numPr>
        <w:spacing w:after="40" w:line="312"/>
      </w:pPr>
      <w:r>
        <w:rPr>
          <w:rFonts w:ascii="Calibri" w:eastAsia="Microsoft YaHei"/>
          <w:color w:val="1E2E40"/>
          <w:sz w:val="22"/>
          <w:szCs w:val="22"/>
        </w:rPr>
        <w:t xml:space="preserve">API FHIR RESTful pour les ressources Patient, Encounter, Observation, MedicationRequest, DiagnosticReport</w:t>
      </w:r>
    </w:p>
    <w:p>
      <w:pPr>
        <w:pStyle w:val="ListParagraph"/>
        <w:numPr>
          <w:ilvl w:val="0"/>
          <w:numId w:val="1"/>
        </w:numPr>
        <w:spacing w:after="40" w:line="312"/>
      </w:pPr>
      <w:r>
        <w:rPr>
          <w:rFonts w:ascii="Calibri" w:eastAsia="Microsoft YaHei"/>
          <w:color w:val="1E2E40"/>
          <w:sz w:val="22"/>
          <w:szCs w:val="22"/>
        </w:rPr>
        <w:t xml:space="preserve">Conformité avec les profils FHIR adaptés au contexte africain (IPA - International Patient Access)</w:t>
      </w:r>
    </w:p>
    <w:p>
      <w:pPr>
        <w:pStyle w:val="ListParagraph"/>
        <w:numPr>
          <w:ilvl w:val="0"/>
          <w:numId w:val="1"/>
        </w:numPr>
        <w:spacing w:after="40" w:line="312"/>
      </w:pPr>
      <w:r>
        <w:rPr>
          <w:rFonts w:ascii="Calibri" w:eastAsia="Microsoft YaHei"/>
          <w:color w:val="1E2E40"/>
          <w:sz w:val="22"/>
          <w:szCs w:val="22"/>
        </w:rPr>
        <w:t xml:space="preserve">Connecteur openHIE pour l’échange de données entre registres de santé nationaux</w:t>
      </w:r>
    </w:p>
    <w:p>
      <w:pPr>
        <w:pStyle w:val="ListParagraph"/>
        <w:numPr>
          <w:ilvl w:val="0"/>
          <w:numId w:val="1"/>
        </w:numPr>
        <w:spacing w:after="40" w:line="312"/>
      </w:pPr>
      <w:r>
        <w:rPr>
          <w:rFonts w:ascii="Calibri" w:eastAsia="Microsoft YaHei"/>
          <w:color w:val="1E2E40"/>
          <w:sz w:val="22"/>
          <w:szCs w:val="22"/>
        </w:rPr>
        <w:t xml:space="preserve">Intégration DHIS2 pour la remontée automatique des indicateurs sanitaires agrégés</w:t>
      </w:r>
    </w:p>
    <w:p>
      <w:pPr>
        <w:pStyle w:val="ListParagraph"/>
        <w:numPr>
          <w:ilvl w:val="0"/>
          <w:numId w:val="1"/>
        </w:numPr>
        <w:spacing w:after="40" w:line="312"/>
      </w:pPr>
      <w:r>
        <w:rPr>
          <w:rFonts w:ascii="Calibri" w:eastAsia="Microsoft YaHei"/>
          <w:color w:val="1E2E40"/>
          <w:sz w:val="22"/>
          <w:szCs w:val="22"/>
        </w:rPr>
        <w:t xml:space="preserve">Gateway d’interopérabilité permettant à d’autres SIG d’échanger des données avec HealthFlow</w:t>
      </w:r>
    </w:p>
    <w:p>
      <w:pPr>
        <w:pStyle w:val="Heading2"/>
        <w:spacing w:after="150" w:before="300" w:line="312"/>
      </w:pPr>
      <w:r>
        <w:rPr>
          <w:rFonts w:ascii="Calibri" w:eastAsia="SimHei"/>
          <w:b/>
          <w:bCs/>
          <w:color w:val="1A3A3A"/>
          <w:sz w:val="28"/>
          <w:szCs w:val="28"/>
        </w:rPr>
        <w:t xml:space="preserve">7.3 Dashboard National de Santé Publique</w:t>
      </w:r>
    </w:p>
    <w:p>
      <w:pPr>
        <w:spacing w:after="80" w:line="312"/>
        <w:ind w:firstLine="420"/>
        <w:jc w:val="both"/>
      </w:pPr>
      <w:r>
        <w:rPr>
          <w:rFonts w:ascii="Calibri" w:eastAsia="Microsoft YaHei"/>
          <w:color w:val="1E2E40"/>
          <w:sz w:val="22"/>
          <w:szCs w:val="22"/>
        </w:rPr>
        <w:t xml:space="preserve">Le dashboard national de santé publique offre aux décideurs une vue en temps réel de l’état de santé de la population et du fonctionnement du système de santé. Il agrège les données de tous les établissements connectés au réseau HealthFlow et présente des indicateurs clés sous forme de cartes, graphiques et tableaux de bord interactifs. Cet outil est essentiel pour la planification sanitaire, l’allocation des ressources et la réponse aux urgences sanitaires.</w:t>
      </w:r>
    </w:p>
    <w:p>
      <w:pPr>
        <w:pStyle w:val="ListParagraph"/>
        <w:numPr>
          <w:ilvl w:val="0"/>
          <w:numId w:val="1"/>
        </w:numPr>
        <w:spacing w:after="40" w:line="312"/>
      </w:pPr>
      <w:r>
        <w:rPr>
          <w:rFonts w:ascii="Calibri" w:eastAsia="Microsoft YaHei"/>
          <w:color w:val="1E2E40"/>
          <w:sz w:val="22"/>
          <w:szCs w:val="22"/>
        </w:rPr>
        <w:t xml:space="preserve">Carte sanitaire interactive avec géolocalisation de tous les établissements de santé</w:t>
      </w:r>
    </w:p>
    <w:p>
      <w:pPr>
        <w:pStyle w:val="ListParagraph"/>
        <w:numPr>
          <w:ilvl w:val="0"/>
          <w:numId w:val="1"/>
        </w:numPr>
        <w:spacing w:after="40" w:line="312"/>
      </w:pPr>
      <w:r>
        <w:rPr>
          <w:rFonts w:ascii="Calibri" w:eastAsia="Microsoft YaHei"/>
          <w:color w:val="1E2E40"/>
          <w:sz w:val="22"/>
          <w:szCs w:val="22"/>
        </w:rPr>
        <w:t xml:space="preserve">Indicateurs clés : mortalité maternelle, mortalité infantile, couverture vaccinale, incidence paludisme</w:t>
      </w:r>
    </w:p>
    <w:p>
      <w:pPr>
        <w:pStyle w:val="ListParagraph"/>
        <w:numPr>
          <w:ilvl w:val="0"/>
          <w:numId w:val="1"/>
        </w:numPr>
        <w:spacing w:after="40" w:line="312"/>
      </w:pPr>
      <w:r>
        <w:rPr>
          <w:rFonts w:ascii="Calibri" w:eastAsia="Microsoft YaHei"/>
          <w:color w:val="1E2E40"/>
          <w:sz w:val="22"/>
          <w:szCs w:val="22"/>
        </w:rPr>
        <w:t xml:space="preserve">Alertes automatiques quand les indicateurs dépassent les seuils de surveillance</w:t>
      </w:r>
    </w:p>
    <w:p>
      <w:pPr>
        <w:pStyle w:val="ListParagraph"/>
        <w:numPr>
          <w:ilvl w:val="0"/>
          <w:numId w:val="1"/>
        </w:numPr>
        <w:spacing w:after="40" w:line="312"/>
      </w:pPr>
      <w:r>
        <w:rPr>
          <w:rFonts w:ascii="Calibri" w:eastAsia="Microsoft YaHei"/>
          <w:color w:val="1E2E40"/>
          <w:sz w:val="22"/>
          <w:szCs w:val="22"/>
        </w:rPr>
        <w:t xml:space="preserve">Rapports automatiques pour le Ministère de la Santé et les partenaires internationaux (OMS, Banque Mondiale)</w:t>
      </w:r>
    </w:p>
    <w:p>
      <w:pPr>
        <w:pStyle w:val="ListParagraph"/>
        <w:numPr>
          <w:ilvl w:val="0"/>
          <w:numId w:val="1"/>
        </w:numPr>
        <w:spacing w:after="40" w:line="312"/>
      </w:pPr>
      <w:r>
        <w:rPr>
          <w:rFonts w:ascii="Calibri" w:eastAsia="Microsoft YaHei"/>
          <w:color w:val="1E2E40"/>
          <w:sz w:val="22"/>
          <w:szCs w:val="22"/>
        </w:rPr>
        <w:t xml:space="preserve">Simulation de scénarios épidémiologiques pour la planification de réponse aux crises</w:t>
      </w:r>
    </w:p>
    <w:p>
      <w:pPr>
        <w:pBdr>
          <w:top w:val="single" w:color="3CB4A0" w:sz="8" w:space="16"/>
        </w:pBdr>
        <w:spacing w:after="100" w:before="100"/>
        <w:ind w:left="500" w:right="500"/>
      </w:pPr>
    </w:p>
    <w:p>
      <w:pPr>
        <w:pStyle w:val="Heading1"/>
        <w:spacing w:after="200" w:before="400" w:line="312"/>
      </w:pPr>
      <w:r>
        <w:rPr>
          <w:rFonts w:ascii="Calibri" w:eastAsia="SimHei"/>
          <w:b/>
          <w:bCs/>
          <w:color w:val="1A3A3A"/>
          <w:sz w:val="32"/>
          <w:szCs w:val="32"/>
        </w:rPr>
        <w:t xml:space="preserve">8. Phase 6 : Expansion Panafricaine (Mois 19–24)</w:t>
      </w:r>
    </w:p>
    <w:p>
      <w:pPr>
        <w:spacing w:after="80" w:line="312"/>
        <w:ind w:firstLine="420"/>
        <w:jc w:val="both"/>
      </w:pPr>
      <w:r>
        <w:rPr>
          <w:rFonts w:ascii="Calibri" w:eastAsia="Microsoft YaHei"/>
          <w:color w:val="1E2E40"/>
          <w:sz w:val="22"/>
          <w:szCs w:val="22"/>
        </w:rPr>
        <w:t xml:space="preserve">La sixième et dernière phase du roadmap initiale vise l’expansion de HealthFlow au-delà des frontières guinéennes. L’objectif est de déployer la plateforme dans les pays de la sous-région ouest-africaine (CEDEAO), puis en Afrique de l’Est et en Afrique centrale. Chaque déploiement national nécessite une adaptation au contexte local : réglementation, langues, monnaies, systèmes de santé existants. L’architecture modulaire de HealthFlow facilite ces adaptations tout en maintenant un noyau commun qui garantit l’interopérabilité entre pays.</w:t>
      </w:r>
    </w:p>
    <w:p>
      <w:pPr>
        <w:pStyle w:val="Heading2"/>
        <w:spacing w:after="150" w:before="300" w:line="312"/>
      </w:pPr>
      <w:r>
        <w:rPr>
          <w:rFonts w:ascii="Calibri" w:eastAsia="SimHei"/>
          <w:b/>
          <w:bCs/>
          <w:color w:val="1A3A3A"/>
          <w:sz w:val="28"/>
          <w:szCs w:val="28"/>
        </w:rPr>
        <w:t xml:space="preserve">8.1 Déploiement Multi-Pays CEDEAO</w:t>
      </w:r>
    </w:p>
    <w:p>
      <w:pPr>
        <w:pStyle w:val="ListParagraph"/>
        <w:numPr>
          <w:ilvl w:val="0"/>
          <w:numId w:val="1"/>
        </w:numPr>
        <w:spacing w:after="40" w:line="312"/>
      </w:pPr>
      <w:r>
        <w:rPr>
          <w:rFonts w:ascii="Calibri" w:eastAsia="Microsoft YaHei"/>
          <w:color w:val="1E2E40"/>
          <w:sz w:val="22"/>
          <w:szCs w:val="22"/>
        </w:rPr>
        <w:t xml:space="preserve">Adaptation aux réglementations sanitaires de chaque pays (Guinée, Sénégal, Mali, Côte d’Ivoire, Burkina Faso)</w:t>
      </w:r>
    </w:p>
    <w:p>
      <w:pPr>
        <w:pStyle w:val="ListParagraph"/>
        <w:numPr>
          <w:ilvl w:val="0"/>
          <w:numId w:val="1"/>
        </w:numPr>
        <w:spacing w:after="40" w:line="312"/>
      </w:pPr>
      <w:r>
        <w:rPr>
          <w:rFonts w:ascii="Calibri" w:eastAsia="Microsoft YaHei"/>
          <w:color w:val="1E2E40"/>
          <w:sz w:val="22"/>
          <w:szCs w:val="22"/>
        </w:rPr>
        <w:t xml:space="preserve">Intégration des systèmes mobile money locaux (Wave, Free Money, Moov Money)</w:t>
      </w:r>
    </w:p>
    <w:p>
      <w:pPr>
        <w:pStyle w:val="ListParagraph"/>
        <w:numPr>
          <w:ilvl w:val="0"/>
          <w:numId w:val="1"/>
        </w:numPr>
        <w:spacing w:after="40" w:line="312"/>
      </w:pPr>
      <w:r>
        <w:rPr>
          <w:rFonts w:ascii="Calibri" w:eastAsia="Microsoft YaHei"/>
          <w:color w:val="1E2E40"/>
          <w:sz w:val="22"/>
          <w:szCs w:val="22"/>
        </w:rPr>
        <w:t xml:space="preserve">Traduction dans les langues nationales de chaque pays (Wolof, Bambara, Dioula, Moore)</w:t>
      </w:r>
    </w:p>
    <w:p>
      <w:pPr>
        <w:pStyle w:val="ListParagraph"/>
        <w:numPr>
          <w:ilvl w:val="0"/>
          <w:numId w:val="1"/>
        </w:numPr>
        <w:spacing w:after="40" w:line="312"/>
      </w:pPr>
      <w:r>
        <w:rPr>
          <w:rFonts w:ascii="Calibri" w:eastAsia="Microsoft YaHei"/>
          <w:color w:val="1E2E40"/>
          <w:sz w:val="22"/>
          <w:szCs w:val="22"/>
        </w:rPr>
        <w:t xml:space="preserve">Architecture multi-tenant avec isolation des données par pays et par établissement</w:t>
      </w:r>
    </w:p>
    <w:p>
      <w:pPr>
        <w:pStyle w:val="ListParagraph"/>
        <w:numPr>
          <w:ilvl w:val="0"/>
          <w:numId w:val="1"/>
        </w:numPr>
        <w:spacing w:after="40" w:line="312"/>
      </w:pPr>
      <w:r>
        <w:rPr>
          <w:rFonts w:ascii="Calibri" w:eastAsia="Microsoft YaHei"/>
          <w:color w:val="1E2E40"/>
          <w:sz w:val="22"/>
          <w:szCs w:val="22"/>
        </w:rPr>
        <w:t xml:space="preserve">Conformité avec les directives de la CEDEAO sur la protection des données de santé transfrontalières</w:t>
      </w:r>
    </w:p>
    <w:p>
      <w:pPr>
        <w:pStyle w:val="Heading2"/>
        <w:spacing w:after="150" w:before="300" w:line="312"/>
      </w:pPr>
      <w:r>
        <w:rPr>
          <w:rFonts w:ascii="Calibri" w:eastAsia="SimHei"/>
          <w:b/>
          <w:bCs/>
          <w:color w:val="1A3A3A"/>
          <w:sz w:val="28"/>
          <w:szCs w:val="28"/>
        </w:rPr>
        <w:t xml:space="preserve">8.2 Certification et Partenariats Internationaux</w:t>
      </w:r>
    </w:p>
    <w:p>
      <w:pPr>
        <w:pStyle w:val="ListParagraph"/>
        <w:numPr>
          <w:ilvl w:val="0"/>
          <w:numId w:val="1"/>
        </w:numPr>
        <w:spacing w:after="40" w:line="312"/>
      </w:pPr>
      <w:r>
        <w:rPr>
          <w:rFonts w:ascii="Calibri" w:eastAsia="Microsoft YaHei"/>
          <w:color w:val="1E2E40"/>
          <w:sz w:val="22"/>
          <w:szCs w:val="22"/>
        </w:rPr>
        <w:t xml:space="preserve">Certification ISO 13485 pour les logiciels de santé</w:t>
      </w:r>
    </w:p>
    <w:p>
      <w:pPr>
        <w:pStyle w:val="ListParagraph"/>
        <w:numPr>
          <w:ilvl w:val="0"/>
          <w:numId w:val="1"/>
        </w:numPr>
        <w:spacing w:after="40" w:line="312"/>
      </w:pPr>
      <w:r>
        <w:rPr>
          <w:rFonts w:ascii="Calibri" w:eastAsia="Microsoft YaHei"/>
          <w:color w:val="1E2E40"/>
          <w:sz w:val="22"/>
          <w:szCs w:val="22"/>
        </w:rPr>
        <w:t xml:space="preserve">Partenariat avec l’OMS Afrique pour le déploiement dans les pays prioritaires</w:t>
      </w:r>
    </w:p>
    <w:p>
      <w:pPr>
        <w:pStyle w:val="ListParagraph"/>
        <w:numPr>
          <w:ilvl w:val="0"/>
          <w:numId w:val="1"/>
        </w:numPr>
        <w:spacing w:after="40" w:line="312"/>
      </w:pPr>
      <w:r>
        <w:rPr>
          <w:rFonts w:ascii="Calibri" w:eastAsia="Microsoft YaHei"/>
          <w:color w:val="1E2E40"/>
          <w:sz w:val="22"/>
          <w:szCs w:val="22"/>
        </w:rPr>
        <w:t xml:space="preserve">Collaboration avec la Banque Mondiale et l’USAID pour le financement des déploiements</w:t>
      </w:r>
    </w:p>
    <w:p>
      <w:pPr>
        <w:pStyle w:val="ListParagraph"/>
        <w:numPr>
          <w:ilvl w:val="0"/>
          <w:numId w:val="1"/>
        </w:numPr>
        <w:spacing w:after="40" w:line="312"/>
      </w:pPr>
      <w:r>
        <w:rPr>
          <w:rFonts w:ascii="Calibri" w:eastAsia="Microsoft YaHei"/>
          <w:color w:val="1E2E40"/>
          <w:sz w:val="22"/>
          <w:szCs w:val="22"/>
        </w:rPr>
        <w:t xml:space="preserve">Label Digital Public Good (DPG) des Nations Unies pour la reconnaissance internationale</w:t>
      </w:r>
    </w:p>
    <w:p>
      <w:pPr>
        <w:pStyle w:val="ListParagraph"/>
        <w:numPr>
          <w:ilvl w:val="0"/>
          <w:numId w:val="1"/>
        </w:numPr>
        <w:spacing w:after="40" w:line="312"/>
      </w:pPr>
      <w:r>
        <w:rPr>
          <w:rFonts w:ascii="Calibri" w:eastAsia="Microsoft YaHei"/>
          <w:color w:val="1E2E40"/>
          <w:sz w:val="22"/>
          <w:szCs w:val="22"/>
        </w:rPr>
        <w:t xml:space="preserve">Programme de formation certifiante pour les professionnels de santé numérique en Afrique</w:t>
      </w:r>
    </w:p>
    <w:p>
      <w:pPr>
        <w:pBdr>
          <w:top w:val="single" w:color="3CB4A0" w:sz="8" w:space="16"/>
        </w:pBdr>
        <w:spacing w:after="100" w:before="100"/>
        <w:ind w:left="500" w:right="500"/>
      </w:pPr>
    </w:p>
    <w:p>
      <w:pPr>
        <w:pStyle w:val="Heading1"/>
        <w:spacing w:after="200" w:before="400" w:line="312"/>
      </w:pPr>
      <w:r>
        <w:rPr>
          <w:rFonts w:ascii="Calibri" w:eastAsia="SimHei"/>
          <w:b/>
          <w:bCs/>
          <w:color w:val="1A3A3A"/>
          <w:sz w:val="32"/>
          <w:szCs w:val="32"/>
        </w:rPr>
        <w:t xml:space="preserve">9. Impact Attendu et Indicateurs</w:t>
      </w:r>
    </w:p>
    <w:p>
      <w:pPr>
        <w:spacing w:after="80" w:line="312"/>
        <w:ind w:firstLine="420"/>
        <w:jc w:val="both"/>
      </w:pPr>
      <w:r>
        <w:rPr>
          <w:rFonts w:ascii="Calibri" w:eastAsia="Microsoft YaHei"/>
          <w:color w:val="1E2E40"/>
          <w:sz w:val="22"/>
          <w:szCs w:val="22"/>
        </w:rPr>
        <w:t xml:space="preserve">L’impact de HealthFlow Africa sera mesuré à travers des indicateurs quantitatifs et qualitatifs alignés sur les Objectifs de Développement Durable (ODD) de l’ONU, particulièrement l’ODD 3 (Santé et bien-être) et l’ODD 9 (Industrie, innovation et infrastructure). Les projections ci-dessous sont basées sur les données disponibles du système de santé guinéen et les résultats observés par des projets similaires en Afrique de l’Est (Kenya, Rwanda) et en Asie du Sud (Inde, Bangladesh).</w:t>
      </w:r>
    </w:p>
    <w:tbl>
      <w:tblPr>
        <w:tblW w:type="pct" w:w="100%"/>
        <w:tblBorders>
          <w:top w:val="single" w:color="2A7A65" w:sz="2"/>
          <w:left w:val="none"/>
          <w:bottom w:val="single" w:color="2A7A65" w:sz="2"/>
          <w:right w:val="none"/>
          <w:insideH w:val="single" w:color="C5D8D0" w:sz="1"/>
          <w:insideV w:val="none"/>
        </w:tblBorders>
      </w:tblPr>
      <w:tblGrid>
        <w:gridCol w:w="100"/>
        <w:gridCol w:w="100"/>
        <w:gridCol w:w="100"/>
        <w:gridCol w:w="100"/>
      </w:tblGrid>
      <w:tr>
        <w:trPr>
          <w:cantSplit/>
          <w:tblHeader/>
        </w:trPr>
        <w:tc>
          <w:tcPr>
            <w:shd w:fill="2A7A65" w:val="clear"/>
            <w:tcMar>
              <w:top w:type="dxa" w:w="60"/>
              <w:left w:type="dxa" w:w="120"/>
              <w:bottom w:type="dxa" w:w="60"/>
              <w:right w:type="dxa" w:w="120"/>
            </w:tcMar>
          </w:tcPr>
          <w:p>
            <w:r>
              <w:rPr>
                <w:rFonts w:ascii="Calibri" w:eastAsia="Microsoft YaHei"/>
                <w:b/>
                <w:bCs/>
                <w:color w:val="FFFFFF"/>
                <w:sz w:val="21"/>
                <w:szCs w:val="21"/>
              </w:rPr>
              <w:t xml:space="preserve">Indicateur</w:t>
            </w:r>
          </w:p>
        </w:tc>
        <w:tc>
          <w:tcPr>
            <w:shd w:fill="2A7A65" w:val="clear"/>
            <w:tcMar>
              <w:top w:type="dxa" w:w="60"/>
              <w:left w:type="dxa" w:w="120"/>
              <w:bottom w:type="dxa" w:w="60"/>
              <w:right w:type="dxa" w:w="120"/>
            </w:tcMar>
          </w:tcPr>
          <w:p>
            <w:r>
              <w:rPr>
                <w:rFonts w:ascii="Calibri" w:eastAsia="Microsoft YaHei"/>
                <w:b/>
                <w:bCs/>
                <w:color w:val="FFFFFF"/>
                <w:sz w:val="21"/>
                <w:szCs w:val="21"/>
              </w:rPr>
              <w:t xml:space="preserve">Situation Actuelle</w:t>
            </w:r>
          </w:p>
        </w:tc>
        <w:tc>
          <w:tcPr>
            <w:shd w:fill="2A7A65" w:val="clear"/>
            <w:tcMar>
              <w:top w:type="dxa" w:w="60"/>
              <w:left w:type="dxa" w:w="120"/>
              <w:bottom w:type="dxa" w:w="60"/>
              <w:right w:type="dxa" w:w="120"/>
            </w:tcMar>
          </w:tcPr>
          <w:p>
            <w:r>
              <w:rPr>
                <w:rFonts w:ascii="Calibri" w:eastAsia="Microsoft YaHei"/>
                <w:b/>
                <w:bCs/>
                <w:color w:val="FFFFFF"/>
                <w:sz w:val="21"/>
                <w:szCs w:val="21"/>
              </w:rPr>
              <w:t xml:space="preserve">Cible Année 1</w:t>
            </w:r>
          </w:p>
        </w:tc>
        <w:tc>
          <w:tcPr>
            <w:shd w:fill="2A7A65" w:val="clear"/>
            <w:tcMar>
              <w:top w:type="dxa" w:w="60"/>
              <w:left w:type="dxa" w:w="120"/>
              <w:bottom w:type="dxa" w:w="60"/>
              <w:right w:type="dxa" w:w="120"/>
            </w:tcMar>
          </w:tcPr>
          <w:p>
            <w:r>
              <w:rPr>
                <w:rFonts w:ascii="Calibri" w:eastAsia="Microsoft YaHei"/>
                <w:b/>
                <w:bCs/>
                <w:color w:val="FFFFFF"/>
                <w:sz w:val="21"/>
                <w:szCs w:val="21"/>
              </w:rPr>
              <w:t xml:space="preserve">Cible Année 3</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Établissements connectés</w:t>
            </w:r>
          </w:p>
        </w:tc>
        <w:tc>
          <w:tcPr>
            <w:shd w:fill="EDF5F2" w:val="clear"/>
            <w:tcMar>
              <w:top w:type="dxa" w:w="60"/>
              <w:left w:type="dxa" w:w="120"/>
              <w:bottom w:type="dxa" w:w="60"/>
              <w:right w:type="dxa" w:w="120"/>
            </w:tcMar>
          </w:tcPr>
          <w:p>
            <w:r>
              <w:rPr>
                <w:rFonts w:ascii="Calibri" w:eastAsia="Microsoft YaHei"/>
                <w:color w:val="1E2E40"/>
                <w:sz w:val="20"/>
                <w:szCs w:val="20"/>
              </w:rPr>
              <w:t xml:space="preserve">0 (prototype)</w:t>
            </w:r>
          </w:p>
        </w:tc>
        <w:tc>
          <w:tcPr>
            <w:shd w:fill="EDF5F2" w:val="clear"/>
            <w:tcMar>
              <w:top w:type="dxa" w:w="60"/>
              <w:left w:type="dxa" w:w="120"/>
              <w:bottom w:type="dxa" w:w="60"/>
              <w:right w:type="dxa" w:w="120"/>
            </w:tcMar>
          </w:tcPr>
          <w:p>
            <w:r>
              <w:rPr>
                <w:rFonts w:ascii="Calibri" w:eastAsia="Microsoft YaHei"/>
                <w:color w:val="1E2E40"/>
                <w:sz w:val="20"/>
                <w:szCs w:val="20"/>
              </w:rPr>
              <w:t xml:space="preserve">20 hôpitaux et centres de santé</w:t>
            </w:r>
          </w:p>
        </w:tc>
        <w:tc>
          <w:tcPr>
            <w:shd w:fill="EDF5F2" w:val="clear"/>
            <w:tcMar>
              <w:top w:type="dxa" w:w="60"/>
              <w:left w:type="dxa" w:w="120"/>
              <w:bottom w:type="dxa" w:w="60"/>
              <w:right w:type="dxa" w:w="120"/>
            </w:tcMar>
          </w:tcPr>
          <w:p>
            <w:r>
              <w:rPr>
                <w:rFonts w:ascii="Calibri" w:eastAsia="Microsoft YaHei"/>
                <w:color w:val="1E2E40"/>
                <w:sz w:val="20"/>
                <w:szCs w:val="20"/>
              </w:rPr>
              <w:t xml:space="preserve">200+ établissements en Guinée</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Patients enregistrés</w:t>
            </w:r>
          </w:p>
        </w:tc>
        <w:tc>
          <w:tcPr>
            <w:shd w:fill="FFFFFF" w:val="clear"/>
            <w:tcMar>
              <w:top w:type="dxa" w:w="60"/>
              <w:left w:type="dxa" w:w="120"/>
              <w:bottom w:type="dxa" w:w="60"/>
              <w:right w:type="dxa" w:w="120"/>
            </w:tcMar>
          </w:tcPr>
          <w:p>
            <w:r>
              <w:rPr>
                <w:rFonts w:ascii="Calibri" w:eastAsia="Microsoft YaHei"/>
                <w:color w:val="1E2E40"/>
                <w:sz w:val="20"/>
                <w:szCs w:val="20"/>
              </w:rPr>
              <w:t xml:space="preserve">10 (démo)</w:t>
            </w:r>
          </w:p>
        </w:tc>
        <w:tc>
          <w:tcPr>
            <w:shd w:fill="FFFFFF" w:val="clear"/>
            <w:tcMar>
              <w:top w:type="dxa" w:w="60"/>
              <w:left w:type="dxa" w:w="120"/>
              <w:bottom w:type="dxa" w:w="60"/>
              <w:right w:type="dxa" w:w="120"/>
            </w:tcMar>
          </w:tcPr>
          <w:p>
            <w:r>
              <w:rPr>
                <w:rFonts w:ascii="Calibri" w:eastAsia="Microsoft YaHei"/>
                <w:color w:val="1E2E40"/>
                <w:sz w:val="20"/>
                <w:szCs w:val="20"/>
              </w:rPr>
              <w:t xml:space="preserve">50 000 patients</w:t>
            </w:r>
          </w:p>
        </w:tc>
        <w:tc>
          <w:tcPr>
            <w:shd w:fill="FFFFFF" w:val="clear"/>
            <w:tcMar>
              <w:top w:type="dxa" w:w="60"/>
              <w:left w:type="dxa" w:w="120"/>
              <w:bottom w:type="dxa" w:w="60"/>
              <w:right w:type="dxa" w:w="120"/>
            </w:tcMar>
          </w:tcPr>
          <w:p>
            <w:r>
              <w:rPr>
                <w:rFonts w:ascii="Calibri" w:eastAsia="Microsoft YaHei"/>
                <w:color w:val="1E2E40"/>
                <w:sz w:val="20"/>
                <w:szCs w:val="20"/>
              </w:rPr>
              <w:t xml:space="preserve">500 000+ patients</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Consultations numérisées/mois</w:t>
            </w:r>
          </w:p>
        </w:tc>
        <w:tc>
          <w:tcPr>
            <w:shd w:fill="EDF5F2" w:val="clear"/>
            <w:tcMar>
              <w:top w:type="dxa" w:w="60"/>
              <w:left w:type="dxa" w:w="120"/>
              <w:bottom w:type="dxa" w:w="60"/>
              <w:right w:type="dxa" w:w="120"/>
            </w:tcMar>
          </w:tcPr>
          <w:p>
            <w:r>
              <w:rPr>
                <w:rFonts w:ascii="Calibri" w:eastAsia="Microsoft YaHei"/>
                <w:color w:val="1E2E40"/>
                <w:sz w:val="20"/>
                <w:szCs w:val="20"/>
              </w:rPr>
              <w:t xml:space="preserve">0</w:t>
            </w:r>
          </w:p>
        </w:tc>
        <w:tc>
          <w:tcPr>
            <w:shd w:fill="EDF5F2" w:val="clear"/>
            <w:tcMar>
              <w:top w:type="dxa" w:w="60"/>
              <w:left w:type="dxa" w:w="120"/>
              <w:bottom w:type="dxa" w:w="60"/>
              <w:right w:type="dxa" w:w="120"/>
            </w:tcMar>
          </w:tcPr>
          <w:p>
            <w:r>
              <w:rPr>
                <w:rFonts w:ascii="Calibri" w:eastAsia="Microsoft YaHei"/>
                <w:color w:val="1E2E40"/>
                <w:sz w:val="20"/>
                <w:szCs w:val="20"/>
              </w:rPr>
              <w:t xml:space="preserve">15 000</w:t>
            </w:r>
          </w:p>
        </w:tc>
        <w:tc>
          <w:tcPr>
            <w:shd w:fill="EDF5F2" w:val="clear"/>
            <w:tcMar>
              <w:top w:type="dxa" w:w="60"/>
              <w:left w:type="dxa" w:w="120"/>
              <w:bottom w:type="dxa" w:w="60"/>
              <w:right w:type="dxa" w:w="120"/>
            </w:tcMar>
          </w:tcPr>
          <w:p>
            <w:r>
              <w:rPr>
                <w:rFonts w:ascii="Calibri" w:eastAsia="Microsoft YaHei"/>
                <w:color w:val="1E2E40"/>
                <w:sz w:val="20"/>
                <w:szCs w:val="20"/>
              </w:rPr>
              <w:t xml:space="preserve">150 000+</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Rendez-vous honorés</w:t>
            </w:r>
          </w:p>
        </w:tc>
        <w:tc>
          <w:tcPr>
            <w:shd w:fill="FFFFFF" w:val="clear"/>
            <w:tcMar>
              <w:top w:type="dxa" w:w="60"/>
              <w:left w:type="dxa" w:w="120"/>
              <w:bottom w:type="dxa" w:w="60"/>
              <w:right w:type="dxa" w:w="120"/>
            </w:tcMar>
          </w:tcPr>
          <w:p>
            <w:r>
              <w:rPr>
                <w:rFonts w:ascii="Calibri" w:eastAsia="Microsoft YaHei"/>
                <w:color w:val="1E2E40"/>
                <w:sz w:val="20"/>
                <w:szCs w:val="20"/>
              </w:rPr>
              <w:t xml:space="preserve">~60%</w:t>
            </w:r>
          </w:p>
        </w:tc>
        <w:tc>
          <w:tcPr>
            <w:shd w:fill="FFFFFF" w:val="clear"/>
            <w:tcMar>
              <w:top w:type="dxa" w:w="60"/>
              <w:left w:type="dxa" w:w="120"/>
              <w:bottom w:type="dxa" w:w="60"/>
              <w:right w:type="dxa" w:w="120"/>
            </w:tcMar>
          </w:tcPr>
          <w:p>
            <w:r>
              <w:rPr>
                <w:rFonts w:ascii="Calibri" w:eastAsia="Microsoft YaHei"/>
                <w:color w:val="1E2E40"/>
                <w:sz w:val="20"/>
                <w:szCs w:val="20"/>
              </w:rPr>
              <w:t xml:space="preserve">80% (rappels SMS)</w:t>
            </w:r>
          </w:p>
        </w:tc>
        <w:tc>
          <w:tcPr>
            <w:shd w:fill="FFFFFF" w:val="clear"/>
            <w:tcMar>
              <w:top w:type="dxa" w:w="60"/>
              <w:left w:type="dxa" w:w="120"/>
              <w:bottom w:type="dxa" w:w="60"/>
              <w:right w:type="dxa" w:w="120"/>
            </w:tcMar>
          </w:tcPr>
          <w:p>
            <w:r>
              <w:rPr>
                <w:rFonts w:ascii="Calibri" w:eastAsia="Microsoft YaHei"/>
                <w:color w:val="1E2E40"/>
                <w:sz w:val="20"/>
                <w:szCs w:val="20"/>
              </w:rPr>
              <w:t xml:space="preserve">90% (IA optimisation)</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Délai résultats laboratoire</w:t>
            </w:r>
          </w:p>
        </w:tc>
        <w:tc>
          <w:tcPr>
            <w:shd w:fill="EDF5F2" w:val="clear"/>
            <w:tcMar>
              <w:top w:type="dxa" w:w="60"/>
              <w:left w:type="dxa" w:w="120"/>
              <w:bottom w:type="dxa" w:w="60"/>
              <w:right w:type="dxa" w:w="120"/>
            </w:tcMar>
          </w:tcPr>
          <w:p>
            <w:r>
              <w:rPr>
                <w:rFonts w:ascii="Calibri" w:eastAsia="Microsoft YaHei"/>
                <w:color w:val="1E2E40"/>
                <w:sz w:val="20"/>
                <w:szCs w:val="20"/>
              </w:rPr>
              <w:t xml:space="preserve">2–5 jours</w:t>
            </w:r>
          </w:p>
        </w:tc>
        <w:tc>
          <w:tcPr>
            <w:shd w:fill="EDF5F2" w:val="clear"/>
            <w:tcMar>
              <w:top w:type="dxa" w:w="60"/>
              <w:left w:type="dxa" w:w="120"/>
              <w:bottom w:type="dxa" w:w="60"/>
              <w:right w:type="dxa" w:w="120"/>
            </w:tcMar>
          </w:tcPr>
          <w:p>
            <w:r>
              <w:rPr>
                <w:rFonts w:ascii="Calibri" w:eastAsia="Microsoft YaHei"/>
                <w:color w:val="1E2E40"/>
                <w:sz w:val="20"/>
                <w:szCs w:val="20"/>
              </w:rPr>
              <w:t xml:space="preserve">24–48h (notification auto)</w:t>
            </w:r>
          </w:p>
        </w:tc>
        <w:tc>
          <w:tcPr>
            <w:shd w:fill="EDF5F2" w:val="clear"/>
            <w:tcMar>
              <w:top w:type="dxa" w:w="60"/>
              <w:left w:type="dxa" w:w="120"/>
              <w:bottom w:type="dxa" w:w="60"/>
              <w:right w:type="dxa" w:w="120"/>
            </w:tcMar>
          </w:tcPr>
          <w:p>
            <w:r>
              <w:rPr>
                <w:rFonts w:ascii="Calibri" w:eastAsia="Microsoft YaHei"/>
                <w:color w:val="1E2E40"/>
                <w:sz w:val="20"/>
                <w:szCs w:val="20"/>
              </w:rPr>
              <w:t xml:space="preserve">&lt; 24h (IA pré-analyse)</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Erreurs médicamenteuses</w:t>
            </w:r>
          </w:p>
        </w:tc>
        <w:tc>
          <w:tcPr>
            <w:shd w:fill="FFFFFF" w:val="clear"/>
            <w:tcMar>
              <w:top w:type="dxa" w:w="60"/>
              <w:left w:type="dxa" w:w="120"/>
              <w:bottom w:type="dxa" w:w="60"/>
              <w:right w:type="dxa" w:w="120"/>
            </w:tcMar>
          </w:tcPr>
          <w:p>
            <w:r>
              <w:rPr>
                <w:rFonts w:ascii="Calibri" w:eastAsia="Microsoft YaHei"/>
                <w:color w:val="1E2E40"/>
                <w:sz w:val="20"/>
                <w:szCs w:val="20"/>
              </w:rPr>
              <w:t xml:space="preserve">Non mesuré</w:t>
            </w:r>
          </w:p>
        </w:tc>
        <w:tc>
          <w:tcPr>
            <w:shd w:fill="FFFFFF" w:val="clear"/>
            <w:tcMar>
              <w:top w:type="dxa" w:w="60"/>
              <w:left w:type="dxa" w:w="120"/>
              <w:bottom w:type="dxa" w:w="60"/>
              <w:right w:type="dxa" w:w="120"/>
            </w:tcMar>
          </w:tcPr>
          <w:p>
            <w:r>
              <w:rPr>
                <w:rFonts w:ascii="Calibri" w:eastAsia="Microsoft YaHei"/>
                <w:color w:val="1E2E40"/>
                <w:sz w:val="20"/>
                <w:szCs w:val="20"/>
              </w:rPr>
              <w:t xml:space="preserve">-30% (alertes interactions)</w:t>
            </w:r>
          </w:p>
        </w:tc>
        <w:tc>
          <w:tcPr>
            <w:shd w:fill="FFFFFF" w:val="clear"/>
            <w:tcMar>
              <w:top w:type="dxa" w:w="60"/>
              <w:left w:type="dxa" w:w="120"/>
              <w:bottom w:type="dxa" w:w="60"/>
              <w:right w:type="dxa" w:w="120"/>
            </w:tcMar>
          </w:tcPr>
          <w:p>
            <w:r>
              <w:rPr>
                <w:rFonts w:ascii="Calibri" w:eastAsia="Microsoft YaHei"/>
                <w:color w:val="1E2E40"/>
                <w:sz w:val="20"/>
                <w:szCs w:val="20"/>
              </w:rPr>
              <w:t xml:space="preserve">-60% (IA vérification)</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Paiements mobile money</w:t>
            </w:r>
          </w:p>
        </w:tc>
        <w:tc>
          <w:tcPr>
            <w:shd w:fill="EDF5F2" w:val="clear"/>
            <w:tcMar>
              <w:top w:type="dxa" w:w="60"/>
              <w:left w:type="dxa" w:w="120"/>
              <w:bottom w:type="dxa" w:w="60"/>
              <w:right w:type="dxa" w:w="120"/>
            </w:tcMar>
          </w:tcPr>
          <w:p>
            <w:r>
              <w:rPr>
                <w:rFonts w:ascii="Calibri" w:eastAsia="Microsoft YaHei"/>
                <w:color w:val="1E2E40"/>
                <w:sz w:val="20"/>
                <w:szCs w:val="20"/>
              </w:rPr>
              <w:t xml:space="preserve">0%</w:t>
            </w:r>
          </w:p>
        </w:tc>
        <w:tc>
          <w:tcPr>
            <w:shd w:fill="EDF5F2" w:val="clear"/>
            <w:tcMar>
              <w:top w:type="dxa" w:w="60"/>
              <w:left w:type="dxa" w:w="120"/>
              <w:bottom w:type="dxa" w:w="60"/>
              <w:right w:type="dxa" w:w="120"/>
            </w:tcMar>
          </w:tcPr>
          <w:p>
            <w:r>
              <w:rPr>
                <w:rFonts w:ascii="Calibri" w:eastAsia="Microsoft YaHei"/>
                <w:color w:val="1E2E40"/>
                <w:sz w:val="20"/>
                <w:szCs w:val="20"/>
              </w:rPr>
              <w:t xml:space="preserve">40% des paiements</w:t>
            </w:r>
          </w:p>
        </w:tc>
        <w:tc>
          <w:tcPr>
            <w:shd w:fill="EDF5F2" w:val="clear"/>
            <w:tcMar>
              <w:top w:type="dxa" w:w="60"/>
              <w:left w:type="dxa" w:w="120"/>
              <w:bottom w:type="dxa" w:w="60"/>
              <w:right w:type="dxa" w:w="120"/>
            </w:tcMar>
          </w:tcPr>
          <w:p>
            <w:r>
              <w:rPr>
                <w:rFonts w:ascii="Calibri" w:eastAsia="Microsoft YaHei"/>
                <w:color w:val="1E2E40"/>
                <w:sz w:val="20"/>
                <w:szCs w:val="20"/>
              </w:rPr>
              <w:t xml:space="preserve">80% des paiements</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Détection épidémies</w:t>
            </w:r>
          </w:p>
        </w:tc>
        <w:tc>
          <w:tcPr>
            <w:shd w:fill="FFFFFF" w:val="clear"/>
            <w:tcMar>
              <w:top w:type="dxa" w:w="60"/>
              <w:left w:type="dxa" w:w="120"/>
              <w:bottom w:type="dxa" w:w="60"/>
              <w:right w:type="dxa" w:w="120"/>
            </w:tcMar>
          </w:tcPr>
          <w:p>
            <w:r>
              <w:rPr>
                <w:rFonts w:ascii="Calibri" w:eastAsia="Microsoft YaHei"/>
                <w:color w:val="1E2E40"/>
                <w:sz w:val="20"/>
                <w:szCs w:val="20"/>
              </w:rPr>
              <w:t xml:space="preserve">Manuelle (semaines)</w:t>
            </w:r>
          </w:p>
        </w:tc>
        <w:tc>
          <w:tcPr>
            <w:shd w:fill="FFFFFF" w:val="clear"/>
            <w:tcMar>
              <w:top w:type="dxa" w:w="60"/>
              <w:left w:type="dxa" w:w="120"/>
              <w:bottom w:type="dxa" w:w="60"/>
              <w:right w:type="dxa" w:w="120"/>
            </w:tcMar>
          </w:tcPr>
          <w:p>
            <w:r>
              <w:rPr>
                <w:rFonts w:ascii="Calibri" w:eastAsia="Microsoft YaHei"/>
                <w:color w:val="1E2E40"/>
                <w:sz w:val="20"/>
                <w:szCs w:val="20"/>
              </w:rPr>
              <w:t xml:space="preserve">Automatique (jours)</w:t>
            </w:r>
          </w:p>
        </w:tc>
        <w:tc>
          <w:tcPr>
            <w:shd w:fill="FFFFFF" w:val="clear"/>
            <w:tcMar>
              <w:top w:type="dxa" w:w="60"/>
              <w:left w:type="dxa" w:w="120"/>
              <w:bottom w:type="dxa" w:w="60"/>
              <w:right w:type="dxa" w:w="120"/>
            </w:tcMar>
          </w:tcPr>
          <w:p>
            <w:r>
              <w:rPr>
                <w:rFonts w:ascii="Calibri" w:eastAsia="Microsoft YaHei"/>
                <w:color w:val="1E2E40"/>
                <w:sz w:val="20"/>
                <w:szCs w:val="20"/>
              </w:rPr>
              <w:t xml:space="preserve">Prédictive (heures)</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Couverture vaccination</w:t>
            </w:r>
          </w:p>
        </w:tc>
        <w:tc>
          <w:tcPr>
            <w:shd w:fill="EDF5F2" w:val="clear"/>
            <w:tcMar>
              <w:top w:type="dxa" w:w="60"/>
              <w:left w:type="dxa" w:w="120"/>
              <w:bottom w:type="dxa" w:w="60"/>
              <w:right w:type="dxa" w:w="120"/>
            </w:tcMar>
          </w:tcPr>
          <w:p>
            <w:r>
              <w:rPr>
                <w:rFonts w:ascii="Calibri" w:eastAsia="Microsoft YaHei"/>
                <w:color w:val="1E2E40"/>
                <w:sz w:val="20"/>
                <w:szCs w:val="20"/>
              </w:rPr>
              <w:t xml:space="preserve">~55% (estimé)</w:t>
            </w:r>
          </w:p>
        </w:tc>
        <w:tc>
          <w:tcPr>
            <w:shd w:fill="EDF5F2" w:val="clear"/>
            <w:tcMar>
              <w:top w:type="dxa" w:w="60"/>
              <w:left w:type="dxa" w:w="120"/>
              <w:bottom w:type="dxa" w:w="60"/>
              <w:right w:type="dxa" w:w="120"/>
            </w:tcMar>
          </w:tcPr>
          <w:p>
            <w:r>
              <w:rPr>
                <w:rFonts w:ascii="Calibri" w:eastAsia="Microsoft YaHei"/>
                <w:color w:val="1E2E40"/>
                <w:sz w:val="20"/>
                <w:szCs w:val="20"/>
              </w:rPr>
              <w:t xml:space="preserve">70% (rappels SMS)</w:t>
            </w:r>
          </w:p>
        </w:tc>
        <w:tc>
          <w:tcPr>
            <w:shd w:fill="EDF5F2" w:val="clear"/>
            <w:tcMar>
              <w:top w:type="dxa" w:w="60"/>
              <w:left w:type="dxa" w:w="120"/>
              <w:bottom w:type="dxa" w:w="60"/>
              <w:right w:type="dxa" w:w="120"/>
            </w:tcMar>
          </w:tcPr>
          <w:p>
            <w:r>
              <w:rPr>
                <w:rFonts w:ascii="Calibri" w:eastAsia="Microsoft YaHei"/>
                <w:color w:val="1E2E40"/>
                <w:sz w:val="20"/>
                <w:szCs w:val="20"/>
              </w:rPr>
              <w:t xml:space="preserve">85% (IA + ASC mobiles)</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Pays déployés</w:t>
            </w:r>
          </w:p>
        </w:tc>
        <w:tc>
          <w:tcPr>
            <w:shd w:fill="FFFFFF" w:val="clear"/>
            <w:tcMar>
              <w:top w:type="dxa" w:w="60"/>
              <w:left w:type="dxa" w:w="120"/>
              <w:bottom w:type="dxa" w:w="60"/>
              <w:right w:type="dxa" w:w="120"/>
            </w:tcMar>
          </w:tcPr>
          <w:p>
            <w:r>
              <w:rPr>
                <w:rFonts w:ascii="Calibri" w:eastAsia="Microsoft YaHei"/>
                <w:color w:val="1E2E40"/>
                <w:sz w:val="20"/>
                <w:szCs w:val="20"/>
              </w:rPr>
              <w:t xml:space="preserve">0</w:t>
            </w:r>
          </w:p>
        </w:tc>
        <w:tc>
          <w:tcPr>
            <w:shd w:fill="FFFFFF" w:val="clear"/>
            <w:tcMar>
              <w:top w:type="dxa" w:w="60"/>
              <w:left w:type="dxa" w:w="120"/>
              <w:bottom w:type="dxa" w:w="60"/>
              <w:right w:type="dxa" w:w="120"/>
            </w:tcMar>
          </w:tcPr>
          <w:p>
            <w:r>
              <w:rPr>
                <w:rFonts w:ascii="Calibri" w:eastAsia="Microsoft YaHei"/>
                <w:color w:val="1E2E40"/>
                <w:sz w:val="20"/>
                <w:szCs w:val="20"/>
              </w:rPr>
              <w:t xml:space="preserve">1 (Guinée)</w:t>
            </w:r>
          </w:p>
        </w:tc>
        <w:tc>
          <w:tcPr>
            <w:shd w:fill="FFFFFF" w:val="clear"/>
            <w:tcMar>
              <w:top w:type="dxa" w:w="60"/>
              <w:left w:type="dxa" w:w="120"/>
              <w:bottom w:type="dxa" w:w="60"/>
              <w:right w:type="dxa" w:w="120"/>
            </w:tcMar>
          </w:tcPr>
          <w:p>
            <w:r>
              <w:rPr>
                <w:rFonts w:ascii="Calibri" w:eastAsia="Microsoft YaHei"/>
                <w:color w:val="1E2E40"/>
                <w:sz w:val="20"/>
                <w:szCs w:val="20"/>
              </w:rPr>
              <w:t xml:space="preserve">5+ (CEDEAO)</w:t>
            </w:r>
          </w:p>
        </w:tc>
      </w:tr>
    </w:tbl>
    <w:p>
      <w:pPr>
        <w:spacing w:after="80" w:before="80"/>
      </w:pPr>
    </w:p>
    <w:p>
      <w:pPr>
        <w:pBdr>
          <w:top w:val="single" w:color="3CB4A0" w:sz="8" w:space="16"/>
        </w:pBdr>
        <w:spacing w:after="100" w:before="100"/>
        <w:ind w:left="500" w:right="500"/>
      </w:pPr>
    </w:p>
    <w:p>
      <w:pPr>
        <w:pStyle w:val="Heading1"/>
        <w:spacing w:after="200" w:before="400" w:line="312"/>
      </w:pPr>
      <w:r>
        <w:rPr>
          <w:rFonts w:ascii="Calibri" w:eastAsia="SimHei"/>
          <w:b/>
          <w:bCs/>
          <w:color w:val="1A3A3A"/>
          <w:sz w:val="32"/>
          <w:szCs w:val="32"/>
        </w:rPr>
        <w:t xml:space="preserve">10. Budget et Ressources</w:t>
      </w:r>
    </w:p>
    <w:p>
      <w:pPr>
        <w:spacing w:after="80" w:line="312"/>
        <w:ind w:firstLine="420"/>
        <w:jc w:val="both"/>
      </w:pPr>
      <w:r>
        <w:rPr>
          <w:rFonts w:ascii="Calibri" w:eastAsia="Microsoft YaHei"/>
          <w:color w:val="1E2E40"/>
          <w:sz w:val="22"/>
          <w:szCs w:val="22"/>
        </w:rPr>
        <w:t xml:space="preserve">Le développement de HealthFlow Africa nécessite un investissement significatif mais réaliste, réparti sur 24 mois. Le budget couvre les coûts de développement, d’infrastructure, de certification et de déploiement. Plusieurs sources de financement sont identifiées : revenus des abonnements SaaS, subventions des organisations internationales, et partenariats public-privé avec les gouvernements africains. Le modèle économique est conçu pour être autosuffisant dès la fin de la deuxième année.</w:t>
      </w:r>
    </w:p>
    <w:tbl>
      <w:tblPr>
        <w:tblW w:type="pct" w:w="100%"/>
        <w:tblBorders>
          <w:top w:val="single" w:color="2A7A65" w:sz="2"/>
          <w:left w:val="none"/>
          <w:bottom w:val="single" w:color="2A7A65" w:sz="2"/>
          <w:right w:val="none"/>
          <w:insideH w:val="single" w:color="C5D8D0" w:sz="1"/>
          <w:insideV w:val="none"/>
        </w:tblBorders>
      </w:tblPr>
      <w:tblGrid>
        <w:gridCol w:w="100"/>
        <w:gridCol w:w="100"/>
        <w:gridCol w:w="100"/>
        <w:gridCol w:w="100"/>
      </w:tblGrid>
      <w:tr>
        <w:trPr>
          <w:cantSplit/>
          <w:tblHeader/>
        </w:trPr>
        <w:tc>
          <w:tcPr>
            <w:shd w:fill="2A7A65" w:val="clear"/>
            <w:tcMar>
              <w:top w:type="dxa" w:w="60"/>
              <w:left w:type="dxa" w:w="120"/>
              <w:bottom w:type="dxa" w:w="60"/>
              <w:right w:type="dxa" w:w="120"/>
            </w:tcMar>
          </w:tcPr>
          <w:p>
            <w:r>
              <w:rPr>
                <w:rFonts w:ascii="Calibri" w:eastAsia="Microsoft YaHei"/>
                <w:b/>
                <w:bCs/>
                <w:color w:val="FFFFFF"/>
                <w:sz w:val="21"/>
                <w:szCs w:val="21"/>
              </w:rPr>
              <w:t xml:space="preserve">Phase</w:t>
            </w:r>
          </w:p>
        </w:tc>
        <w:tc>
          <w:tcPr>
            <w:shd w:fill="2A7A65" w:val="clear"/>
            <w:tcMar>
              <w:top w:type="dxa" w:w="60"/>
              <w:left w:type="dxa" w:w="120"/>
              <w:bottom w:type="dxa" w:w="60"/>
              <w:right w:type="dxa" w:w="120"/>
            </w:tcMar>
          </w:tcPr>
          <w:p>
            <w:r>
              <w:rPr>
                <w:rFonts w:ascii="Calibri" w:eastAsia="Microsoft YaHei"/>
                <w:b/>
                <w:bCs/>
                <w:color w:val="FFFFFF"/>
                <w:sz w:val="21"/>
                <w:szCs w:val="21"/>
              </w:rPr>
              <w:t xml:space="preserve">Durée</w:t>
            </w:r>
          </w:p>
        </w:tc>
        <w:tc>
          <w:tcPr>
            <w:shd w:fill="2A7A65" w:val="clear"/>
            <w:tcMar>
              <w:top w:type="dxa" w:w="60"/>
              <w:left w:type="dxa" w:w="120"/>
              <w:bottom w:type="dxa" w:w="60"/>
              <w:right w:type="dxa" w:w="120"/>
            </w:tcMar>
          </w:tcPr>
          <w:p>
            <w:r>
              <w:rPr>
                <w:rFonts w:ascii="Calibri" w:eastAsia="Microsoft YaHei"/>
                <w:b/>
                <w:bCs/>
                <w:color w:val="FFFFFF"/>
                <w:sz w:val="21"/>
                <w:szCs w:val="21"/>
              </w:rPr>
              <w:t xml:space="preserve">Budget Estimé (USD)</w:t>
            </w:r>
          </w:p>
        </w:tc>
        <w:tc>
          <w:tcPr>
            <w:shd w:fill="2A7A65" w:val="clear"/>
            <w:tcMar>
              <w:top w:type="dxa" w:w="60"/>
              <w:left w:type="dxa" w:w="120"/>
              <w:bottom w:type="dxa" w:w="60"/>
              <w:right w:type="dxa" w:w="120"/>
            </w:tcMar>
          </w:tcPr>
          <w:p>
            <w:r>
              <w:rPr>
                <w:rFonts w:ascii="Calibri" w:eastAsia="Microsoft YaHei"/>
                <w:b/>
                <w:bCs/>
                <w:color w:val="FFFFFF"/>
                <w:sz w:val="21"/>
                <w:szCs w:val="21"/>
              </w:rPr>
              <w:t xml:space="preserve">Ressources Clés</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Phase 1 : Fondations</w:t>
            </w:r>
          </w:p>
        </w:tc>
        <w:tc>
          <w:tcPr>
            <w:shd w:fill="EDF5F2" w:val="clear"/>
            <w:tcMar>
              <w:top w:type="dxa" w:w="60"/>
              <w:left w:type="dxa" w:w="120"/>
              <w:bottom w:type="dxa" w:w="60"/>
              <w:right w:type="dxa" w:w="120"/>
            </w:tcMar>
          </w:tcPr>
          <w:p>
            <w:r>
              <w:rPr>
                <w:rFonts w:ascii="Calibri" w:eastAsia="Microsoft YaHei"/>
                <w:color w:val="1E2E40"/>
                <w:sz w:val="20"/>
                <w:szCs w:val="20"/>
              </w:rPr>
              <w:t xml:space="preserve">3 mois</w:t>
            </w:r>
          </w:p>
        </w:tc>
        <w:tc>
          <w:tcPr>
            <w:shd w:fill="EDF5F2" w:val="clear"/>
            <w:tcMar>
              <w:top w:type="dxa" w:w="60"/>
              <w:left w:type="dxa" w:w="120"/>
              <w:bottom w:type="dxa" w:w="60"/>
              <w:right w:type="dxa" w:w="120"/>
            </w:tcMar>
          </w:tcPr>
          <w:p>
            <w:r>
              <w:rPr>
                <w:rFonts w:ascii="Calibri" w:eastAsia="Microsoft YaHei"/>
                <w:color w:val="1E2E40"/>
                <w:sz w:val="20"/>
                <w:szCs w:val="20"/>
              </w:rPr>
              <w:t xml:space="preserve">75 000 $</w:t>
            </w:r>
          </w:p>
        </w:tc>
        <w:tc>
          <w:tcPr>
            <w:shd w:fill="EDF5F2" w:val="clear"/>
            <w:tcMar>
              <w:top w:type="dxa" w:w="60"/>
              <w:left w:type="dxa" w:w="120"/>
              <w:bottom w:type="dxa" w:w="60"/>
              <w:right w:type="dxa" w:w="120"/>
            </w:tcMar>
          </w:tcPr>
          <w:p>
            <w:r>
              <w:rPr>
                <w:rFonts w:ascii="Calibri" w:eastAsia="Microsoft YaHei"/>
                <w:color w:val="1E2E40"/>
                <w:sz w:val="20"/>
                <w:szCs w:val="20"/>
              </w:rPr>
              <w:t xml:space="preserve">2 devs fullstack, 1 devops, 1 UX</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Phase 2 : Paiements</w:t>
            </w:r>
          </w:p>
        </w:tc>
        <w:tc>
          <w:tcPr>
            <w:shd w:fill="FFFFFF" w:val="clear"/>
            <w:tcMar>
              <w:top w:type="dxa" w:w="60"/>
              <w:left w:type="dxa" w:w="120"/>
              <w:bottom w:type="dxa" w:w="60"/>
              <w:right w:type="dxa" w:w="120"/>
            </w:tcMar>
          </w:tcPr>
          <w:p>
            <w:r>
              <w:rPr>
                <w:rFonts w:ascii="Calibri" w:eastAsia="Microsoft YaHei"/>
                <w:color w:val="1E2E40"/>
                <w:sz w:val="20"/>
                <w:szCs w:val="20"/>
              </w:rPr>
              <w:t xml:space="preserve">3 mois</w:t>
            </w:r>
          </w:p>
        </w:tc>
        <w:tc>
          <w:tcPr>
            <w:shd w:fill="FFFFFF" w:val="clear"/>
            <w:tcMar>
              <w:top w:type="dxa" w:w="60"/>
              <w:left w:type="dxa" w:w="120"/>
              <w:bottom w:type="dxa" w:w="60"/>
              <w:right w:type="dxa" w:w="120"/>
            </w:tcMar>
          </w:tcPr>
          <w:p>
            <w:r>
              <w:rPr>
                <w:rFonts w:ascii="Calibri" w:eastAsia="Microsoft YaHei"/>
                <w:color w:val="1E2E40"/>
                <w:sz w:val="20"/>
                <w:szCs w:val="20"/>
              </w:rPr>
              <w:t xml:space="preserve">90 000 $</w:t>
            </w:r>
          </w:p>
        </w:tc>
        <w:tc>
          <w:tcPr>
            <w:shd w:fill="FFFFFF" w:val="clear"/>
            <w:tcMar>
              <w:top w:type="dxa" w:w="60"/>
              <w:left w:type="dxa" w:w="120"/>
              <w:bottom w:type="dxa" w:w="60"/>
              <w:right w:type="dxa" w:w="120"/>
            </w:tcMar>
          </w:tcPr>
          <w:p>
            <w:r>
              <w:rPr>
                <w:rFonts w:ascii="Calibri" w:eastAsia="Microsoft YaHei"/>
                <w:color w:val="1E2E40"/>
                <w:sz w:val="20"/>
                <w:szCs w:val="20"/>
              </w:rPr>
              <w:t xml:space="preserve">2 devs, 1 intégrateur mobile money, 1 compliance</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Phase 3 : IA Santé</w:t>
            </w:r>
          </w:p>
        </w:tc>
        <w:tc>
          <w:tcPr>
            <w:shd w:fill="EDF5F2" w:val="clear"/>
            <w:tcMar>
              <w:top w:type="dxa" w:w="60"/>
              <w:left w:type="dxa" w:w="120"/>
              <w:bottom w:type="dxa" w:w="60"/>
              <w:right w:type="dxa" w:w="120"/>
            </w:tcMar>
          </w:tcPr>
          <w:p>
            <w:r>
              <w:rPr>
                <w:rFonts w:ascii="Calibri" w:eastAsia="Microsoft YaHei"/>
                <w:color w:val="1E2E40"/>
                <w:sz w:val="20"/>
                <w:szCs w:val="20"/>
              </w:rPr>
              <w:t xml:space="preserve">4 mois</w:t>
            </w:r>
          </w:p>
        </w:tc>
        <w:tc>
          <w:tcPr>
            <w:shd w:fill="EDF5F2" w:val="clear"/>
            <w:tcMar>
              <w:top w:type="dxa" w:w="60"/>
              <w:left w:type="dxa" w:w="120"/>
              <w:bottom w:type="dxa" w:w="60"/>
              <w:right w:type="dxa" w:w="120"/>
            </w:tcMar>
          </w:tcPr>
          <w:p>
            <w:r>
              <w:rPr>
                <w:rFonts w:ascii="Calibri" w:eastAsia="Microsoft YaHei"/>
                <w:color w:val="1E2E40"/>
                <w:sz w:val="20"/>
                <w:szCs w:val="20"/>
              </w:rPr>
              <w:t xml:space="preserve">120 000 $</w:t>
            </w:r>
          </w:p>
        </w:tc>
        <w:tc>
          <w:tcPr>
            <w:shd w:fill="EDF5F2" w:val="clear"/>
            <w:tcMar>
              <w:top w:type="dxa" w:w="60"/>
              <w:left w:type="dxa" w:w="120"/>
              <w:bottom w:type="dxa" w:w="60"/>
              <w:right w:type="dxa" w:w="120"/>
            </w:tcMar>
          </w:tcPr>
          <w:p>
            <w:r>
              <w:rPr>
                <w:rFonts w:ascii="Calibri" w:eastAsia="Microsoft YaHei"/>
                <w:color w:val="1E2E40"/>
                <w:sz w:val="20"/>
                <w:szCs w:val="20"/>
              </w:rPr>
              <w:t xml:space="preserve">2 devs, 1 data scientist, 1 médecin conseiller</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Phase 4 : Télémédecine</w:t>
            </w:r>
          </w:p>
        </w:tc>
        <w:tc>
          <w:tcPr>
            <w:shd w:fill="FFFFFF" w:val="clear"/>
            <w:tcMar>
              <w:top w:type="dxa" w:w="60"/>
              <w:left w:type="dxa" w:w="120"/>
              <w:bottom w:type="dxa" w:w="60"/>
              <w:right w:type="dxa" w:w="120"/>
            </w:tcMar>
          </w:tcPr>
          <w:p>
            <w:r>
              <w:rPr>
                <w:rFonts w:ascii="Calibri" w:eastAsia="Microsoft YaHei"/>
                <w:color w:val="1E2E40"/>
                <w:sz w:val="20"/>
                <w:szCs w:val="20"/>
              </w:rPr>
              <w:t xml:space="preserve">4 mois</w:t>
            </w:r>
          </w:p>
        </w:tc>
        <w:tc>
          <w:tcPr>
            <w:shd w:fill="FFFFFF" w:val="clear"/>
            <w:tcMar>
              <w:top w:type="dxa" w:w="60"/>
              <w:left w:type="dxa" w:w="120"/>
              <w:bottom w:type="dxa" w:w="60"/>
              <w:right w:type="dxa" w:w="120"/>
            </w:tcMar>
          </w:tcPr>
          <w:p>
            <w:r>
              <w:rPr>
                <w:rFonts w:ascii="Calibri" w:eastAsia="Microsoft YaHei"/>
                <w:color w:val="1E2E40"/>
                <w:sz w:val="20"/>
                <w:szCs w:val="20"/>
              </w:rPr>
              <w:t xml:space="preserve">100 000 $</w:t>
            </w:r>
          </w:p>
        </w:tc>
        <w:tc>
          <w:tcPr>
            <w:shd w:fill="FFFFFF" w:val="clear"/>
            <w:tcMar>
              <w:top w:type="dxa" w:w="60"/>
              <w:left w:type="dxa" w:w="120"/>
              <w:bottom w:type="dxa" w:w="60"/>
              <w:right w:type="dxa" w:w="120"/>
            </w:tcMar>
          </w:tcPr>
          <w:p>
            <w:r>
              <w:rPr>
                <w:rFonts w:ascii="Calibri" w:eastAsia="Microsoft YaHei"/>
                <w:color w:val="1E2E40"/>
                <w:sz w:val="20"/>
                <w:szCs w:val="20"/>
              </w:rPr>
              <w:t xml:space="preserve">2 devs, 1 spécialiste WebRTC, 1 télémédecine</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Phase 5 : Santé Publique</w:t>
            </w:r>
          </w:p>
        </w:tc>
        <w:tc>
          <w:tcPr>
            <w:shd w:fill="EDF5F2" w:val="clear"/>
            <w:tcMar>
              <w:top w:type="dxa" w:w="60"/>
              <w:left w:type="dxa" w:w="120"/>
              <w:bottom w:type="dxa" w:w="60"/>
              <w:right w:type="dxa" w:w="120"/>
            </w:tcMar>
          </w:tcPr>
          <w:p>
            <w:r>
              <w:rPr>
                <w:rFonts w:ascii="Calibri" w:eastAsia="Microsoft YaHei"/>
                <w:color w:val="1E2E40"/>
                <w:sz w:val="20"/>
                <w:szCs w:val="20"/>
              </w:rPr>
              <w:t xml:space="preserve">4 mois</w:t>
            </w:r>
          </w:p>
        </w:tc>
        <w:tc>
          <w:tcPr>
            <w:shd w:fill="EDF5F2" w:val="clear"/>
            <w:tcMar>
              <w:top w:type="dxa" w:w="60"/>
              <w:left w:type="dxa" w:w="120"/>
              <w:bottom w:type="dxa" w:w="60"/>
              <w:right w:type="dxa" w:w="120"/>
            </w:tcMar>
          </w:tcPr>
          <w:p>
            <w:r>
              <w:rPr>
                <w:rFonts w:ascii="Calibri" w:eastAsia="Microsoft YaHei"/>
                <w:color w:val="1E2E40"/>
                <w:sz w:val="20"/>
                <w:szCs w:val="20"/>
              </w:rPr>
              <w:t xml:space="preserve">110 000 $</w:t>
            </w:r>
          </w:p>
        </w:tc>
        <w:tc>
          <w:tcPr>
            <w:shd w:fill="EDF5F2" w:val="clear"/>
            <w:tcMar>
              <w:top w:type="dxa" w:w="60"/>
              <w:left w:type="dxa" w:w="120"/>
              <w:bottom w:type="dxa" w:w="60"/>
              <w:right w:type="dxa" w:w="120"/>
            </w:tcMar>
          </w:tcPr>
          <w:p>
            <w:r>
              <w:rPr>
                <w:rFonts w:ascii="Calibri" w:eastAsia="Microsoft YaHei"/>
                <w:color w:val="1E2E40"/>
                <w:sz w:val="20"/>
                <w:szCs w:val="20"/>
              </w:rPr>
              <w:t xml:space="preserve">2 devs, 1 spécialiste HL7 FHIR, 1 épidémiologiste</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Phase 6 : Expansion</w:t>
            </w:r>
          </w:p>
        </w:tc>
        <w:tc>
          <w:tcPr>
            <w:shd w:fill="FFFFFF" w:val="clear"/>
            <w:tcMar>
              <w:top w:type="dxa" w:w="60"/>
              <w:left w:type="dxa" w:w="120"/>
              <w:bottom w:type="dxa" w:w="60"/>
              <w:right w:type="dxa" w:w="120"/>
            </w:tcMar>
          </w:tcPr>
          <w:p>
            <w:r>
              <w:rPr>
                <w:rFonts w:ascii="Calibri" w:eastAsia="Microsoft YaHei"/>
                <w:color w:val="1E2E40"/>
                <w:sz w:val="20"/>
                <w:szCs w:val="20"/>
              </w:rPr>
              <w:t xml:space="preserve">6 mois</w:t>
            </w:r>
          </w:p>
        </w:tc>
        <w:tc>
          <w:tcPr>
            <w:shd w:fill="FFFFFF" w:val="clear"/>
            <w:tcMar>
              <w:top w:type="dxa" w:w="60"/>
              <w:left w:type="dxa" w:w="120"/>
              <w:bottom w:type="dxa" w:w="60"/>
              <w:right w:type="dxa" w:w="120"/>
            </w:tcMar>
          </w:tcPr>
          <w:p>
            <w:r>
              <w:rPr>
                <w:rFonts w:ascii="Calibri" w:eastAsia="Microsoft YaHei"/>
                <w:color w:val="1E2E40"/>
                <w:sz w:val="20"/>
                <w:szCs w:val="20"/>
              </w:rPr>
              <w:t xml:space="preserve">150 000 $</w:t>
            </w:r>
          </w:p>
        </w:tc>
        <w:tc>
          <w:tcPr>
            <w:shd w:fill="FFFFFF" w:val="clear"/>
            <w:tcMar>
              <w:top w:type="dxa" w:w="60"/>
              <w:left w:type="dxa" w:w="120"/>
              <w:bottom w:type="dxa" w:w="60"/>
              <w:right w:type="dxa" w:w="120"/>
            </w:tcMar>
          </w:tcPr>
          <w:p>
            <w:r>
              <w:rPr>
                <w:rFonts w:ascii="Calibri" w:eastAsia="Microsoft YaHei"/>
                <w:color w:val="1E2E40"/>
                <w:sz w:val="20"/>
                <w:szCs w:val="20"/>
              </w:rPr>
              <w:t xml:space="preserve">3 devs, 1 chef de projet, 1 business dev</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Total</w:t>
            </w:r>
          </w:p>
        </w:tc>
        <w:tc>
          <w:tcPr>
            <w:shd w:fill="EDF5F2" w:val="clear"/>
            <w:tcMar>
              <w:top w:type="dxa" w:w="60"/>
              <w:left w:type="dxa" w:w="120"/>
              <w:bottom w:type="dxa" w:w="60"/>
              <w:right w:type="dxa" w:w="120"/>
            </w:tcMar>
          </w:tcPr>
          <w:p>
            <w:r>
              <w:rPr>
                <w:rFonts w:ascii="Calibri" w:eastAsia="Microsoft YaHei"/>
                <w:color w:val="1E2E40"/>
                <w:sz w:val="20"/>
                <w:szCs w:val="20"/>
              </w:rPr>
              <w:t xml:space="preserve">24 mois</w:t>
            </w:r>
          </w:p>
        </w:tc>
        <w:tc>
          <w:tcPr>
            <w:shd w:fill="EDF5F2" w:val="clear"/>
            <w:tcMar>
              <w:top w:type="dxa" w:w="60"/>
              <w:left w:type="dxa" w:w="120"/>
              <w:bottom w:type="dxa" w:w="60"/>
              <w:right w:type="dxa" w:w="120"/>
            </w:tcMar>
          </w:tcPr>
          <w:p>
            <w:r>
              <w:rPr>
                <w:rFonts w:ascii="Calibri" w:eastAsia="Microsoft YaHei"/>
                <w:color w:val="1E2E40"/>
                <w:sz w:val="20"/>
                <w:szCs w:val="20"/>
              </w:rPr>
              <w:t xml:space="preserve">645 000 $</w:t>
            </w:r>
          </w:p>
        </w:tc>
        <w:tc>
          <w:tcPr>
            <w:shd w:fill="EDF5F2" w:val="clear"/>
            <w:tcMar>
              <w:top w:type="dxa" w:w="60"/>
              <w:left w:type="dxa" w:w="120"/>
              <w:bottom w:type="dxa" w:w="60"/>
              <w:right w:type="dxa" w:w="120"/>
            </w:tcMar>
          </w:tcPr>
          <w:p>
            <w:r>
              <w:rPr>
                <w:rFonts w:ascii="Calibri" w:eastAsia="Microsoft YaHei"/>
                <w:color w:val="1E2E40"/>
                <w:sz w:val="20"/>
                <w:szCs w:val="20"/>
              </w:rPr>
              <w:t xml:space="preserve">Équipe de 8–12 personnes</w:t>
            </w:r>
          </w:p>
        </w:tc>
      </w:tr>
    </w:tbl>
    <w:p>
      <w:pPr>
        <w:spacing w:after="80" w:before="80"/>
      </w:pPr>
    </w:p>
    <w:p>
      <w:pPr>
        <w:pBdr>
          <w:top w:val="single" w:color="3CB4A0" w:sz="8" w:space="16"/>
        </w:pBdr>
        <w:spacing w:after="100" w:before="100"/>
        <w:ind w:left="500" w:right="500"/>
      </w:pPr>
    </w:p>
    <w:p>
      <w:pPr>
        <w:pStyle w:val="Heading1"/>
        <w:spacing w:after="200" w:before="400" w:line="312"/>
      </w:pPr>
      <w:r>
        <w:rPr>
          <w:rFonts w:ascii="Calibri" w:eastAsia="SimHei"/>
          <w:b/>
          <w:bCs/>
          <w:color w:val="1A3A3A"/>
          <w:sz w:val="32"/>
          <w:szCs w:val="32"/>
        </w:rPr>
        <w:t xml:space="preserve">11. Risques et Mitigation</w:t>
      </w:r>
    </w:p>
    <w:p>
      <w:pPr>
        <w:spacing w:after="80" w:line="312"/>
        <w:ind w:firstLine="420"/>
        <w:jc w:val="both"/>
      </w:pPr>
      <w:r>
        <w:rPr>
          <w:rFonts w:ascii="Calibri" w:eastAsia="Microsoft YaHei"/>
          <w:color w:val="1E2E40"/>
          <w:sz w:val="22"/>
          <w:szCs w:val="22"/>
        </w:rPr>
        <w:t xml:space="preserve">Tout projet de cette envergure comporte des risques significatifs. L’identification proactive de ces risques et la mise en place de stratégies de mitigation adaptées sont essentielles pour assurer le succès du projet. Les risques ci-dessous sont classés par ordre de criticité, du plus impactant au plus gérable, avec pour chacun une stratégie de mitigation concrète et des indicateurs d’alerte précoce.</w:t>
      </w:r>
    </w:p>
    <w:tbl>
      <w:tblPr>
        <w:tblW w:type="pct" w:w="100%"/>
        <w:tblBorders>
          <w:top w:val="single" w:color="2A7A65" w:sz="2"/>
          <w:left w:val="none"/>
          <w:bottom w:val="single" w:color="2A7A65" w:sz="2"/>
          <w:right w:val="none"/>
          <w:insideH w:val="single" w:color="C5D8D0" w:sz="1"/>
          <w:insideV w:val="none"/>
        </w:tblBorders>
      </w:tblPr>
      <w:tblGrid>
        <w:gridCol w:w="100"/>
        <w:gridCol w:w="100"/>
        <w:gridCol w:w="100"/>
        <w:gridCol w:w="100"/>
      </w:tblGrid>
      <w:tr>
        <w:trPr>
          <w:cantSplit/>
          <w:tblHeader/>
        </w:trPr>
        <w:tc>
          <w:tcPr>
            <w:shd w:fill="2A7A65" w:val="clear"/>
            <w:tcMar>
              <w:top w:type="dxa" w:w="60"/>
              <w:left w:type="dxa" w:w="120"/>
              <w:bottom w:type="dxa" w:w="60"/>
              <w:right w:type="dxa" w:w="120"/>
            </w:tcMar>
          </w:tcPr>
          <w:p>
            <w:r>
              <w:rPr>
                <w:rFonts w:ascii="Calibri" w:eastAsia="Microsoft YaHei"/>
                <w:b/>
                <w:bCs/>
                <w:color w:val="FFFFFF"/>
                <w:sz w:val="21"/>
                <w:szCs w:val="21"/>
              </w:rPr>
              <w:t xml:space="preserve">Risque</w:t>
            </w:r>
          </w:p>
        </w:tc>
        <w:tc>
          <w:tcPr>
            <w:shd w:fill="2A7A65" w:val="clear"/>
            <w:tcMar>
              <w:top w:type="dxa" w:w="60"/>
              <w:left w:type="dxa" w:w="120"/>
              <w:bottom w:type="dxa" w:w="60"/>
              <w:right w:type="dxa" w:w="120"/>
            </w:tcMar>
          </w:tcPr>
          <w:p>
            <w:r>
              <w:rPr>
                <w:rFonts w:ascii="Calibri" w:eastAsia="Microsoft YaHei"/>
                <w:b/>
                <w:bCs/>
                <w:color w:val="FFFFFF"/>
                <w:sz w:val="21"/>
                <w:szCs w:val="21"/>
              </w:rPr>
              <w:t xml:space="preserve">Probabilité</w:t>
            </w:r>
          </w:p>
        </w:tc>
        <w:tc>
          <w:tcPr>
            <w:shd w:fill="2A7A65" w:val="clear"/>
            <w:tcMar>
              <w:top w:type="dxa" w:w="60"/>
              <w:left w:type="dxa" w:w="120"/>
              <w:bottom w:type="dxa" w:w="60"/>
              <w:right w:type="dxa" w:w="120"/>
            </w:tcMar>
          </w:tcPr>
          <w:p>
            <w:r>
              <w:rPr>
                <w:rFonts w:ascii="Calibri" w:eastAsia="Microsoft YaHei"/>
                <w:b/>
                <w:bCs/>
                <w:color w:val="FFFFFF"/>
                <w:sz w:val="21"/>
                <w:szCs w:val="21"/>
              </w:rPr>
              <w:t xml:space="preserve">Impact</w:t>
            </w:r>
          </w:p>
        </w:tc>
        <w:tc>
          <w:tcPr>
            <w:shd w:fill="2A7A65" w:val="clear"/>
            <w:tcMar>
              <w:top w:type="dxa" w:w="60"/>
              <w:left w:type="dxa" w:w="120"/>
              <w:bottom w:type="dxa" w:w="60"/>
              <w:right w:type="dxa" w:w="120"/>
            </w:tcMar>
          </w:tcPr>
          <w:p>
            <w:r>
              <w:rPr>
                <w:rFonts w:ascii="Calibri" w:eastAsia="Microsoft YaHei"/>
                <w:b/>
                <w:bCs/>
                <w:color w:val="FFFFFF"/>
                <w:sz w:val="21"/>
                <w:szCs w:val="21"/>
              </w:rPr>
              <w:t xml:space="preserve">Mitigation</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Résistance au changement du personnel de santé</w:t>
            </w:r>
          </w:p>
        </w:tc>
        <w:tc>
          <w:tcPr>
            <w:shd w:fill="EDF5F2" w:val="clear"/>
            <w:tcMar>
              <w:top w:type="dxa" w:w="60"/>
              <w:left w:type="dxa" w:w="120"/>
              <w:bottom w:type="dxa" w:w="60"/>
              <w:right w:type="dxa" w:w="120"/>
            </w:tcMar>
          </w:tcPr>
          <w:p>
            <w:r>
              <w:rPr>
                <w:rFonts w:ascii="Calibri" w:eastAsia="Microsoft YaHei"/>
                <w:color w:val="1E2E40"/>
                <w:sz w:val="20"/>
                <w:szCs w:val="20"/>
              </w:rPr>
              <w:t xml:space="preserve">Élevée</w:t>
            </w:r>
          </w:p>
        </w:tc>
        <w:tc>
          <w:tcPr>
            <w:shd w:fill="EDF5F2" w:val="clear"/>
            <w:tcMar>
              <w:top w:type="dxa" w:w="60"/>
              <w:left w:type="dxa" w:w="120"/>
              <w:bottom w:type="dxa" w:w="60"/>
              <w:right w:type="dxa" w:w="120"/>
            </w:tcMar>
          </w:tcPr>
          <w:p>
            <w:r>
              <w:rPr>
                <w:rFonts w:ascii="Calibri" w:eastAsia="Microsoft YaHei"/>
                <w:color w:val="1E2E40"/>
                <w:sz w:val="20"/>
                <w:szCs w:val="20"/>
              </w:rPr>
              <w:t xml:space="preserve">Critique</w:t>
            </w:r>
          </w:p>
        </w:tc>
        <w:tc>
          <w:tcPr>
            <w:shd w:fill="EDF5F2" w:val="clear"/>
            <w:tcMar>
              <w:top w:type="dxa" w:w="60"/>
              <w:left w:type="dxa" w:w="120"/>
              <w:bottom w:type="dxa" w:w="60"/>
              <w:right w:type="dxa" w:w="120"/>
            </w:tcMar>
          </w:tcPr>
          <w:p>
            <w:r>
              <w:rPr>
                <w:rFonts w:ascii="Calibri" w:eastAsia="Microsoft YaHei"/>
                <w:color w:val="1E2E40"/>
                <w:sz w:val="20"/>
                <w:szCs w:val="20"/>
              </w:rPr>
              <w:t xml:space="preserve">Formation intensive, accompagnement sur site, champions du changement</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Connectivité insuffisante en zones rurales</w:t>
            </w:r>
          </w:p>
        </w:tc>
        <w:tc>
          <w:tcPr>
            <w:shd w:fill="FFFFFF" w:val="clear"/>
            <w:tcMar>
              <w:top w:type="dxa" w:w="60"/>
              <w:left w:type="dxa" w:w="120"/>
              <w:bottom w:type="dxa" w:w="60"/>
              <w:right w:type="dxa" w:w="120"/>
            </w:tcMar>
          </w:tcPr>
          <w:p>
            <w:r>
              <w:rPr>
                <w:rFonts w:ascii="Calibri" w:eastAsia="Microsoft YaHei"/>
                <w:color w:val="1E2E40"/>
                <w:sz w:val="20"/>
                <w:szCs w:val="20"/>
              </w:rPr>
              <w:t xml:space="preserve">Élevée</w:t>
            </w:r>
          </w:p>
        </w:tc>
        <w:tc>
          <w:tcPr>
            <w:shd w:fill="FFFFFF" w:val="clear"/>
            <w:tcMar>
              <w:top w:type="dxa" w:w="60"/>
              <w:left w:type="dxa" w:w="120"/>
              <w:bottom w:type="dxa" w:w="60"/>
              <w:right w:type="dxa" w:w="120"/>
            </w:tcMar>
          </w:tcPr>
          <w:p>
            <w:r>
              <w:rPr>
                <w:rFonts w:ascii="Calibri" w:eastAsia="Microsoft YaHei"/>
                <w:color w:val="1E2E40"/>
                <w:sz w:val="20"/>
                <w:szCs w:val="20"/>
              </w:rPr>
              <w:t xml:space="preserve">Élevé</w:t>
            </w:r>
          </w:p>
        </w:tc>
        <w:tc>
          <w:tcPr>
            <w:shd w:fill="FFFFFF" w:val="clear"/>
            <w:tcMar>
              <w:top w:type="dxa" w:w="60"/>
              <w:left w:type="dxa" w:w="120"/>
              <w:bottom w:type="dxa" w:w="60"/>
              <w:right w:type="dxa" w:w="120"/>
            </w:tcMar>
          </w:tcPr>
          <w:p>
            <w:r>
              <w:rPr>
                <w:rFonts w:ascii="Calibri" w:eastAsia="Microsoft YaHei"/>
                <w:color w:val="1E2E40"/>
                <w:sz w:val="20"/>
                <w:szCs w:val="20"/>
              </w:rPr>
              <w:t xml:space="preserve">Architecture offline-first, synchronisation progressive, 3G minimale</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Réglementation santé numérique non alignée</w:t>
            </w:r>
          </w:p>
        </w:tc>
        <w:tc>
          <w:tcPr>
            <w:shd w:fill="EDF5F2" w:val="clear"/>
            <w:tcMar>
              <w:top w:type="dxa" w:w="60"/>
              <w:left w:type="dxa" w:w="120"/>
              <w:bottom w:type="dxa" w:w="60"/>
              <w:right w:type="dxa" w:w="120"/>
            </w:tcMar>
          </w:tcPr>
          <w:p>
            <w:r>
              <w:rPr>
                <w:rFonts w:ascii="Calibri" w:eastAsia="Microsoft YaHei"/>
                <w:color w:val="1E2E40"/>
                <w:sz w:val="20"/>
                <w:szCs w:val="20"/>
              </w:rPr>
              <w:t xml:space="preserve">Moyenne</w:t>
            </w:r>
          </w:p>
        </w:tc>
        <w:tc>
          <w:tcPr>
            <w:shd w:fill="EDF5F2" w:val="clear"/>
            <w:tcMar>
              <w:top w:type="dxa" w:w="60"/>
              <w:left w:type="dxa" w:w="120"/>
              <w:bottom w:type="dxa" w:w="60"/>
              <w:right w:type="dxa" w:w="120"/>
            </w:tcMar>
          </w:tcPr>
          <w:p>
            <w:r>
              <w:rPr>
                <w:rFonts w:ascii="Calibri" w:eastAsia="Microsoft YaHei"/>
                <w:color w:val="1E2E40"/>
                <w:sz w:val="20"/>
                <w:szCs w:val="20"/>
              </w:rPr>
              <w:t xml:space="preserve">Élevé</w:t>
            </w:r>
          </w:p>
        </w:tc>
        <w:tc>
          <w:tcPr>
            <w:shd w:fill="EDF5F2" w:val="clear"/>
            <w:tcMar>
              <w:top w:type="dxa" w:w="60"/>
              <w:left w:type="dxa" w:w="120"/>
              <w:bottom w:type="dxa" w:w="60"/>
              <w:right w:type="dxa" w:w="120"/>
            </w:tcMar>
          </w:tcPr>
          <w:p>
            <w:r>
              <w:rPr>
                <w:rFonts w:ascii="Calibri" w:eastAsia="Microsoft YaHei"/>
                <w:color w:val="1E2E40"/>
                <w:sz w:val="20"/>
                <w:szCs w:val="20"/>
              </w:rPr>
              <w:t xml:space="preserve">Partenariat Ministère Santé, conformité RGPD/BCEAO, audit régulier</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Sécurité des données de santé</w:t>
            </w:r>
          </w:p>
        </w:tc>
        <w:tc>
          <w:tcPr>
            <w:shd w:fill="FFFFFF" w:val="clear"/>
            <w:tcMar>
              <w:top w:type="dxa" w:w="60"/>
              <w:left w:type="dxa" w:w="120"/>
              <w:bottom w:type="dxa" w:w="60"/>
              <w:right w:type="dxa" w:w="120"/>
            </w:tcMar>
          </w:tcPr>
          <w:p>
            <w:r>
              <w:rPr>
                <w:rFonts w:ascii="Calibri" w:eastAsia="Microsoft YaHei"/>
                <w:color w:val="1E2E40"/>
                <w:sz w:val="20"/>
                <w:szCs w:val="20"/>
              </w:rPr>
              <w:t xml:space="preserve">Moyenne</w:t>
            </w:r>
          </w:p>
        </w:tc>
        <w:tc>
          <w:tcPr>
            <w:shd w:fill="FFFFFF" w:val="clear"/>
            <w:tcMar>
              <w:top w:type="dxa" w:w="60"/>
              <w:left w:type="dxa" w:w="120"/>
              <w:bottom w:type="dxa" w:w="60"/>
              <w:right w:type="dxa" w:w="120"/>
            </w:tcMar>
          </w:tcPr>
          <w:p>
            <w:r>
              <w:rPr>
                <w:rFonts w:ascii="Calibri" w:eastAsia="Microsoft YaHei"/>
                <w:color w:val="1E2E40"/>
                <w:sz w:val="20"/>
                <w:szCs w:val="20"/>
              </w:rPr>
              <w:t xml:space="preserve">Critique</w:t>
            </w:r>
          </w:p>
        </w:tc>
        <w:tc>
          <w:tcPr>
            <w:shd w:fill="FFFFFF" w:val="clear"/>
            <w:tcMar>
              <w:top w:type="dxa" w:w="60"/>
              <w:left w:type="dxa" w:w="120"/>
              <w:bottom w:type="dxa" w:w="60"/>
              <w:right w:type="dxa" w:w="120"/>
            </w:tcMar>
          </w:tcPr>
          <w:p>
            <w:r>
              <w:rPr>
                <w:rFonts w:ascii="Calibri" w:eastAsia="Microsoft YaHei"/>
                <w:color w:val="1E2E40"/>
                <w:sz w:val="20"/>
                <w:szCs w:val="20"/>
              </w:rPr>
              <w:t xml:space="preserve">Chiffrement AES-256, audit de sécurité, bug bounty, SOC 2</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Financement insuffisant pour les phases avancées</w:t>
            </w:r>
          </w:p>
        </w:tc>
        <w:tc>
          <w:tcPr>
            <w:shd w:fill="EDF5F2" w:val="clear"/>
            <w:tcMar>
              <w:top w:type="dxa" w:w="60"/>
              <w:left w:type="dxa" w:w="120"/>
              <w:bottom w:type="dxa" w:w="60"/>
              <w:right w:type="dxa" w:w="120"/>
            </w:tcMar>
          </w:tcPr>
          <w:p>
            <w:r>
              <w:rPr>
                <w:rFonts w:ascii="Calibri" w:eastAsia="Microsoft YaHei"/>
                <w:color w:val="1E2E40"/>
                <w:sz w:val="20"/>
                <w:szCs w:val="20"/>
              </w:rPr>
              <w:t xml:space="preserve">Moyenne</w:t>
            </w:r>
          </w:p>
        </w:tc>
        <w:tc>
          <w:tcPr>
            <w:shd w:fill="EDF5F2" w:val="clear"/>
            <w:tcMar>
              <w:top w:type="dxa" w:w="60"/>
              <w:left w:type="dxa" w:w="120"/>
              <w:bottom w:type="dxa" w:w="60"/>
              <w:right w:type="dxa" w:w="120"/>
            </w:tcMar>
          </w:tcPr>
          <w:p>
            <w:r>
              <w:rPr>
                <w:rFonts w:ascii="Calibri" w:eastAsia="Microsoft YaHei"/>
                <w:color w:val="1E2E40"/>
                <w:sz w:val="20"/>
                <w:szCs w:val="20"/>
              </w:rPr>
              <w:t xml:space="preserve">Élevé</w:t>
            </w:r>
          </w:p>
        </w:tc>
        <w:tc>
          <w:tcPr>
            <w:shd w:fill="EDF5F2" w:val="clear"/>
            <w:tcMar>
              <w:top w:type="dxa" w:w="60"/>
              <w:left w:type="dxa" w:w="120"/>
              <w:bottom w:type="dxa" w:w="60"/>
              <w:right w:type="dxa" w:w="120"/>
            </w:tcMar>
          </w:tcPr>
          <w:p>
            <w:r>
              <w:rPr>
                <w:rFonts w:ascii="Calibri" w:eastAsia="Microsoft YaHei"/>
                <w:color w:val="1E2E40"/>
                <w:sz w:val="20"/>
                <w:szCs w:val="20"/>
              </w:rPr>
              <w:t xml:space="preserve">Modèle SaaS progressif, subventions OMS/Banque Mondiale, partenariats PPP</w:t>
            </w:r>
          </w:p>
        </w:tc>
      </w:tr>
      <w:tr>
        <w:trPr>
          <w:cantSplit/>
        </w:trPr>
        <w:tc>
          <w:tcPr>
            <w:shd w:fill="FFFFFF" w:val="clear"/>
            <w:tcMar>
              <w:top w:type="dxa" w:w="60"/>
              <w:left w:type="dxa" w:w="120"/>
              <w:bottom w:type="dxa" w:w="60"/>
              <w:right w:type="dxa" w:w="120"/>
            </w:tcMar>
          </w:tcPr>
          <w:p>
            <w:r>
              <w:rPr>
                <w:rFonts w:ascii="Calibri" w:eastAsia="Microsoft YaHei"/>
                <w:color w:val="1E2E40"/>
                <w:sz w:val="20"/>
                <w:szCs w:val="20"/>
              </w:rPr>
              <w:t xml:space="preserve">Compétences IA limitées en Afrique de l’Ouest</w:t>
            </w:r>
          </w:p>
        </w:tc>
        <w:tc>
          <w:tcPr>
            <w:shd w:fill="FFFFFF" w:val="clear"/>
            <w:tcMar>
              <w:top w:type="dxa" w:w="60"/>
              <w:left w:type="dxa" w:w="120"/>
              <w:bottom w:type="dxa" w:w="60"/>
              <w:right w:type="dxa" w:w="120"/>
            </w:tcMar>
          </w:tcPr>
          <w:p>
            <w:r>
              <w:rPr>
                <w:rFonts w:ascii="Calibri" w:eastAsia="Microsoft YaHei"/>
                <w:color w:val="1E2E40"/>
                <w:sz w:val="20"/>
                <w:szCs w:val="20"/>
              </w:rPr>
              <w:t xml:space="preserve">Moyenne</w:t>
            </w:r>
          </w:p>
        </w:tc>
        <w:tc>
          <w:tcPr>
            <w:shd w:fill="FFFFFF" w:val="clear"/>
            <w:tcMar>
              <w:top w:type="dxa" w:w="60"/>
              <w:left w:type="dxa" w:w="120"/>
              <w:bottom w:type="dxa" w:w="60"/>
              <w:right w:type="dxa" w:w="120"/>
            </w:tcMar>
          </w:tcPr>
          <w:p>
            <w:r>
              <w:rPr>
                <w:rFonts w:ascii="Calibri" w:eastAsia="Microsoft YaHei"/>
                <w:color w:val="1E2E40"/>
                <w:sz w:val="20"/>
                <w:szCs w:val="20"/>
              </w:rPr>
              <w:t xml:space="preserve">Moyen</w:t>
            </w:r>
          </w:p>
        </w:tc>
        <w:tc>
          <w:tcPr>
            <w:shd w:fill="FFFFFF" w:val="clear"/>
            <w:tcMar>
              <w:top w:type="dxa" w:w="60"/>
              <w:left w:type="dxa" w:w="120"/>
              <w:bottom w:type="dxa" w:w="60"/>
              <w:right w:type="dxa" w:w="120"/>
            </w:tcMar>
          </w:tcPr>
          <w:p>
            <w:r>
              <w:rPr>
                <w:rFonts w:ascii="Calibri" w:eastAsia="Microsoft YaHei"/>
                <w:color w:val="1E2E40"/>
                <w:sz w:val="20"/>
                <w:szCs w:val="20"/>
              </w:rPr>
              <w:t xml:space="preserve">Formation interne, partenariat universités, recrutement diaspora</w:t>
            </w:r>
          </w:p>
        </w:tc>
      </w:tr>
      <w:tr>
        <w:trPr>
          <w:cantSplit/>
        </w:trPr>
        <w:tc>
          <w:tcPr>
            <w:shd w:fill="EDF5F2" w:val="clear"/>
            <w:tcMar>
              <w:top w:type="dxa" w:w="60"/>
              <w:left w:type="dxa" w:w="120"/>
              <w:bottom w:type="dxa" w:w="60"/>
              <w:right w:type="dxa" w:w="120"/>
            </w:tcMar>
          </w:tcPr>
          <w:p>
            <w:r>
              <w:rPr>
                <w:rFonts w:ascii="Calibri" w:eastAsia="Microsoft YaHei"/>
                <w:color w:val="1E2E40"/>
                <w:sz w:val="20"/>
                <w:szCs w:val="20"/>
              </w:rPr>
              <w:t xml:space="preserve">Adoption patient du portail numérique</w:t>
            </w:r>
          </w:p>
        </w:tc>
        <w:tc>
          <w:tcPr>
            <w:shd w:fill="EDF5F2" w:val="clear"/>
            <w:tcMar>
              <w:top w:type="dxa" w:w="60"/>
              <w:left w:type="dxa" w:w="120"/>
              <w:bottom w:type="dxa" w:w="60"/>
              <w:right w:type="dxa" w:w="120"/>
            </w:tcMar>
          </w:tcPr>
          <w:p>
            <w:r>
              <w:rPr>
                <w:rFonts w:ascii="Calibri" w:eastAsia="Microsoft YaHei"/>
                <w:color w:val="1E2E40"/>
                <w:sz w:val="20"/>
                <w:szCs w:val="20"/>
              </w:rPr>
              <w:t xml:space="preserve">Élevée</w:t>
            </w:r>
          </w:p>
        </w:tc>
        <w:tc>
          <w:tcPr>
            <w:shd w:fill="EDF5F2" w:val="clear"/>
            <w:tcMar>
              <w:top w:type="dxa" w:w="60"/>
              <w:left w:type="dxa" w:w="120"/>
              <w:bottom w:type="dxa" w:w="60"/>
              <w:right w:type="dxa" w:w="120"/>
            </w:tcMar>
          </w:tcPr>
          <w:p>
            <w:r>
              <w:rPr>
                <w:rFonts w:ascii="Calibri" w:eastAsia="Microsoft YaHei"/>
                <w:color w:val="1E2E40"/>
                <w:sz w:val="20"/>
                <w:szCs w:val="20"/>
              </w:rPr>
              <w:t xml:space="preserve">Moyen</w:t>
            </w:r>
          </w:p>
        </w:tc>
        <w:tc>
          <w:tcPr>
            <w:shd w:fill="EDF5F2" w:val="clear"/>
            <w:tcMar>
              <w:top w:type="dxa" w:w="60"/>
              <w:left w:type="dxa" w:w="120"/>
              <w:bottom w:type="dxa" w:w="60"/>
              <w:right w:type="dxa" w:w="120"/>
            </w:tcMar>
          </w:tcPr>
          <w:p>
            <w:r>
              <w:rPr>
                <w:rFonts w:ascii="Calibri" w:eastAsia="Microsoft YaHei"/>
                <w:color w:val="1E2E40"/>
                <w:sz w:val="20"/>
                <w:szCs w:val="20"/>
              </w:rPr>
              <w:t xml:space="preserve">UX intuitive, support SMS/WhatsApp, formation en langue locale</w:t>
            </w:r>
          </w:p>
        </w:tc>
      </w:tr>
    </w:tbl>
    <w:p>
      <w:pPr>
        <w:spacing w:after="80" w:before="80"/>
      </w:pPr>
    </w:p>
    <w:p>
      <w:pPr>
        <w:pBdr>
          <w:top w:val="single" w:color="3CB4A0" w:sz="8" w:space="16"/>
        </w:pBdr>
        <w:spacing w:after="100" w:before="100"/>
        <w:ind w:left="500" w:right="500"/>
      </w:pPr>
    </w:p>
    <w:p>
      <w:pPr>
        <w:pStyle w:val="Heading1"/>
        <w:spacing w:after="200" w:before="400" w:line="312"/>
      </w:pPr>
      <w:r>
        <w:rPr>
          <w:rFonts w:ascii="Calibri" w:eastAsia="SimHei"/>
          <w:b/>
          <w:bCs/>
          <w:color w:val="1A3A3A"/>
          <w:sz w:val="32"/>
          <w:szCs w:val="32"/>
        </w:rPr>
        <w:t xml:space="preserve">12. Prochaines Étapes Immédiates</w:t>
      </w:r>
    </w:p>
    <w:p>
      <w:pPr>
        <w:spacing w:after="80" w:line="312"/>
        <w:ind w:firstLine="420"/>
        <w:jc w:val="both"/>
      </w:pPr>
      <w:r>
        <w:rPr>
          <w:rFonts w:ascii="Calibri" w:eastAsia="Microsoft YaHei"/>
          <w:color w:val="1E2E40"/>
          <w:sz w:val="22"/>
          <w:szCs w:val="22"/>
        </w:rPr>
        <w:t xml:space="preserve">La feuille de route est ambitieuse mais réaliste si les premières étapes sont exécutées avec rigueur. Les actions ci-dessous constituent le plan d’action immédiat pour les 30 prochains jours, période pendant laquelle nous devons poser les fondations techniques de la Phase 1 tout en initiant les partenariats stratégiques nécessaires pour les phases ultérieures. Chaque action est assignée à un responsable et dispose d’un indicateur de succès mesurable.</w:t>
      </w:r>
    </w:p>
    <w:p>
      <w:pPr>
        <w:pStyle w:val="ListParagraph"/>
        <w:numPr>
          <w:ilvl w:val="0"/>
          <w:numId w:val="1"/>
        </w:numPr>
        <w:spacing w:after="40" w:line="312"/>
      </w:pPr>
      <w:r>
        <w:rPr>
          <w:rFonts w:ascii="Calibri" w:eastAsia="Microsoft YaHei"/>
          <w:color w:val="1E2E40"/>
          <w:sz w:val="22"/>
          <w:szCs w:val="22"/>
        </w:rPr>
        <w:t xml:space="preserve">Semaine 1–2 : Configuration PWA (Service Worker, manifest.json, IndexedDB) et migration du store Zustand vers React Query + API</w:t>
      </w:r>
    </w:p>
    <w:p>
      <w:pPr>
        <w:pStyle w:val="ListParagraph"/>
        <w:numPr>
          <w:ilvl w:val="0"/>
          <w:numId w:val="1"/>
        </w:numPr>
        <w:spacing w:after="40" w:line="312"/>
      </w:pPr>
      <w:r>
        <w:rPr>
          <w:rFonts w:ascii="Calibri" w:eastAsia="Microsoft YaHei"/>
          <w:color w:val="1E2E40"/>
          <w:sz w:val="22"/>
          <w:szCs w:val="22"/>
        </w:rPr>
        <w:t xml:space="preserve">Semaine 2–3 : Configuration next-intl avec fichiers de traduction français, anglais, malinké, soussou, poular</w:t>
      </w:r>
    </w:p>
    <w:p>
      <w:pPr>
        <w:pStyle w:val="ListParagraph"/>
        <w:numPr>
          <w:ilvl w:val="0"/>
          <w:numId w:val="1"/>
        </w:numPr>
        <w:spacing w:after="40" w:line="312"/>
      </w:pPr>
      <w:r>
        <w:rPr>
          <w:rFonts w:ascii="Calibri" w:eastAsia="Microsoft YaHei"/>
          <w:color w:val="1E2E40"/>
          <w:sz w:val="22"/>
          <w:szCs w:val="22"/>
        </w:rPr>
        <w:t xml:space="preserve">Semaine 3–4 : Activation next-auth avec authentification par téléphone + OTP</w:t>
      </w:r>
    </w:p>
    <w:p>
      <w:pPr>
        <w:pStyle w:val="ListParagraph"/>
        <w:numPr>
          <w:ilvl w:val="0"/>
          <w:numId w:val="1"/>
        </w:numPr>
        <w:spacing w:after="40" w:line="312"/>
      </w:pPr>
      <w:r>
        <w:rPr>
          <w:rFonts w:ascii="Calibri" w:eastAsia="Microsoft YaHei"/>
          <w:color w:val="1E2E40"/>
          <w:sz w:val="22"/>
          <w:szCs w:val="22"/>
        </w:rPr>
        <w:t xml:space="preserve">Semaine 4 : Connexion de tous les modules frontend aux API backend existantes avec tests end-to-end</w:t>
      </w:r>
    </w:p>
    <w:p>
      <w:pPr>
        <w:pStyle w:val="ListParagraph"/>
        <w:numPr>
          <w:ilvl w:val="0"/>
          <w:numId w:val="1"/>
        </w:numPr>
        <w:spacing w:after="40" w:line="312"/>
      </w:pPr>
      <w:r>
        <w:rPr>
          <w:rFonts w:ascii="Calibri" w:eastAsia="Microsoft YaHei"/>
          <w:color w:val="1E2E40"/>
          <w:sz w:val="22"/>
          <w:szCs w:val="22"/>
        </w:rPr>
        <w:t xml:space="preserve">En parallèle : Prise de contact avec le Ministère de la Santé de Guinée pour partenariat officiel</w:t>
      </w:r>
    </w:p>
    <w:p>
      <w:pPr>
        <w:pStyle w:val="ListParagraph"/>
        <w:numPr>
          <w:ilvl w:val="0"/>
          <w:numId w:val="1"/>
        </w:numPr>
        <w:spacing w:after="40" w:line="312"/>
      </w:pPr>
      <w:r>
        <w:rPr>
          <w:rFonts w:ascii="Calibri" w:eastAsia="Microsoft YaHei"/>
          <w:color w:val="1E2E40"/>
          <w:sz w:val="22"/>
          <w:szCs w:val="22"/>
        </w:rPr>
        <w:t xml:space="preserve">En parallèle : Demande d’accès sandbox aux API Orange Money et MTN MoMo</w:t>
      </w:r>
    </w:p>
    <w:p>
      <w:pPr>
        <w:pStyle w:val="ListParagraph"/>
        <w:numPr>
          <w:ilvl w:val="0"/>
          <w:numId w:val="1"/>
        </w:numPr>
        <w:spacing w:after="40" w:line="312"/>
      </w:pPr>
      <w:r>
        <w:rPr>
          <w:rFonts w:ascii="Calibri" w:eastAsia="Microsoft YaHei"/>
          <w:color w:val="1E2E40"/>
          <w:sz w:val="22"/>
          <w:szCs w:val="22"/>
        </w:rPr>
        <w:t xml:space="preserve">En parallèle : Recrutement d’un médecin conseiller pour la validation des algorithmes IA de la Phase 3</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507070"/>
        <w:sz w:val="16"/>
        <w:szCs w:val="16"/>
      </w:rPr>
      <w:t xml:space="preserve">HealthFlow Africa — Feuille de Route Stratégique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E2E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pPr>
    <w:rPr>
      <w:rFonts w:ascii="Calibri" w:eastAsia="SimHei"/>
      <w:b/>
      <w:bCs/>
      <w:color w:val="1A3A3A"/>
      <w:sz w:val="32"/>
      <w:szCs w:val="32"/>
    </w:rPr>
  </w:style>
  <w:style w:type="paragraph" w:styleId="Heading2">
    <w:name w:val="Heading 2"/>
    <w:basedOn w:val="Normal"/>
    <w:next w:val="Normal"/>
    <w:qFormat/>
    <w:pPr>
      <w:spacing w:after="150" w:before="300" w:line="312"/>
    </w:pPr>
    <w:rPr>
      <w:rFonts w:ascii="Calibri" w:eastAsia="SimHei"/>
      <w:b/>
      <w:bCs/>
      <w:color w:val="1A3A3A"/>
      <w:sz w:val="28"/>
      <w:szCs w:val="28"/>
    </w:rPr>
  </w:style>
  <w:style w:type="paragraph" w:styleId="Heading3">
    <w:name w:val="Heading 3"/>
    <w:basedOn w:val="Normal"/>
    <w:next w:val="Normal"/>
    <w:qFormat/>
    <w:pPr>
      <w:spacing w:after="120" w:before="240" w:line="312"/>
    </w:pPr>
    <w:rPr>
      <w:rFonts w:ascii="Calibri" w:eastAsia="SimHei"/>
      <w:b/>
      <w:bCs/>
      <w:color w:val="1A3A3A"/>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2026-05-10T19:21:11.470Z</dcterms:created>
  <dcterms:modified xsi:type="dcterms:W3CDTF">2026-05-10T19:21:11.471Z</dcterms:modified>
</cp:coreProperties>
</file>

<file path=docProps/custom.xml><?xml version="1.0" encoding="utf-8"?>
<Properties xmlns="http://schemas.openxmlformats.org/officeDocument/2006/custom-properties" xmlns:vt="http://schemas.openxmlformats.org/officeDocument/2006/docPropsVTypes"/>
</file>