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RAPPORT D'ÉTAT DU PROJET</w:t>
      </w:r>
    </w:p>
    <w:p>
      <w:pPr>
        <w:spacing w:after="400"/>
        <w:jc w:val="center"/>
      </w:pPr>
      <w:r>
        <w:rPr>
          <w:color w:val="64748B"/>
          <w:sz w:val="24"/>
          <w:szCs w:val="24"/>
        </w:rPr>
        <w:t xml:space="preserve">GuinéaManager ERP - Système de Gestion pour PME Ouest-Africaines</w:t>
      </w:r>
    </w:p>
    <w:p>
      <w:pPr>
        <w:spacing w:after="600"/>
        <w:jc w:val="center"/>
      </w:pPr>
      <w:r>
        <w:rPr>
          <w:color w:val="1E293B"/>
          <w:sz w:val="22"/>
          <w:szCs w:val="22"/>
        </w:rPr>
        <w:t xml:space="preserve">Date: 26 Mars 2026</w:t>
      </w:r>
    </w:p>
    <w:p>
      <w:pPr>
        <w:pStyle w:val="Heading1"/>
      </w:pPr>
      <w:r>
        <w:t xml:space="preserve">1. Résumé Exécutif</w:t>
      </w:r>
    </w:p>
    <w:p>
      <w:pPr>
        <w:spacing w:after="200"/>
      </w:pPr>
      <w:r>
        <w:t xml:space="preserve">GuinéaManager ERP est un système de gestion d'entreprise multi-pays conçu spécifiquement pour les PME en Afrique de l'Ouest. Le projet a été développé avec une architecture moderne utilisant Next.js 16 pour le frontend et Express.js pour le backend, avec Prisma ORM et SQLite pour la base de données. Le système offre une gamme complète de fonctionnalités incluant la facturation, la gestion des stocks, la paie multi-pays conforme aux législations locales, la comptabilité OHADA, et l'intégration des paiements mobiles (Orange Money, MTN Money).</w:t>
      </w:r>
    </w:p>
    <w:p>
      <w:pPr>
        <w:spacing w:after="200"/>
      </w:pPr>
      <w:r>
        <w:t xml:space="preserve">Le projet a fait l'objet de nombreuses itérations de développement et de corrections pour le déploiement Docker. Plusieurs problèmes techniques ont été résolus, notamment les conflits de dépendances npm, les problèmes de build Docker, les erreurs de configuration PWA, et les problèmes d'authentification. Actuellement, le projet est fonctionnel à environ 85%, avec des problèmes résiduels au niveau de l'authentification et de la communication frontend-backend.</w:t>
      </w:r>
    </w:p>
    <w:p>
      <w:pPr>
        <w:pStyle w:val="Heading1"/>
      </w:pPr>
      <w:r>
        <w:t xml:space="preserve">2. Points Forts du Projet</w:t>
      </w:r>
    </w:p>
    <w:p>
      <w:pPr>
        <w:pStyle w:val="Heading2"/>
      </w:pPr>
      <w:r>
        <w:t xml:space="preserve">2.1 Architecture Technique Moderne</w:t>
      </w:r>
    </w:p>
    <w:p>
      <w:pPr>
        <w:spacing w:after="200"/>
      </w:pPr>
      <w:r>
        <w:t xml:space="preserve">Le projet utilise une stack technologique moderne et bien structurée. Le frontend Next.js 16 avec Turbopack offre des performances optimales et un excellent développement DX. Le backend Express.js est modulaire et bien organisé avec une séparation claire des responsabilités (controllers, services, routes, middlewares). L'utilisation de TypeScript assure une meilleure qualité de code et réduit les erreurs potentielles.</w:t>
      </w:r>
    </w:p>
    <w:p>
      <w:pPr>
        <w:pStyle w:val="Heading2"/>
      </w:pPr>
      <w:r>
        <w:t xml:space="preserve">2.2 Fonctionnalités Métier Complètes</w:t>
      </w:r>
    </w:p>
    <w:p>
      <w:pPr>
        <w:spacing w:after="100"/>
      </w:pPr>
      <w:r>
        <w:t xml:space="preserve">Le système couvre un large éventail de fonctionnalités métier essentielles pour les PME:</w:t>
      </w:r>
    </w:p>
    <w:p>
      <w:pPr>
        <w:pStyle w:val="ListParagraph"/>
        <w:numPr>
          <w:ilvl w:val="0"/>
          <w:numId w:val="2"/>
        </w:numPr>
      </w:pPr>
      <w:r>
        <w:t xml:space="preserve">Facturation et devis avec génération PDF automatique</w:t>
      </w:r>
    </w:p>
    <w:p>
      <w:pPr>
        <w:pStyle w:val="ListParagraph"/>
        <w:numPr>
          <w:ilvl w:val="0"/>
          <w:numId w:val="2"/>
        </w:numPr>
      </w:pPr>
      <w:r>
        <w:t xml:space="preserve">Gestion des clients et prospects (CRM)</w:t>
      </w:r>
    </w:p>
    <w:p>
      <w:pPr>
        <w:pStyle w:val="ListParagraph"/>
        <w:numPr>
          <w:ilvl w:val="0"/>
          <w:numId w:val="2"/>
        </w:numPr>
      </w:pPr>
      <w:r>
        <w:t xml:space="preserve">Gestion des stocks multi-entrepôts avec inventaires</w:t>
      </w:r>
    </w:p>
    <w:p>
      <w:pPr>
        <w:pStyle w:val="ListParagraph"/>
        <w:numPr>
          <w:ilvl w:val="0"/>
          <w:numId w:val="2"/>
        </w:numPr>
      </w:pPr>
      <w:r>
        <w:t xml:space="preserve">Paie multi-pays avec conformité fiscale (Guinée, Sénégal, Mali, Côte d'Ivoire)</w:t>
      </w:r>
    </w:p>
    <w:p>
      <w:pPr>
        <w:pStyle w:val="ListParagraph"/>
        <w:numPr>
          <w:ilvl w:val="0"/>
          <w:numId w:val="2"/>
        </w:numPr>
      </w:pPr>
      <w:r>
        <w:t xml:space="preserve">Comptabilité OHADA avec plan comptable Syscohada révisé</w:t>
      </w:r>
    </w:p>
    <w:p>
      <w:pPr>
        <w:pStyle w:val="ListParagraph"/>
        <w:numPr>
          <w:ilvl w:val="0"/>
          <w:numId w:val="2"/>
        </w:numPr>
      </w:pPr>
      <w:r>
        <w:t xml:space="preserve">Intégration paiements mobiles (Orange Money, MTN Money)</w:t>
      </w:r>
    </w:p>
    <w:p>
      <w:pPr>
        <w:pStyle w:val="ListParagraph"/>
        <w:numPr>
          <w:ilvl w:val="0"/>
          <w:numId w:val="2"/>
        </w:numPr>
        <w:spacing w:after="200"/>
      </w:pPr>
      <w:r>
        <w:t xml:space="preserve">Tableaux de bord et rapports analytiques</w:t>
      </w:r>
    </w:p>
    <w:p>
      <w:pPr>
        <w:pStyle w:val="Heading2"/>
      </w:pPr>
      <w:r>
        <w:t xml:space="preserve">2.3 Schéma de Base de Données Robuste</w:t>
      </w:r>
    </w:p>
    <w:p>
      <w:pPr>
        <w:spacing w:after="200"/>
      </w:pPr>
      <w:r>
        <w:t xml:space="preserve">Le schéma Prisma est extrêmement complet avec plus de 60 modèles couvrant tous les aspects de la gestion d'entreprise. Il inclut la gestion multi-sociétés, les plans d'abonnement, les audits, les notifications, et une traçabilité complète des opérations. Les relations sont bien définies avec des index appropriés pour optimiser les performances.</w:t>
      </w:r>
    </w:p>
    <w:p>
      <w:pPr>
        <w:pStyle w:val="Heading2"/>
      </w:pPr>
      <w:r>
        <w:t xml:space="preserve">2.4 Interface Utilisateur Professionnelle</w:t>
      </w:r>
    </w:p>
    <w:p>
      <w:pPr>
        <w:spacing w:after="200"/>
      </w:pPr>
      <w:r>
        <w:t xml:space="preserve">L'interface utilisateur est développée avec shadcn/ui et Tailwind CSS, offrant un design moderne et cohérent. Les composants sont bien structurés et réutilisables. Le système de navigation avec sidebar permet un accès rapide aux différentes fonctionnalités. L'interface est responsive et s'adapte aux différents formats d'écran.</w:t>
      </w:r>
    </w:p>
    <w:p>
      <w:pPr>
        <w:pStyle w:val="Heading2"/>
      </w:pPr>
      <w:r>
        <w:t xml:space="preserve">2.5 Sécurité et Bonnes Pratiques</w:t>
      </w:r>
    </w:p>
    <w:p>
      <w:pPr>
        <w:spacing w:after="200"/>
      </w:pPr>
      <w:r>
        <w:t xml:space="preserve">Le projet implémente plusieurs couches de sécurité: authentification JWT avec refresh tokens, hachage bcrypt des mots de passe, rate limiting pour prévenir les attaques brute force, validation des entrées avec Zod, middlewares d'authentification et d'autorisation, et support de l'authentification à deux facteurs (TOTP et SMS).</w:t>
      </w:r>
    </w:p>
    <w:p>
      <w:pPr>
        <w:pStyle w:val="Heading1"/>
      </w:pPr>
      <w:r>
        <w:t xml:space="preserve">3. Points Faibles et Problèmes Identifiés</w:t>
      </w:r>
    </w:p>
    <w:p>
      <w:pPr>
        <w:pStyle w:val="Heading2"/>
      </w:pPr>
      <w:r>
        <w:t xml:space="preserve">3.1 Problèmes d'Authentification Critiques</w:t>
      </w:r>
    </w:p>
    <w:p>
      <w:pPr>
        <w:spacing w:after="200"/>
      </w:pPr>
      <w:r>
        <w:t xml:space="preserve">Le problème majeur actuel est que l'authentification ne fonctionne pas correctement. L'API client frontend utilise une URL absolue (</w:t>
      </w:r>
      <w:r>
        <w:rPr>
          <w:b/>
          <w:bCs/>
        </w:rPr>
        <w:t xml:space="preserve">http://localhost:3001/api</w:t>
      </w:r>
      <w:r>
        <w:t xml:space="preserve">) au lieu de passer par le proxy Next.js. Cela cause des échecs de connexion car en production Docker, le frontend et le backend tournent dans le même conteneur mais le frontend essaie de se connecter à localhost:3001 qui peut ne pas être accessible depuis le navigateur client. De plus, le backend TypeScript n'est pas correctement compilé - le fichier </w:t>
      </w:r>
      <w:r>
        <w:rPr>
          <w:b/>
          <w:bCs/>
        </w:rPr>
        <w:t xml:space="preserve">dist/index.js</w:t>
      </w:r>
      <w:r>
        <w:t xml:space="preserve"> n'existe peut-être pas, ce qui empêche le backend de démarrer.</w:t>
      </w:r>
    </w:p>
    <w:p>
      <w:pPr>
        <w:pStyle w:val="Heading2"/>
      </w:pPr>
      <w:r>
        <w:t xml:space="preserve">3.2 Problèmes de Build et Compilation</w:t>
      </w:r>
    </w:p>
    <w:p>
      <w:pPr>
        <w:spacing w:after="200"/>
      </w:pPr>
      <w:r>
        <w:t xml:space="preserve">Le Dockerfile utilise </w:t>
      </w:r>
      <w:r>
        <w:rPr>
          <w:b/>
          <w:bCs/>
        </w:rPr>
        <w:t xml:space="preserve">npx tsc --skipLibCheck 2&gt;&amp;1 || true</w:t>
      </w:r>
      <w:r>
        <w:t xml:space="preserve"> pour compiler le backend, mais l'option </w:t>
      </w:r>
      <w:r>
        <w:rPr>
          <w:b/>
          <w:bCs/>
        </w:rPr>
        <w:t xml:space="preserve">|| true</w:t>
      </w:r>
      <w:r>
        <w:t xml:space="preserve"> masque les erreurs de compilation. Si la compilation TypeScript échoue, le dossier dist/ ne sera pas créé correctement, et le backend ne pourra pas démarrer. Cette approche n'est pas robuste pour un environnement de production.</w:t>
      </w:r>
    </w:p>
    <w:p>
      <w:pPr>
        <w:pStyle w:val="Heading2"/>
      </w:pPr>
      <w:r>
        <w:t xml:space="preserve">3.3 Problèmes de Synchronisation Base de Données</w:t>
      </w:r>
    </w:p>
    <w:p>
      <w:pPr>
        <w:spacing w:after="200"/>
      </w:pPr>
      <w:r>
        <w:t xml:space="preserve">L'initialisation de la base de données présente des problèmes de timing. Le script docker-entrypoint.sh vérifie si le fichier SQLite existe avant de lancer </w:t>
      </w:r>
      <w:r>
        <w:rPr>
          <w:b/>
          <w:bCs/>
        </w:rPr>
        <w:t xml:space="preserve">prisma db push</w:t>
      </w:r>
      <w:r>
        <w:t xml:space="preserve">, mais cette vérification est insuffisante. La base de données peut exister mais être vide ou corrompue. L'initialisation des données de démo (</w:t>
      </w:r>
      <w:r>
        <w:rPr>
          <w:b/>
          <w:bCs/>
        </w:rPr>
        <w:t xml:space="preserve">demo@guineamanager.com / demo123</w:t>
      </w:r>
      <w:r>
        <w:t xml:space="preserve">) se fait dans le code backend, mais si le backend ne démarre pas correctement, ces données ne seront jamais créées.</w:t>
      </w:r>
    </w:p>
    <w:p>
      <w:pPr>
        <w:pStyle w:val="Heading2"/>
      </w:pPr>
      <w:r>
        <w:t xml:space="preserve">3.4 Configuration Next.js Standalone</w:t>
      </w:r>
    </w:p>
    <w:p>
      <w:pPr>
        <w:spacing w:after="200"/>
      </w:pPr>
      <w:r>
        <w:t xml:space="preserve">Le Dockerfile tente d'exécuter </w:t>
      </w:r>
      <w:r>
        <w:rPr>
          <w:b/>
          <w:bCs/>
        </w:rPr>
        <w:t xml:space="preserve">node .next/standalone/server.js</w:t>
      </w:r>
      <w:r>
        <w:t xml:space="preserve">, mais la configuration next.config.ts n'inclut pas </w:t>
      </w:r>
      <w:r>
        <w:rPr>
          <w:b/>
          <w:bCs/>
        </w:rPr>
        <w:t xml:space="preserve">output: 'standalone'</w:t>
      </w:r>
      <w:r>
        <w:t xml:space="preserve">. Sans cette configuration, le dossier .next/standalone/ ne sera pas généré, et le serveur ne pourra pas démarrer en mode standalone.</w:t>
      </w:r>
    </w:p>
    <w:p>
      <w:pPr>
        <w:pStyle w:val="Heading2"/>
      </w:pPr>
      <w:r>
        <w:t xml:space="preserve">3.5 Gestion des Erreurs et Logging</w:t>
      </w:r>
    </w:p>
    <w:p>
      <w:pPr>
        <w:spacing w:after="200"/>
      </w:pPr>
      <w:r>
        <w:t xml:space="preserve">Le logging basique avec console.log n'est pas optimal pour un environnement de production. Il manque un système de logging structuré avec des niveaux (debug, info, warn, error), une rotation des logs, et une intégration possible avec des outils de monitoring. Les erreurs ne sont pas toujours correctement propagées au frontend, ce qui rend le débogage difficile.</w:t>
      </w:r>
    </w:p>
    <w:p>
      <w:pPr>
        <w:pStyle w:val="Heading1"/>
      </w:pPr>
      <w:r>
        <w:t xml:space="preserve">4. Tableau Récapitulatif des Problèmes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Borders>
              <w:top w:val="single" w:color="94A3B8" w:sz="12"/>
              <w:left w:val="single" w:color="94A3B8" w:sz="12"/>
              <w:bottom w:val="single" w:color="94A3B8" w:sz="12"/>
              <w:right w:val="single" w:color="94A3B8" w:sz="12"/>
            </w:tcBorders>
            <w:shd w:fill="0F172A" w:val="clear"/>
            <w:vAlign w:val="center"/>
          </w:tcPr>
          <w:p>
            <w:pPr>
              <w:jc w:val="center"/>
            </w:pPr>
            <w:r>
              <w:rPr>
                <w:b/>
                <w:bCs/>
                <w:color w:val="FFFFFF"/>
              </w:rPr>
              <w:t xml:space="preserve">Problème</w:t>
            </w:r>
          </w:p>
        </w:tc>
        <w:tc>
          <w:tcPr>
            <w:tcBorders>
              <w:top w:val="single" w:color="94A3B8" w:sz="12"/>
              <w:left w:val="single" w:color="94A3B8" w:sz="12"/>
              <w:bottom w:val="single" w:color="94A3B8" w:sz="12"/>
              <w:right w:val="single" w:color="94A3B8" w:sz="12"/>
            </w:tcBorders>
            <w:shd w:fill="0F172A" w:val="clear"/>
            <w:vAlign w:val="center"/>
          </w:tcPr>
          <w:p>
            <w:pPr>
              <w:jc w:val="center"/>
            </w:pPr>
            <w:r>
              <w:rPr>
                <w:b/>
                <w:bCs/>
                <w:color w:val="FFFFFF"/>
              </w:rPr>
              <w:t xml:space="preserve">Sévérité</w:t>
            </w:r>
          </w:p>
        </w:tc>
        <w:tc>
          <w:tcPr>
            <w:tcBorders>
              <w:top w:val="single" w:color="94A3B8" w:sz="12"/>
              <w:left w:val="single" w:color="94A3B8" w:sz="12"/>
              <w:bottom w:val="single" w:color="94A3B8" w:sz="12"/>
              <w:right w:val="single" w:color="94A3B8" w:sz="12"/>
            </w:tcBorders>
            <w:shd w:fill="0F172A" w:val="clear"/>
            <w:vAlign w:val="center"/>
          </w:tcPr>
          <w:p>
            <w:pPr>
              <w:jc w:val="center"/>
            </w:pPr>
            <w:r>
              <w:rPr>
                <w:b/>
                <w:bCs/>
                <w:color w:val="FFFFFF"/>
              </w:rPr>
              <w:t xml:space="preserve">Solution Recommandée</w:t>
            </w:r>
          </w:p>
        </w:tc>
      </w:tr>
      <w:tr>
        <w:tc>
          <w:tcPr>
            <w:tcBorders>
              <w:top w:val="single" w:color="94A3B8" w:sz="12"/>
              <w:left w:val="single" w:color="94A3B8" w:sz="12"/>
              <w:bottom w:val="single" w:color="94A3B8" w:sz="12"/>
              <w:right w:val="single" w:color="94A3B8" w:sz="12"/>
            </w:tcBorders>
            <w:vAlign w:val="center"/>
          </w:tcPr>
          <w:p>
            <w:r>
              <w:t xml:space="preserve">URL API incorrecte</w:t>
            </w:r>
          </w:p>
        </w:tc>
        <w:tc>
          <w:tcPr>
            <w:tcBorders>
              <w:top w:val="single" w:color="94A3B8" w:sz="12"/>
              <w:left w:val="single" w:color="94A3B8" w:sz="12"/>
              <w:bottom w:val="single" w:color="94A3B8" w:sz="12"/>
              <w:right w:val="single" w:color="94A3B8" w:sz="12"/>
            </w:tcBorders>
            <w:shd w:fill="FEE2E2" w:val="clear"/>
            <w:vAlign w:val="center"/>
          </w:tcPr>
          <w:p>
            <w:pPr>
              <w:jc w:val="center"/>
            </w:pPr>
            <w:r>
              <w:rPr>
                <w:b/>
                <w:bCs/>
                <w:color w:val="DC2626"/>
              </w:rPr>
              <w:t xml:space="preserve">CRITIQUE</w:t>
            </w:r>
          </w:p>
        </w:tc>
        <w:tc>
          <w:tcPr>
            <w:tcBorders>
              <w:top w:val="single" w:color="94A3B8" w:sz="12"/>
              <w:left w:val="single" w:color="94A3B8" w:sz="12"/>
              <w:bottom w:val="single" w:color="94A3B8" w:sz="12"/>
              <w:right w:val="single" w:color="94A3B8" w:sz="12"/>
            </w:tcBorders>
            <w:vAlign w:val="center"/>
          </w:tcPr>
          <w:p>
            <w:r>
              <w:t xml:space="preserve">Utiliser '/api' comme URL relative</w:t>
            </w:r>
          </w:p>
        </w:tc>
      </w:tr>
      <w:tr>
        <w:tc>
          <w:tcPr>
            <w:tcBorders>
              <w:top w:val="single" w:color="94A3B8" w:sz="12"/>
              <w:left w:val="single" w:color="94A3B8" w:sz="12"/>
              <w:bottom w:val="single" w:color="94A3B8" w:sz="12"/>
              <w:right w:val="single" w:color="94A3B8" w:sz="12"/>
            </w:tcBorders>
            <w:vAlign w:val="center"/>
          </w:tcPr>
          <w:p>
            <w:r>
              <w:t xml:space="preserve">Backend non compilé</w:t>
            </w:r>
          </w:p>
        </w:tc>
        <w:tc>
          <w:tcPr>
            <w:tcBorders>
              <w:top w:val="single" w:color="94A3B8" w:sz="12"/>
              <w:left w:val="single" w:color="94A3B8" w:sz="12"/>
              <w:bottom w:val="single" w:color="94A3B8" w:sz="12"/>
              <w:right w:val="single" w:color="94A3B8" w:sz="12"/>
            </w:tcBorders>
            <w:shd w:fill="FEE2E2" w:val="clear"/>
            <w:vAlign w:val="center"/>
          </w:tcPr>
          <w:p>
            <w:pPr>
              <w:jc w:val="center"/>
            </w:pPr>
            <w:r>
              <w:rPr>
                <w:b/>
                <w:bCs/>
                <w:color w:val="DC2626"/>
              </w:rPr>
              <w:t xml:space="preserve">CRITIQUE</w:t>
            </w:r>
          </w:p>
        </w:tc>
        <w:tc>
          <w:tcPr>
            <w:tcBorders>
              <w:top w:val="single" w:color="94A3B8" w:sz="12"/>
              <w:left w:val="single" w:color="94A3B8" w:sz="12"/>
              <w:bottom w:val="single" w:color="94A3B8" w:sz="12"/>
              <w:right w:val="single" w:color="94A3B8" w:sz="12"/>
            </w:tcBorders>
            <w:vAlign w:val="center"/>
          </w:tcPr>
          <w:p>
            <w:r>
              <w:t xml:space="preserve">Corriger compilation TypeScript</w:t>
            </w:r>
          </w:p>
        </w:tc>
      </w:tr>
      <w:tr>
        <w:tc>
          <w:tcPr>
            <w:tcBorders>
              <w:top w:val="single" w:color="94A3B8" w:sz="12"/>
              <w:left w:val="single" w:color="94A3B8" w:sz="12"/>
              <w:bottom w:val="single" w:color="94A3B8" w:sz="12"/>
              <w:right w:val="single" w:color="94A3B8" w:sz="12"/>
            </w:tcBorders>
            <w:vAlign w:val="center"/>
          </w:tcPr>
          <w:p>
            <w:r>
              <w:t xml:space="preserve">Mode standalone manquant</w:t>
            </w:r>
          </w:p>
        </w:tc>
        <w:tc>
          <w:tcPr>
            <w:tcBorders>
              <w:top w:val="single" w:color="94A3B8" w:sz="12"/>
              <w:left w:val="single" w:color="94A3B8" w:sz="12"/>
              <w:bottom w:val="single" w:color="94A3B8" w:sz="12"/>
              <w:right w:val="single" w:color="94A3B8" w:sz="12"/>
            </w:tcBorders>
            <w:shd w:fill="FEF3C7" w:val="clear"/>
            <w:vAlign w:val="center"/>
          </w:tcPr>
          <w:p>
            <w:pPr>
              <w:jc w:val="center"/>
            </w:pPr>
            <w:r>
              <w:rPr>
                <w:b/>
                <w:bCs/>
                <w:color w:val="D97706"/>
              </w:rPr>
              <w:t xml:space="preserve">ÉLEVÉE</w:t>
            </w:r>
          </w:p>
        </w:tc>
        <w:tc>
          <w:tcPr>
            <w:tcBorders>
              <w:top w:val="single" w:color="94A3B8" w:sz="12"/>
              <w:left w:val="single" w:color="94A3B8" w:sz="12"/>
              <w:bottom w:val="single" w:color="94A3B8" w:sz="12"/>
              <w:right w:val="single" w:color="94A3B8" w:sz="12"/>
            </w:tcBorders>
            <w:vAlign w:val="center"/>
          </w:tcPr>
          <w:p>
            <w:r>
              <w:t xml:space="preserve">Ajouter output: 'standalone'</w:t>
            </w:r>
          </w:p>
        </w:tc>
      </w:tr>
      <w:tr>
        <w:tc>
          <w:tcPr>
            <w:tcBorders>
              <w:top w:val="single" w:color="94A3B8" w:sz="12"/>
              <w:left w:val="single" w:color="94A3B8" w:sz="12"/>
              <w:bottom w:val="single" w:color="94A3B8" w:sz="12"/>
              <w:right w:val="single" w:color="94A3B8" w:sz="12"/>
            </w:tcBorders>
            <w:vAlign w:val="center"/>
          </w:tcPr>
          <w:p>
            <w:r>
              <w:t xml:space="preserve">Initialisation DB</w:t>
            </w:r>
          </w:p>
        </w:tc>
        <w:tc>
          <w:tcPr>
            <w:tcBorders>
              <w:top w:val="single" w:color="94A3B8" w:sz="12"/>
              <w:left w:val="single" w:color="94A3B8" w:sz="12"/>
              <w:bottom w:val="single" w:color="94A3B8" w:sz="12"/>
              <w:right w:val="single" w:color="94A3B8" w:sz="12"/>
            </w:tcBorders>
            <w:shd w:fill="FEF3C7" w:val="clear"/>
            <w:vAlign w:val="center"/>
          </w:tcPr>
          <w:p>
            <w:pPr>
              <w:jc w:val="center"/>
            </w:pPr>
            <w:r>
              <w:rPr>
                <w:b/>
                <w:bCs/>
                <w:color w:val="D97706"/>
              </w:rPr>
              <w:t xml:space="preserve">ÉLEVÉE</w:t>
            </w:r>
          </w:p>
        </w:tc>
        <w:tc>
          <w:tcPr>
            <w:tcBorders>
              <w:top w:val="single" w:color="94A3B8" w:sz="12"/>
              <w:left w:val="single" w:color="94A3B8" w:sz="12"/>
              <w:bottom w:val="single" w:color="94A3B8" w:sz="12"/>
              <w:right w:val="single" w:color="94A3B8" w:sz="12"/>
            </w:tcBorders>
            <w:vAlign w:val="center"/>
          </w:tcPr>
          <w:p>
            <w:r>
              <w:t xml:space="preserve">Améliorer le script d'entrée</w:t>
            </w:r>
          </w:p>
        </w:tc>
      </w:tr>
      <w:tr>
        <w:tc>
          <w:tcPr>
            <w:tcBorders>
              <w:top w:val="single" w:color="94A3B8" w:sz="12"/>
              <w:left w:val="single" w:color="94A3B8" w:sz="12"/>
              <w:bottom w:val="single" w:color="94A3B8" w:sz="12"/>
              <w:right w:val="single" w:color="94A3B8" w:sz="12"/>
            </w:tcBorders>
            <w:vAlign w:val="center"/>
          </w:tcPr>
          <w:p>
            <w:r>
              <w:t xml:space="preserve">Logging insuffisant</w:t>
            </w:r>
          </w:p>
        </w:tc>
        <w:tc>
          <w:tcPr>
            <w:tcBorders>
              <w:top w:val="single" w:color="94A3B8" w:sz="12"/>
              <w:left w:val="single" w:color="94A3B8" w:sz="12"/>
              <w:bottom w:val="single" w:color="94A3B8" w:sz="12"/>
              <w:right w:val="single" w:color="94A3B8" w:sz="12"/>
            </w:tcBorders>
            <w:shd w:fill="D1FAE5" w:val="clear"/>
            <w:vAlign w:val="center"/>
          </w:tcPr>
          <w:p>
            <w:pPr>
              <w:jc w:val="center"/>
            </w:pPr>
            <w:r>
              <w:rPr>
                <w:b/>
                <w:bCs/>
                <w:color w:val="059669"/>
              </w:rPr>
              <w:t xml:space="preserve">MOYENNE</w:t>
            </w:r>
          </w:p>
        </w:tc>
        <w:tc>
          <w:tcPr>
            <w:tcBorders>
              <w:top w:val="single" w:color="94A3B8" w:sz="12"/>
              <w:left w:val="single" w:color="94A3B8" w:sz="12"/>
              <w:bottom w:val="single" w:color="94A3B8" w:sz="12"/>
              <w:right w:val="single" w:color="94A3B8" w:sz="12"/>
            </w:tcBorders>
            <w:vAlign w:val="center"/>
          </w:tcPr>
          <w:p>
            <w:r>
              <w:t xml:space="preserve">Implémenter logger structuré</w:t>
            </w:r>
          </w:p>
        </w:tc>
      </w:tr>
    </w:tbl>
    <w:p>
      <w:pPr>
        <w:spacing w:after="300"/>
      </w:pPr>
    </w:p>
    <w:p>
      <w:pPr>
        <w:pStyle w:val="Heading1"/>
      </w:pPr>
      <w:r>
        <w:t xml:space="preserve">5. Recommandations pour un Projet 100% Fonctionnel</w:t>
      </w:r>
    </w:p>
    <w:p>
      <w:pPr>
        <w:pStyle w:val="Heading2"/>
      </w:pPr>
      <w:r>
        <w:t xml:space="preserve">5.1 Corrections Immédiates (Priorité Critique)</w:t>
      </w:r>
    </w:p>
    <w:p>
      <w:pPr>
        <w:spacing w:after="100"/>
      </w:pPr>
      <w:r>
        <w:t xml:space="preserve">Les corrections suivantes doivent être appliquées immédiatement pour rendre le système fonctionnel:</w:t>
      </w:r>
    </w:p>
    <w:p>
      <w:pPr>
        <w:pStyle w:val="ListParagraph"/>
        <w:numPr>
          <w:ilvl w:val="0"/>
          <w:numId w:val="3"/>
        </w:numPr>
      </w:pPr>
      <w:r>
        <w:rPr>
          <w:b/>
          <w:bCs/>
        </w:rPr>
        <w:t xml:space="preserve">Corriger l'URL de l'API: </w:t>
      </w:r>
      <w:r>
        <w:t xml:space="preserve">Modifier src/lib/api.ts pour utiliser '/api' au lieu de 'http://localhost:3001/api', ce qui permettra au frontend de passer par le proxy Next.js pour communiquer avec le backend.</w:t>
      </w:r>
    </w:p>
    <w:p>
      <w:pPr>
        <w:pStyle w:val="ListParagraph"/>
        <w:numPr>
          <w:ilvl w:val="0"/>
          <w:numId w:val="3"/>
        </w:numPr>
      </w:pPr>
      <w:r>
        <w:rPr>
          <w:b/>
          <w:bCs/>
        </w:rPr>
        <w:t xml:space="preserve">Activer le mode standalone: </w:t>
      </w:r>
      <w:r>
        <w:t xml:space="preserve">Ajouter 'output: "standalone"' dans next.config.ts pour que Next.js génère un serveur autonome.</w:t>
      </w:r>
    </w:p>
    <w:p>
      <w:pPr>
        <w:pStyle w:val="ListParagraph"/>
        <w:numPr>
          <w:ilvl w:val="0"/>
          <w:numId w:val="3"/>
        </w:numPr>
      </w:pPr>
      <w:r>
        <w:rPr>
          <w:b/>
          <w:bCs/>
        </w:rPr>
        <w:t xml:space="preserve">Corriger la compilation backend: </w:t>
      </w:r>
      <w:r>
        <w:t xml:space="preserve">Vérifier et corriger les erreurs TypeScript dans le backend, et s'assurer que le dossier dist/ est correctement généré. Retirer le '|| true' du Dockerfile pour voir les vraies erreurs.</w:t>
      </w:r>
    </w:p>
    <w:p>
      <w:pPr>
        <w:pStyle w:val="ListParagraph"/>
        <w:numPr>
          <w:ilvl w:val="0"/>
          <w:numId w:val="3"/>
        </w:numPr>
        <w:spacing w:after="200"/>
      </w:pPr>
      <w:r>
        <w:rPr>
          <w:b/>
          <w:bCs/>
        </w:rPr>
        <w:t xml:space="preserve">Améliorer le script d'entrée: </w:t>
      </w:r>
      <w:r>
        <w:t xml:space="preserve">Modifier docker-entrypoint.sh pour toujours exécuter 'prisma db push' et créer les données de démo via un script Node.js dédié plutôt que dans le code backend.</w:t>
      </w:r>
    </w:p>
    <w:p>
      <w:pPr>
        <w:pStyle w:val="Heading2"/>
      </w:pPr>
      <w:r>
        <w:t xml:space="preserve">5.2 Améliorations à Court Terme (1-2 Semaines)</w:t>
      </w:r>
    </w:p>
    <w:p>
      <w:pPr>
        <w:pStyle w:val="ListParagraph"/>
        <w:numPr>
          <w:ilvl w:val="0"/>
          <w:numId w:val="2"/>
        </w:numPr>
      </w:pPr>
      <w:r>
        <w:t xml:space="preserve">Implémenter un système de logging structuré avec Winston ou Pino</w:t>
      </w:r>
    </w:p>
    <w:p>
      <w:pPr>
        <w:pStyle w:val="ListParagraph"/>
        <w:numPr>
          <w:ilvl w:val="0"/>
          <w:numId w:val="2"/>
        </w:numPr>
      </w:pPr>
      <w:r>
        <w:t xml:space="preserve">Ajouter des tests automatisés pour les endpoints d'authentification</w:t>
      </w:r>
    </w:p>
    <w:p>
      <w:pPr>
        <w:pStyle w:val="ListParagraph"/>
        <w:numPr>
          <w:ilvl w:val="0"/>
          <w:numId w:val="2"/>
        </w:numPr>
      </w:pPr>
      <w:r>
        <w:t xml:space="preserve">Créer une documentation API complète avec Swagger/OpenAPI</w:t>
      </w:r>
    </w:p>
    <w:p>
      <w:pPr>
        <w:pStyle w:val="ListParagraph"/>
        <w:numPr>
          <w:ilvl w:val="0"/>
          <w:numId w:val="2"/>
        </w:numPr>
      </w:pPr>
      <w:r>
        <w:t xml:space="preserve">Configurer un pipeline CI/CD pour les builds automatisés</w:t>
      </w:r>
    </w:p>
    <w:p>
      <w:pPr>
        <w:pStyle w:val="ListParagraph"/>
        <w:numPr>
          <w:ilvl w:val="0"/>
          <w:numId w:val="2"/>
        </w:numPr>
        <w:spacing w:after="200"/>
      </w:pPr>
      <w:r>
        <w:t xml:space="preserve">Mettre en place des health checks robustes pour Docker</w:t>
      </w:r>
    </w:p>
    <w:p>
      <w:pPr>
        <w:pStyle w:val="Heading2"/>
      </w:pPr>
      <w:r>
        <w:t xml:space="preserve">5.3 Améliorations à Moyen Terme (1-3 Mois)</w:t>
      </w:r>
    </w:p>
    <w:p>
      <w:pPr>
        <w:pStyle w:val="ListParagraph"/>
        <w:numPr>
          <w:ilvl w:val="0"/>
          <w:numId w:val="2"/>
        </w:numPr>
      </w:pPr>
      <w:r>
        <w:t xml:space="preserve">Migration vers PostgreSQL pour une meilleure scalabilité</w:t>
      </w:r>
    </w:p>
    <w:p>
      <w:pPr>
        <w:pStyle w:val="ListParagraph"/>
        <w:numPr>
          <w:ilvl w:val="0"/>
          <w:numId w:val="2"/>
        </w:numPr>
      </w:pPr>
      <w:r>
        <w:t xml:space="preserve">Implémentation de Redis pour le cache et les sessions</w:t>
      </w:r>
    </w:p>
    <w:p>
      <w:pPr>
        <w:pStyle w:val="ListParagraph"/>
        <w:numPr>
          <w:ilvl w:val="0"/>
          <w:numId w:val="2"/>
        </w:numPr>
      </w:pPr>
      <w:r>
        <w:t xml:space="preserve">Internationalisation complète (i18n) pour les pays francophones et anglophones</w:t>
      </w:r>
    </w:p>
    <w:p>
      <w:pPr>
        <w:pStyle w:val="ListParagraph"/>
        <w:numPr>
          <w:ilvl w:val="0"/>
          <w:numId w:val="2"/>
        </w:numPr>
      </w:pPr>
      <w:r>
        <w:t xml:space="preserve">Application mobile companion pour les entrepreneurs en déplacement</w:t>
      </w:r>
    </w:p>
    <w:p>
      <w:pPr>
        <w:pStyle w:val="ListParagraph"/>
        <w:numPr>
          <w:ilvl w:val="0"/>
          <w:numId w:val="2"/>
        </w:numPr>
        <w:spacing w:after="200"/>
      </w:pPr>
      <w:r>
        <w:t xml:space="preserve">Intégration avec les services gouvernementaux (impôts, CNSS)</w:t>
      </w:r>
    </w:p>
    <w:p>
      <w:pPr>
        <w:pStyle w:val="Heading1"/>
      </w:pPr>
      <w:r>
        <w:t xml:space="preserve">6. Conclusion</w:t>
      </w:r>
    </w:p>
    <w:p>
      <w:pPr>
        <w:spacing w:after="200"/>
      </w:pPr>
      <w:r>
        <w:t xml:space="preserve">GuinéaManager ERP est un projet ambitieux et bien conçu qui répond à un besoin réel des PME en Afrique de l'Ouest. Les fondations techniques sont solides avec une architecture moderne et des fonctionnalités métier complètes. Cependant, plusieurs problèmes critiques empêchent actuellement le système d'être pleinement opérationnel.</w:t>
      </w:r>
    </w:p>
    <w:p>
      <w:pPr>
        <w:spacing w:after="200"/>
      </w:pPr>
      <w:r>
        <w:t xml:space="preserve">Les principaux obstacles sont liés à la configuration du déploiement Docker et à la communication entre le frontend et le backend. Ces problèmes sont résolubles avec les corrections identifiées dans ce rapport. Une fois ces corrections appliquées, le projet devrait atteindre un niveau de fonctionnalité de 95% ou plus.</w:t>
      </w:r>
    </w:p>
    <w:p>
      <w:pPr>
        <w:spacing w:after="200"/>
      </w:pPr>
      <w:r>
        <w:t xml:space="preserve">Le potentiel du projet est significatif, avec une opportunité réelle de devenir une solution de référence pour les PME en Afrique de l'Ouest. Les investissements supplémentaires recommandés dans ce rapport permettront de transformer ce prototype en un produit commercial viable et compétitif.</w:t>
      </w:r>
    </w:p>
    <w:p>
      <w:pPr>
        <w:pStyle w:val="Heading1"/>
      </w:pPr>
      <w:r>
        <w:t xml:space="preserve">7. Informations de Connexion de Démonstration</w:t>
      </w:r>
    </w:p>
    <w:p>
      <w:pPr>
        <w:spacing w:after="200"/>
      </w:pPr>
      <w:r>
        <w:t xml:space="preserve">Une fois le système fonctionnel, les identifiants de démonstration suivants pourront être utilisés pour tester l'application:</w:t>
      </w:r>
    </w:p>
    <w:p>
      <w:pPr>
        <w:spacing w:after="100"/>
      </w:pPr>
      <w:r>
        <w:rPr>
          <w:b/>
          <w:bCs/>
        </w:rPr>
        <w:t xml:space="preserve">Email: </w:t>
      </w:r>
      <w:r>
        <w:t xml:space="preserve">demo@guineamanager.com</w:t>
      </w:r>
    </w:p>
    <w:p>
      <w:pPr>
        <w:spacing w:after="300"/>
      </w:pPr>
      <w:r>
        <w:rPr>
          <w:b/>
          <w:bCs/>
        </w:rPr>
        <w:t xml:space="preserve">Mot de passe: </w:t>
      </w:r>
      <w:r>
        <w:t xml:space="preserve">demo123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GuinéaManager ERP - Rapport d'État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2026-03-26T06:05:33.599Z</dcterms:created>
  <dcterms:modified xsi:type="dcterms:W3CDTF">2026-03-26T06:05:33.600Z</dcterms:modified>
</cp:coreProperties>
</file>

<file path=docProps/custom.xml><?xml version="1.0" encoding="utf-8"?>
<Properties xmlns="http://schemas.openxmlformats.org/officeDocument/2006/custom-properties" xmlns:vt="http://schemas.openxmlformats.org/officeDocument/2006/docPropsVTypes"/>
</file>