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3600"/>
            </w:pPr>
          </w:p>
          <w:p>
            <w:pPr>
              <w:spacing w:after="100" w:line="874" w:lineRule="atLeast"/>
              <w:ind w:left="1200"/>
              <w:jc w:val="left"/>
            </w:pPr>
            <w:r>
              <w:rPr>
                <w:rFonts w:ascii="Calibri"/>
                <w:b/>
                <w:bCs/>
                <w:color w:val="FFFFFF"/>
                <w:sz w:val="76"/>
                <w:szCs w:val="76"/>
              </w:rPr>
              <w:t xml:space="preserve">Planning de</w:t>
            </w:r>
          </w:p>
          <w:p>
            <w:pPr>
              <w:spacing w:after="100" w:line="874" w:lineRule="atLeast"/>
              <w:ind w:left="1200"/>
              <w:jc w:val="left"/>
            </w:pPr>
            <w:r>
              <w:rPr>
                <w:rFonts w:ascii="Calibri"/>
                <w:b/>
                <w:bCs/>
                <w:color w:val="FFFFFF"/>
                <w:sz w:val="76"/>
                <w:szCs w:val="76"/>
              </w:rPr>
              <w:t xml:space="preserve">Contenu LinkedI</w:t>
            </w:r>
          </w:p>
          <w:p>
            <w:pPr>
              <w:spacing w:after="100" w:line="874" w:lineRule="atLeast"/>
              <w:ind w:left="1200"/>
              <w:jc w:val="left"/>
            </w:pPr>
            <w:r>
              <w:rPr>
                <w:rFonts w:ascii="Calibri"/>
                <w:b/>
                <w:bCs/>
                <w:color w:val="FFFFFF"/>
                <w:sz w:val="76"/>
                <w:szCs w:val="76"/>
              </w:rPr>
              <w:t xml:space="preserve">n</w:t>
            </w:r>
          </w:p>
          <w:p>
            <w:pPr>
              <w:pBdr>
                <w:bottom w:val="single" w:color="37DCF2" w:sz="12" w:space="0"/>
              </w:pBdr>
              <w:spacing w:after="200" w:before="200"/>
              <w:ind w:left="1200"/>
            </w:pPr>
            <w:r>
              <w:rPr>
                <w:sz w:val="4"/>
                <w:szCs w:val="4"/>
              </w:rPr>
              <w:t xml:space="preserve"> </w:t>
            </w:r>
          </w:p>
          <w:p>
            <w:pPr>
              <w:spacing w:after="100"/>
              <w:ind w:left="1200"/>
            </w:pPr>
            <w:r>
              <w:rPr>
                <w:rFonts w:ascii="Calibri"/>
                <w:color w:val="B0B8C0"/>
                <w:sz w:val="40"/>
                <w:szCs w:val="40"/>
              </w:rPr>
              <w:t xml:space="preserve">DataSphere Innovation</w:t>
            </w:r>
          </w:p>
          <w:p>
            <w:pPr>
              <w:spacing w:after="100"/>
              <w:ind w:left="1200"/>
            </w:pPr>
            <w:r>
              <w:rPr>
                <w:rFonts w:ascii="Calibri"/>
                <w:color w:val="90989F"/>
                <w:sz w:val="36"/>
                <w:szCs w:val="36"/>
              </w:rPr>
              <w:t xml:space="preserve">Stratégie éditoriale mensuelle pour LinkedIn</w:t>
            </w:r>
          </w:p>
          <w:p>
            <w:pPr>
              <w:spacing w:before="600"/>
            </w:pPr>
          </w:p>
          <w:p>
            <w:pPr>
              <w:ind w:left="1200"/>
            </w:pPr>
            <w:r>
              <w:rPr>
                <w:rFonts w:ascii="Calibri"/>
                <w:color w:val="90989F"/>
                <w:sz w:val="36"/>
                <w:szCs w:val="36"/>
              </w:rPr>
              <w:t xml:space="preserve">Mai 2026  |  8 posts  |  4 semaines</w:t>
            </w:r>
          </w:p>
          <w:p>
            <w:pPr>
              <w:ind w:left="1200"/>
            </w:pPr>
            <w:r>
              <w:rPr>
                <w:rFonts w:ascii="Calibri"/>
                <w:color w:val="90989F"/>
                <w:sz w:val="36"/>
                <w:szCs w:val="36"/>
              </w:rPr>
              <w:t xml:space="preserve">Niche : SaaS &amp; Infrastructure IA</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6"/>
          <w:szCs w:val="36"/>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Stratégie éditoriale mensuelle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Règles de publication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Vue d’ensemble du calendrier</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Semaine 1 — Positionnement &amp; Crédibilité</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Post 1 — Semaine 1</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Contenu du post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Post 2 — Semaine 1</w:t>
            </w:r>
            <w:r>
              <w:tab/>
            </w:r>
            <w:r>
              <w:fldChar w:fldCharType="begin"/>
            </w:r>
            <w:r>
              <w:instrText xml:space="preserve"> PAGEREF _Toc100006 \h </w:instrText>
            </w:r>
            <w:r>
              <w:fldChar w:fldCharType="separate"/>
            </w:r>
            <w:r>
              <w:t>9</w:t>
            </w:r>
            <w:r>
              <w:fldChar w:fldCharType="end"/>
            </w:r>
          </w:hyperlink>
        </w:p>
        <w:p>
          <w:pPr>
            <w:pStyle w:val="12"/>
            <w:ind w:left="720"/>
            <w:tabs>
              <w:tab w:val="right" w:leader="dot" w:pos="9026"/>
            </w:tabs>
            <w:spacing w:before="120" w:after="60"/>
          </w:pPr>
          <w:hyperlink w:anchor="_Toc100007" w:history="1">
            <w:r>
              <w:rPr>
                <w:rStyle w:val="Hyperlink"/>
              </w:rPr>
              <w:t>Contenu du post</w:t>
            </w:r>
            <w:r>
              <w:tab/>
            </w:r>
            <w:r>
              <w:fldChar w:fldCharType="begin"/>
            </w:r>
            <w:r>
              <w:instrText xml:space="preserve"> PAGEREF _Toc100007 \h </w:instrText>
            </w:r>
            <w:r>
              <w:fldChar w:fldCharType="separate"/>
            </w:r>
            <w:r>
              <w:t>10</w:t>
            </w:r>
            <w:r>
              <w:fldChar w:fldCharType="end"/>
            </w:r>
          </w:hyperlink>
        </w:p>
        <w:p>
          <w:pPr>
            <w:pStyle w:val="9"/>
            <w:tabs>
              <w:tab w:val="right" w:leader="dot" w:pos="9026"/>
            </w:tabs>
            <w:spacing w:before="120" w:after="60"/>
          </w:pPr>
          <w:hyperlink w:anchor="_Toc100008" w:history="1">
            <w:r>
              <w:rPr>
                <w:rStyle w:val="Hyperlink"/>
              </w:rPr>
              <w:t>Semaine 2 — Viralité &amp; Débat</w:t>
            </w:r>
            <w:r>
              <w:tab/>
            </w:r>
            <w:r>
              <w:fldChar w:fldCharType="begin"/>
            </w:r>
            <w:r>
              <w:instrText xml:space="preserve"> PAGEREF _Toc100008 \h </w:instrText>
            </w:r>
            <w:r>
              <w:fldChar w:fldCharType="separate"/>
            </w:r>
            <w:r>
              <w:t>14</w:t>
            </w:r>
            <w:r>
              <w:fldChar w:fldCharType="end"/>
            </w:r>
          </w:hyperlink>
        </w:p>
        <w:p>
          <w:pPr>
            <w:pStyle w:val="11"/>
            <w:ind w:left="360"/>
            <w:tabs>
              <w:tab w:val="right" w:leader="dot" w:pos="9026"/>
            </w:tabs>
            <w:spacing w:before="120" w:after="60"/>
          </w:pPr>
          <w:hyperlink w:anchor="_Toc100009" w:history="1">
            <w:r>
              <w:rPr>
                <w:rStyle w:val="Hyperlink"/>
              </w:rPr>
              <w:t>Post 3 — Semaine 2</w:t>
            </w:r>
            <w:r>
              <w:tab/>
            </w:r>
            <w:r>
              <w:fldChar w:fldCharType="begin"/>
            </w:r>
            <w:r>
              <w:instrText xml:space="preserve"> PAGEREF _Toc100009 \h </w:instrText>
            </w:r>
            <w:r>
              <w:fldChar w:fldCharType="separate"/>
            </w:r>
            <w:r>
              <w:t>14</w:t>
            </w:r>
            <w:r>
              <w:fldChar w:fldCharType="end"/>
            </w:r>
          </w:hyperlink>
        </w:p>
        <w:p>
          <w:pPr>
            <w:pStyle w:val="12"/>
            <w:ind w:left="720"/>
            <w:tabs>
              <w:tab w:val="right" w:leader="dot" w:pos="9026"/>
            </w:tabs>
            <w:spacing w:before="120" w:after="60"/>
          </w:pPr>
          <w:hyperlink w:anchor="_Toc100010" w:history="1">
            <w:r>
              <w:rPr>
                <w:rStyle w:val="Hyperlink"/>
              </w:rPr>
              <w:t>Contenu du post</w:t>
            </w:r>
            <w:r>
              <w:tab/>
            </w:r>
            <w:r>
              <w:fldChar w:fldCharType="begin"/>
            </w:r>
            <w:r>
              <w:instrText xml:space="preserve"> PAGEREF _Toc100010 \h </w:instrText>
            </w:r>
            <w:r>
              <w:fldChar w:fldCharType="separate"/>
            </w:r>
            <w:r>
              <w:t>15</w:t>
            </w:r>
            <w:r>
              <w:fldChar w:fldCharType="end"/>
            </w:r>
          </w:hyperlink>
        </w:p>
        <w:p>
          <w:pPr>
            <w:pStyle w:val="11"/>
            <w:ind w:left="360"/>
            <w:tabs>
              <w:tab w:val="right" w:leader="dot" w:pos="9026"/>
            </w:tabs>
            <w:spacing w:before="120" w:after="60"/>
          </w:pPr>
          <w:hyperlink w:anchor="_Toc100011" w:history="1">
            <w:r>
              <w:rPr>
                <w:rStyle w:val="Hyperlink"/>
              </w:rPr>
              <w:t>Post 4 — Semaine 2</w:t>
            </w:r>
            <w:r>
              <w:tab/>
            </w:r>
            <w:r>
              <w:fldChar w:fldCharType="begin"/>
            </w:r>
            <w:r>
              <w:instrText xml:space="preserve"> PAGEREF _Toc100011 \h </w:instrText>
            </w:r>
            <w:r>
              <w:fldChar w:fldCharType="separate"/>
            </w:r>
            <w:r>
              <w:t>19</w:t>
            </w:r>
            <w:r>
              <w:fldChar w:fldCharType="end"/>
            </w:r>
          </w:hyperlink>
        </w:p>
        <w:p>
          <w:pPr>
            <w:pStyle w:val="12"/>
            <w:ind w:left="720"/>
            <w:tabs>
              <w:tab w:val="right" w:leader="dot" w:pos="9026"/>
            </w:tabs>
            <w:spacing w:before="120" w:after="60"/>
          </w:pPr>
          <w:hyperlink w:anchor="_Toc100012" w:history="1">
            <w:r>
              <w:rPr>
                <w:rStyle w:val="Hyperlink"/>
              </w:rPr>
              <w:t>Contenu du post</w:t>
            </w:r>
            <w:r>
              <w:tab/>
            </w:r>
            <w:r>
              <w:fldChar w:fldCharType="begin"/>
            </w:r>
            <w:r>
              <w:instrText xml:space="preserve"> PAGEREF _Toc100012 \h </w:instrText>
            </w:r>
            <w:r>
              <w:fldChar w:fldCharType="separate"/>
            </w:r>
            <w:r>
              <w:t>20</w:t>
            </w:r>
            <w:r>
              <w:fldChar w:fldCharType="end"/>
            </w:r>
          </w:hyperlink>
        </w:p>
        <w:p>
          <w:pPr>
            <w:pStyle w:val="9"/>
            <w:tabs>
              <w:tab w:val="right" w:leader="dot" w:pos="9026"/>
            </w:tabs>
            <w:spacing w:before="120" w:after="60"/>
          </w:pPr>
          <w:hyperlink w:anchor="_Toc100013" w:history="1">
            <w:r>
              <w:rPr>
                <w:rStyle w:val="Hyperlink"/>
              </w:rPr>
              <w:t>Semaine 3 — Valeur &amp; Conversion</w:t>
            </w:r>
            <w:r>
              <w:tab/>
            </w:r>
            <w:r>
              <w:fldChar w:fldCharType="begin"/>
            </w:r>
            <w:r>
              <w:instrText xml:space="preserve"> PAGEREF _Toc100013 \h </w:instrText>
            </w:r>
            <w:r>
              <w:fldChar w:fldCharType="separate"/>
            </w:r>
            <w:r>
              <w:t>24</w:t>
            </w:r>
            <w:r>
              <w:fldChar w:fldCharType="end"/>
            </w:r>
          </w:hyperlink>
        </w:p>
        <w:p>
          <w:pPr>
            <w:pStyle w:val="11"/>
            <w:ind w:left="360"/>
            <w:tabs>
              <w:tab w:val="right" w:leader="dot" w:pos="9026"/>
            </w:tabs>
            <w:spacing w:before="120" w:after="60"/>
          </w:pPr>
          <w:hyperlink w:anchor="_Toc100014" w:history="1">
            <w:r>
              <w:rPr>
                <w:rStyle w:val="Hyperlink"/>
              </w:rPr>
              <w:t>Post 5 — Semaine 3</w:t>
            </w:r>
            <w:r>
              <w:tab/>
            </w:r>
            <w:r>
              <w:fldChar w:fldCharType="begin"/>
            </w:r>
            <w:r>
              <w:instrText xml:space="preserve"> PAGEREF _Toc100014 \h </w:instrText>
            </w:r>
            <w:r>
              <w:fldChar w:fldCharType="separate"/>
            </w:r>
            <w:r>
              <w:t>24</w:t>
            </w:r>
            <w:r>
              <w:fldChar w:fldCharType="end"/>
            </w:r>
          </w:hyperlink>
        </w:p>
        <w:p>
          <w:pPr>
            <w:pStyle w:val="12"/>
            <w:ind w:left="720"/>
            <w:tabs>
              <w:tab w:val="right" w:leader="dot" w:pos="9026"/>
            </w:tabs>
            <w:spacing w:before="120" w:after="60"/>
          </w:pPr>
          <w:hyperlink w:anchor="_Toc100015" w:history="1">
            <w:r>
              <w:rPr>
                <w:rStyle w:val="Hyperlink"/>
              </w:rPr>
              <w:t>Contenu du post</w:t>
            </w:r>
            <w:r>
              <w:tab/>
            </w:r>
            <w:r>
              <w:fldChar w:fldCharType="begin"/>
            </w:r>
            <w:r>
              <w:instrText xml:space="preserve"> PAGEREF _Toc100015 \h </w:instrText>
            </w:r>
            <w:r>
              <w:fldChar w:fldCharType="separate"/>
            </w:r>
            <w:r>
              <w:t>25</w:t>
            </w:r>
            <w:r>
              <w:fldChar w:fldCharType="end"/>
            </w:r>
          </w:hyperlink>
        </w:p>
        <w:p>
          <w:pPr>
            <w:pStyle w:val="11"/>
            <w:ind w:left="360"/>
            <w:tabs>
              <w:tab w:val="right" w:leader="dot" w:pos="9026"/>
            </w:tabs>
            <w:spacing w:before="120" w:after="60"/>
          </w:pPr>
          <w:hyperlink w:anchor="_Toc100016" w:history="1">
            <w:r>
              <w:rPr>
                <w:rStyle w:val="Hyperlink"/>
              </w:rPr>
              <w:t>Post 6 — Semaine 3</w:t>
            </w:r>
            <w:r>
              <w:tab/>
            </w:r>
            <w:r>
              <w:fldChar w:fldCharType="begin"/>
            </w:r>
            <w:r>
              <w:instrText xml:space="preserve"> PAGEREF _Toc100016 \h </w:instrText>
            </w:r>
            <w:r>
              <w:fldChar w:fldCharType="separate"/>
            </w:r>
            <w:r>
              <w:t>29</w:t>
            </w:r>
            <w:r>
              <w:fldChar w:fldCharType="end"/>
            </w:r>
          </w:hyperlink>
        </w:p>
        <w:p>
          <w:pPr>
            <w:pStyle w:val="12"/>
            <w:ind w:left="720"/>
            <w:tabs>
              <w:tab w:val="right" w:leader="dot" w:pos="9026"/>
            </w:tabs>
            <w:spacing w:before="120" w:after="60"/>
          </w:pPr>
          <w:hyperlink w:anchor="_Toc100017" w:history="1">
            <w:r>
              <w:rPr>
                <w:rStyle w:val="Hyperlink"/>
              </w:rPr>
              <w:t>Contenu du post</w:t>
            </w:r>
            <w:r>
              <w:tab/>
            </w:r>
            <w:r>
              <w:fldChar w:fldCharType="begin"/>
            </w:r>
            <w:r>
              <w:instrText xml:space="preserve"> PAGEREF _Toc100017 \h </w:instrText>
            </w:r>
            <w:r>
              <w:fldChar w:fldCharType="separate"/>
            </w:r>
            <w:r>
              <w:t>30</w:t>
            </w:r>
            <w:r>
              <w:fldChar w:fldCharType="end"/>
            </w:r>
          </w:hyperlink>
        </w:p>
        <w:p>
          <w:pPr>
            <w:pStyle w:val="9"/>
            <w:tabs>
              <w:tab w:val="right" w:leader="dot" w:pos="9026"/>
            </w:tabs>
            <w:spacing w:before="120" w:after="60"/>
          </w:pPr>
          <w:hyperlink w:anchor="_Toc100018" w:history="1">
            <w:r>
              <w:rPr>
                <w:rStyle w:val="Hyperlink"/>
              </w:rPr>
              <w:t>Semaine 4 — Innovation &amp; Marque</w:t>
            </w:r>
            <w:r>
              <w:tab/>
            </w:r>
            <w:r>
              <w:fldChar w:fldCharType="begin"/>
            </w:r>
            <w:r>
              <w:instrText xml:space="preserve"> PAGEREF _Toc100018 \h </w:instrText>
            </w:r>
            <w:r>
              <w:fldChar w:fldCharType="separate"/>
            </w:r>
            <w:r>
              <w:t>34</w:t>
            </w:r>
            <w:r>
              <w:fldChar w:fldCharType="end"/>
            </w:r>
          </w:hyperlink>
        </w:p>
        <w:p>
          <w:pPr>
            <w:pStyle w:val="11"/>
            <w:ind w:left="360"/>
            <w:tabs>
              <w:tab w:val="right" w:leader="dot" w:pos="9026"/>
            </w:tabs>
            <w:spacing w:before="120" w:after="60"/>
          </w:pPr>
          <w:hyperlink w:anchor="_Toc100019" w:history="1">
            <w:r>
              <w:rPr>
                <w:rStyle w:val="Hyperlink"/>
              </w:rPr>
              <w:t>Post 7 — Semaine 4</w:t>
            </w:r>
            <w:r>
              <w:tab/>
            </w:r>
            <w:r>
              <w:fldChar w:fldCharType="begin"/>
            </w:r>
            <w:r>
              <w:instrText xml:space="preserve"> PAGEREF _Toc100019 \h </w:instrText>
            </w:r>
            <w:r>
              <w:fldChar w:fldCharType="separate"/>
            </w:r>
            <w:r>
              <w:t>34</w:t>
            </w:r>
            <w:r>
              <w:fldChar w:fldCharType="end"/>
            </w:r>
          </w:hyperlink>
        </w:p>
        <w:p>
          <w:pPr>
            <w:pStyle w:val="12"/>
            <w:ind w:left="720"/>
            <w:tabs>
              <w:tab w:val="right" w:leader="dot" w:pos="9026"/>
            </w:tabs>
            <w:spacing w:before="120" w:after="60"/>
          </w:pPr>
          <w:hyperlink w:anchor="_Toc100020" w:history="1">
            <w:r>
              <w:rPr>
                <w:rStyle w:val="Hyperlink"/>
              </w:rPr>
              <w:t>Contenu du post</w:t>
            </w:r>
            <w:r>
              <w:tab/>
            </w:r>
            <w:r>
              <w:fldChar w:fldCharType="begin"/>
            </w:r>
            <w:r>
              <w:instrText xml:space="preserve"> PAGEREF _Toc100020 \h </w:instrText>
            </w:r>
            <w:r>
              <w:fldChar w:fldCharType="separate"/>
            </w:r>
            <w:r>
              <w:t>35</w:t>
            </w:r>
            <w:r>
              <w:fldChar w:fldCharType="end"/>
            </w:r>
          </w:hyperlink>
        </w:p>
        <w:p>
          <w:pPr>
            <w:pStyle w:val="11"/>
            <w:ind w:left="360"/>
            <w:tabs>
              <w:tab w:val="right" w:leader="dot" w:pos="9026"/>
            </w:tabs>
            <w:spacing w:before="120" w:after="60"/>
          </w:pPr>
          <w:hyperlink w:anchor="_Toc100021" w:history="1">
            <w:r>
              <w:rPr>
                <w:rStyle w:val="Hyperlink"/>
              </w:rPr>
              <w:t>Post 8 — Semaine 4</w:t>
            </w:r>
            <w:r>
              <w:tab/>
            </w:r>
            <w:r>
              <w:fldChar w:fldCharType="begin"/>
            </w:r>
            <w:r>
              <w:instrText xml:space="preserve"> PAGEREF _Toc100021 \h </w:instrText>
            </w:r>
            <w:r>
              <w:fldChar w:fldCharType="separate"/>
            </w:r>
            <w:r>
              <w:t>39</w:t>
            </w:r>
            <w:r>
              <w:fldChar w:fldCharType="end"/>
            </w:r>
          </w:hyperlink>
        </w:p>
        <w:p>
          <w:pPr>
            <w:pStyle w:val="12"/>
            <w:ind w:left="720"/>
            <w:tabs>
              <w:tab w:val="right" w:leader="dot" w:pos="9026"/>
            </w:tabs>
            <w:spacing w:before="120" w:after="60"/>
          </w:pPr>
          <w:hyperlink w:anchor="_Toc100022" w:history="1">
            <w:r>
              <w:rPr>
                <w:rStyle w:val="Hyperlink"/>
              </w:rPr>
              <w:t>Contenu du post</w:t>
            </w:r>
            <w:r>
              <w:tab/>
            </w:r>
            <w:r>
              <w:fldChar w:fldCharType="begin"/>
            </w:r>
            <w:r>
              <w:instrText xml:space="preserve"> PAGEREF _Toc100022 \h </w:instrText>
            </w:r>
            <w:r>
              <w:fldChar w:fldCharType="separate"/>
            </w:r>
            <w:r>
              <w:t>39</w:t>
            </w:r>
            <w:r>
              <w:fldChar w:fldCharType="end"/>
            </w:r>
          </w:hyperlink>
        </w:p>
        <w:p>
          <w:pPr>
            <w:pStyle w:val="9"/>
            <w:tabs>
              <w:tab w:val="right" w:leader="dot" w:pos="9026"/>
            </w:tabs>
            <w:spacing w:before="120" w:after="60"/>
          </w:pPr>
          <w:hyperlink w:anchor="_Toc100023" w:history="1">
            <w:r>
              <w:rPr>
                <w:rStyle w:val="Hyperlink"/>
              </w:rPr>
              <w:t>Bonnes pratiques &amp; KPI</w:t>
            </w:r>
            <w:r>
              <w:tab/>
            </w:r>
            <w:r>
              <w:fldChar w:fldCharType="begin"/>
            </w:r>
            <w:r>
              <w:instrText xml:space="preserve"> PAGEREF _Toc100023 \h </w:instrText>
            </w:r>
            <w:r>
              <w:fldChar w:fldCharType="separate"/>
            </w:r>
            <w:r>
              <w:t>44</w:t>
            </w:r>
            <w:r>
              <w:fldChar w:fldCharType="end"/>
            </w:r>
          </w:hyperlink>
        </w:p>
        <w:p>
          <w:pPr>
            <w:pStyle w:val="11"/>
            <w:ind w:left="360"/>
            <w:tabs>
              <w:tab w:val="right" w:leader="dot" w:pos="9026"/>
            </w:tabs>
            <w:spacing w:before="120" w:after="60"/>
          </w:pPr>
          <w:hyperlink w:anchor="_Toc100024" w:history="1">
            <w:r>
              <w:rPr>
                <w:rStyle w:val="Hyperlink"/>
              </w:rPr>
              <w:t>KPI de suivi mensuel</w:t>
            </w:r>
            <w:r>
              <w:tab/>
            </w:r>
            <w:r>
              <w:fldChar w:fldCharType="begin"/>
            </w:r>
            <w:r>
              <w:instrText xml:space="preserve"> PAGEREF _Toc100024 \h </w:instrText>
            </w:r>
            <w:r>
              <w:fldChar w:fldCharType="separate"/>
            </w:r>
            <w:r>
              <w:t>44</w:t>
            </w:r>
            <w:r>
              <w:fldChar w:fldCharType="end"/>
            </w:r>
          </w:hyperlink>
        </w:p>
        <w:p>
          <w:pPr>
            <w:pStyle w:val="11"/>
            <w:ind w:left="360"/>
            <w:tabs>
              <w:tab w:val="right" w:leader="dot" w:pos="9026"/>
            </w:tabs>
            <w:spacing w:before="120" w:after="60"/>
          </w:pPr>
          <w:hyperlink w:anchor="_Toc100025" w:history="1">
            <w:r>
              <w:rPr>
                <w:rStyle w:val="Hyperlink"/>
              </w:rPr>
              <w:t>Règles d’or pour maximiser le reach</w:t>
            </w:r>
            <w:r>
              <w:tab/>
            </w:r>
            <w:r>
              <w:fldChar w:fldCharType="begin"/>
            </w:r>
            <w:r>
              <w:instrText xml:space="preserve"> PAGEREF _Toc100025 \h </w:instrText>
            </w:r>
            <w:r>
              <w:fldChar w:fldCharType="separate"/>
            </w:r>
            <w:r>
              <w:t>44</w:t>
            </w:r>
            <w:r>
              <w:fldChar w:fldCharType="end"/>
            </w:r>
          </w:hyperlink>
        </w:p>
        <w:p>
          <w:pPr>
            <w:pStyle w:val="11"/>
            <w:ind w:left="360"/>
            <w:tabs>
              <w:tab w:val="right" w:leader="dot" w:pos="9026"/>
            </w:tabs>
            <w:spacing w:before="120" w:after="60"/>
          </w:pPr>
          <w:hyperlink w:anchor="_Toc100026" w:history="1">
            <w:r>
              <w:rPr>
                <w:rStyle w:val="Hyperlink"/>
              </w:rPr>
              <w:t>Bibliothèque de hashtags recommandés</w:t>
            </w:r>
            <w:r>
              <w:tab/>
            </w:r>
            <w:r>
              <w:fldChar w:fldCharType="begin"/>
            </w:r>
            <w:r>
              <w:instrText xml:space="preserve"> PAGEREF _Toc100026 \h </w:instrText>
            </w:r>
            <w:r>
              <w:fldChar w:fldCharType="separate"/>
            </w:r>
            <w:r>
              <w:t>44</w:t>
            </w:r>
            <w:r>
              <w:fldChar w:fldCharType="end"/>
            </w:r>
          </w:hyperlink>
        </w:p>
        <w:p>
          <w:r>
            <w:fldChar w:fldCharType="end"/>
          </w:r>
        </w:p>
      </w:sdtContent>
    </w:sdt>
    <w:p>
      <w:pPr>
        <w:spacing w:after="200" w:before="300"/>
        <w:jc w:val="center"/>
      </w:pPr>
      <w:r>
        <w:rPr>
          <w:rFonts w:ascii="Calibri"/>
          <w:i/>
          <w:iCs/>
          <w:color w:val="6878A0"/>
          <w:sz w:val="18"/>
          <w:szCs w:val="18"/>
        </w:rPr>
        <w:t xml:space="preserve">Conseil : Faites un clic droit sur la table ci-dessus, puis sélectionnez « Mettre à jour les champs » pour afficher les numéros de page corrects.</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Calibri"/>
          <w:b/>
          <w:bCs/>
          <w:color w:val="0A1628"/>
          <w:sz w:val="32"/>
          <w:szCs w:val="32"/>
        </w:rPr>
        <w:t xml:space="preserve">Stratégie éditoriale mensuelle</w:t>
      </w:r>
      <w:bookmarkEnd w:id="100000"/>
    </w:p>
    <w:p>
      <w:pPr>
        <w:spacing w:after="120" w:line="312"/>
        <w:jc w:val="both"/>
      </w:pPr>
      <w:r>
        <w:rPr>
          <w:rFonts w:ascii="Calibri"/>
          <w:color w:val="1A2B40"/>
          <w:sz w:val="24"/>
          <w:szCs w:val="24"/>
        </w:rPr>
        <w:t xml:space="preserve">Ce document présente le planning de contenu LinkedIn complet pour DataSphere Innovation sur un mois. Il a été conçu pour maximiser la visibilité, générer de l’engagement qualifié et positionner DataSphere Innovation comme référence dans le domaine du SaaS et de l’infrastructure IA.</w:t>
      </w:r>
    </w:p>
    <w:p>
      <w:pPr>
        <w:spacing w:after="120" w:line="312"/>
        <w:jc w:val="both"/>
      </w:pPr>
      <w:r>
        <w:rPr>
          <w:rFonts w:ascii="Calibri"/>
          <w:color w:val="1A2B40"/>
          <w:sz w:val="24"/>
          <w:szCs w:val="24"/>
        </w:rPr>
        <w:t xml:space="preserve">Chaque post est prêt à être publié directement sur LinkedIn. Le contenu est adapté au public cible B2B (DSI, CDO, PDG, décideurs) et reflète l’expertise technique et stratégique de l’entreprise. Les formats variés (thought leadership, listicle, storytelling, controverse, guide pratique) permettent d’entretenir l’intérêt de l’audience tout au long du mois.</w:t>
      </w:r>
    </w:p>
    <w:p>
      <w:pPr>
        <w:pStyle w:val="Heading2"/>
        <w:spacing w:after="160" w:before="360"/>
      </w:pPr>
      <w:bookmarkStart w:id="100001" w:name="_Toc100001"/>
      <w:r>
        <w:rPr>
          <w:rFonts w:ascii="Calibri"/>
          <w:b/>
          <w:bCs/>
          <w:color w:val="1B6B7A"/>
          <w:sz w:val="28"/>
          <w:szCs w:val="28"/>
        </w:rPr>
        <w:t xml:space="preserve">Règles de publication</w:t>
      </w:r>
      <w:bookmarkEnd w:id="100001"/>
    </w:p>
    <w:p>
      <w:pPr>
        <w:spacing w:after="120" w:line="312"/>
        <w:jc w:val="both"/>
      </w:pPr>
      <w:r>
        <w:rPr>
          <w:rFonts w:ascii="Calibri"/>
          <w:color w:val="1A2B40"/>
          <w:sz w:val="24"/>
          <w:szCs w:val="24"/>
        </w:rPr>
        <w:t xml:space="preserve">Fréquence : 2 posts par semaine (mardi et jeudi). Heure optimale : entre 8h00 et 9h30. Répondre à tous les commentaires dans les 2 premières heures. Ajouter le lien du site en premier commentaire après publication. Ne jamais publier le week-end. Accompagner chaque post d’une image ou infographie DataSphere Innovation.</w:t>
      </w:r>
    </w:p>
    <w:p>
      <w:pPr>
        <w:pStyle w:val="Heading2"/>
        <w:spacing w:after="160" w:before="360"/>
      </w:pPr>
      <w:bookmarkStart w:id="100002" w:name="_Toc100002"/>
      <w:r>
        <w:rPr>
          <w:rFonts w:ascii="Calibri"/>
          <w:b/>
          <w:bCs/>
          <w:color w:val="1B6B7A"/>
          <w:sz w:val="28"/>
          <w:szCs w:val="28"/>
        </w:rPr>
        <w:t xml:space="preserve">Vue d’ensemble du calendrier</w:t>
      </w:r>
      <w:bookmarkEnd w:id="100002"/>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pct" w:w="1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Semaine</w:t>
            </w:r>
          </w:p>
        </w:tc>
        <w:tc>
          <w:tcPr>
            <w:tcW w:type="pct" w:w="14%"/>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Format</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Thème</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Objectif</w:t>
            </w:r>
          </w:p>
        </w:tc>
      </w:tr>
      <w:tr>
        <w:tc>
          <w:tcPr>
            <w:tcW w:type="pct" w:w="1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S1</w:t>
            </w:r>
          </w:p>
        </w:tc>
        <w:tc>
          <w:tcPr>
            <w:tcW w:type="pct" w:w="14%"/>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Mar 6 / Jeu 8</w:t>
            </w:r>
          </w:p>
        </w:tc>
        <w:tc>
          <w:tcPr>
            <w:tcW w:type="pct" w:w="16%"/>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Hybride / Donnée choc</w:t>
            </w:r>
          </w:p>
        </w:tc>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Architecture Data + 15M$</w:t>
            </w:r>
          </w:p>
        </w:tc>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Engagement + Autorité</w:t>
            </w:r>
          </w:p>
        </w:tc>
      </w:tr>
      <w:tr>
        <w:tc>
          <w:tcPr>
            <w:tcW w:type="pct" w:w="1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S2</w:t>
            </w:r>
          </w:p>
        </w:tc>
        <w:tc>
          <w:tcPr>
            <w:tcW w:type="pct" w:w="14%"/>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Mar 13 / Jeu 15</w:t>
            </w:r>
          </w:p>
        </w:tc>
        <w:tc>
          <w:tcPr>
            <w:tcW w:type="pct" w:w="16%"/>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Listicle / Controverse</w:t>
            </w:r>
          </w:p>
        </w:tc>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7 erreurs / Cloud seul</w:t>
            </w:r>
          </w:p>
        </w:tc>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Viralité + Débat</w:t>
            </w:r>
          </w:p>
        </w:tc>
      </w:tr>
      <w:tr>
        <w:tc>
          <w:tcPr>
            <w:tcW w:type="pct" w:w="1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S3</w:t>
            </w:r>
          </w:p>
        </w:tc>
        <w:tc>
          <w:tcPr>
            <w:tcW w:type="pct" w:w="14%"/>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Mar 20 / Jeu 22</w:t>
            </w:r>
          </w:p>
        </w:tc>
        <w:tc>
          <w:tcPr>
            <w:tcW w:type="pct" w:w="16%"/>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Guide / Storytelling</w:t>
            </w:r>
          </w:p>
        </w:tc>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Framework 90j / Cas client</w:t>
            </w:r>
          </w:p>
        </w:tc>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Sauvegarde + Conversion</w:t>
            </w:r>
          </w:p>
        </w:tc>
      </w:tr>
      <w:tr>
        <w:tc>
          <w:tcPr>
            <w:tcW w:type="pct" w:w="1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S4</w:t>
            </w:r>
          </w:p>
        </w:tc>
        <w:tc>
          <w:tcPr>
            <w:tcW w:type="pct" w:w="14%"/>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Mar 27 / Jeu 29</w:t>
            </w:r>
          </w:p>
        </w:tc>
        <w:tc>
          <w:tcPr>
            <w:tcW w:type="pct" w:w="16%"/>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Expertise IA / Recrutement</w:t>
            </w:r>
          </w:p>
        </w:tc>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Piliers IA / Rétention talents</w:t>
            </w:r>
          </w:p>
        </w:tc>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Positionnement + Brand</w:t>
            </w:r>
          </w:p>
        </w:tc>
      </w:tr>
    </w:tbl>
    <w:p>
      <w:pPr>
        <w:pStyle w:val="Heading1"/>
        <w:spacing w:after="200" w:before="480"/>
      </w:pPr>
      <w:bookmarkStart w:id="100003" w:name="_Toc100003"/>
      <w:r>
        <w:rPr>
          <w:rFonts w:ascii="Calibri"/>
          <w:b/>
          <w:bCs/>
          <w:color w:val="0A1628"/>
          <w:sz w:val="32"/>
          <w:szCs w:val="32"/>
        </w:rPr>
        <w:t xml:space="preserve">Semaine 1 — Positionnement &amp; Crédibilité</w:t>
      </w:r>
      <w:bookmarkEnd w:id="100003"/>
    </w:p>
    <w:p>
      <w:pPr>
        <w:spacing w:after="120" w:line="312"/>
        <w:jc w:val="both"/>
      </w:pPr>
      <w:r>
        <w:rPr>
          <w:rFonts w:ascii="Calibri"/>
          <w:color w:val="1A2B40"/>
          <w:sz w:val="24"/>
          <w:szCs w:val="24"/>
        </w:rPr>
        <w:t xml:space="preserve">La première semaine établit l’autorité de DataSphere Innovation en combinant une prise de position forte avec des données percutantes. L’objectif est de capter l’attention des décideurs en identifiant des problématiques qu’ils rencontrent au quotidien.</w:t>
      </w:r>
    </w:p>
    <w:p>
      <w:pPr>
        <w:pStyle w:val="Heading2"/>
        <w:spacing w:after="160" w:before="360"/>
      </w:pPr>
      <w:bookmarkStart w:id="100004" w:name="_Toc100004"/>
      <w:r>
        <w:rPr>
          <w:rFonts w:ascii="Calibri"/>
          <w:b/>
          <w:bCs/>
          <w:color w:val="1B6B7A"/>
          <w:sz w:val="28"/>
          <w:szCs w:val="28"/>
        </w:rPr>
        <w:t xml:space="preserve">Post 1 — Semaine 1</w:t>
      </w:r>
      <w:bookmarkEnd w:id="100004"/>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Mardi 6 mai 2026 8h30</w:t>
      </w:r>
    </w:p>
    <w:p>
      <w:pPr>
        <w:spacing w:after="120" w:line="312"/>
        <w:jc w:val="both"/>
      </w:pPr>
      <w:r>
        <w:rPr>
          <w:rFonts w:ascii="Calibri"/>
          <w:b/>
          <w:bCs/>
          <w:color w:val="0A1628"/>
          <w:sz w:val="24"/>
          <w:szCs w:val="24"/>
        </w:rPr>
        <w:t xml:space="preserve">Format : </w:t>
      </w:r>
      <w:r>
        <w:rPr>
          <w:rFonts w:ascii="Calibri"/>
          <w:color w:val="1A2B40"/>
          <w:sz w:val="24"/>
          <w:szCs w:val="24"/>
        </w:rPr>
        <w:t xml:space="preserve">Hybride (Thought Leadership + Listicle + Storytelling)</w:t>
      </w:r>
    </w:p>
    <w:p>
      <w:pPr>
        <w:spacing w:after="120" w:line="312"/>
        <w:jc w:val="both"/>
      </w:pPr>
      <w:r>
        <w:rPr>
          <w:rFonts w:ascii="Calibri"/>
          <w:b/>
          <w:bCs/>
          <w:color w:val="0A1628"/>
          <w:sz w:val="24"/>
          <w:szCs w:val="24"/>
        </w:rPr>
        <w:t xml:space="preserve">Objectif : </w:t>
      </w:r>
      <w:r>
        <w:rPr>
          <w:rFonts w:ascii="Calibri"/>
          <w:color w:val="1A2B40"/>
          <w:sz w:val="24"/>
          <w:szCs w:val="24"/>
        </w:rPr>
        <w:t xml:space="preserve">Engagement massif et positionnement expert</w:t>
      </w:r>
    </w:p>
    <w:p>
      <w:pPr>
        <w:spacing w:before="100"/>
      </w:pPr>
    </w:p>
    <w:p>
      <w:pPr>
        <w:pStyle w:val="Heading3"/>
        <w:spacing w:after="120" w:before="240"/>
      </w:pPr>
      <w:bookmarkStart w:id="100005" w:name="_Toc100005"/>
      <w:r>
        <w:rPr>
          <w:rFonts w:ascii="Calibri"/>
          <w:b/>
          <w:bCs/>
          <w:color w:val="1A2B40"/>
          <w:sz w:val="24"/>
          <w:szCs w:val="24"/>
        </w:rPr>
        <w:t xml:space="preserve">Contenu du post</w:t>
      </w:r>
      <w:bookmarkEnd w:id="100005"/>
    </w:p>
    <w:p>
      <w:pPr>
        <w:spacing w:after="80" w:line="300"/>
        <w:ind w:left="360"/>
        <w:jc w:val="left"/>
      </w:pPr>
      <w:r>
        <w:rPr>
          <w:rFonts w:ascii="Calibri" w:eastAsia="Microsoft YaHei"/>
          <w:i/>
          <w:iCs/>
          <w:color w:val="1A2B40"/>
          <w:sz w:val="22"/>
          <w:szCs w:val="22"/>
        </w:rPr>
        <w:t xml:space="preserve">90% des entreprises investissent dans la data. Peu savent réellement ce que ça leur coûte.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Après avoir auditer plus de 50 écosystèmes cette année, on retrouve toujours les mêmes patterns.</w:t>
      </w:r>
    </w:p>
    <w:p>
      <w:pPr>
        <w:spacing w:after="80" w:line="300"/>
        <w:ind w:left="360"/>
        <w:jc w:val="left"/>
      </w:pPr>
      <w:r>
        <w:rPr>
          <w:rFonts w:ascii="Calibri" w:eastAsia="Microsoft YaHei"/>
          <w:i/>
          <w:iCs/>
          <w:color w:val="1A2B40"/>
          <w:sz w:val="22"/>
          <w:szCs w:val="22"/>
        </w:rPr>
        <w:t xml:space="preserve">Et ils sont coûteux. Très coûteux.</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1. Vos KPIs sont incohérents d’un département à l’autre</w:t>
      </w:r>
    </w:p>
    <w:p>
      <w:pPr>
        <w:spacing w:after="80" w:line="300"/>
        <w:ind w:left="360"/>
        <w:jc w:val="left"/>
      </w:pPr>
      <w:r>
        <w:rPr>
          <w:rFonts w:ascii="Calibri" w:eastAsia="Microsoft YaHei"/>
          <w:i/>
          <w:iCs/>
          <w:color w:val="1A2B40"/>
          <w:sz w:val="22"/>
          <w:szCs w:val="22"/>
        </w:rPr>
        <w:t xml:space="preserve">Parce que personne n’a défini une gouvernance unique.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2. Vos data scientists passent 80% de leur temps à nettoyer au lieu d’analyser</w:t>
      </w:r>
    </w:p>
    <w:p>
      <w:pPr>
        <w:spacing w:after="80" w:line="300"/>
        <w:ind w:left="360"/>
        <w:jc w:val="left"/>
      </w:pPr>
      <w:r>
        <w:rPr>
          <w:rFonts w:ascii="Calibri" w:eastAsia="Microsoft YaHei"/>
          <w:i/>
          <w:iCs/>
          <w:color w:val="1A2B40"/>
          <w:sz w:val="22"/>
          <w:szCs w:val="22"/>
        </w:rPr>
        <w:t xml:space="preserve">Le talent le plus cher, gaspillé sur des problèmes d’infrastructure.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3. Chaque équipe a son propre outil, son pipeline, sa propre « vérité »</w:t>
      </w:r>
    </w:p>
    <w:p>
      <w:pPr>
        <w:spacing w:after="80" w:line="300"/>
        <w:ind w:left="360"/>
        <w:jc w:val="left"/>
      </w:pPr>
      <w:r>
        <w:rPr>
          <w:rFonts w:ascii="Calibri" w:eastAsia="Microsoft YaHei"/>
          <w:i/>
          <w:iCs/>
          <w:color w:val="1A2B40"/>
          <w:sz w:val="22"/>
          <w:szCs w:val="22"/>
        </w:rPr>
        <w:t xml:space="preserve">La fragmentation est votre ennemi silencieux.</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4. Vos rapports nécessitent encore des ajustements manuels</w:t>
      </w:r>
    </w:p>
    <w:p>
      <w:pPr>
        <w:spacing w:after="80" w:line="300"/>
        <w:ind w:left="360"/>
        <w:jc w:val="left"/>
      </w:pPr>
      <w:r>
        <w:rPr>
          <w:rFonts w:ascii="Calibri" w:eastAsia="Microsoft YaHei"/>
          <w:i/>
          <w:iCs/>
          <w:color w:val="1A2B40"/>
          <w:sz w:val="22"/>
          <w:szCs w:val="22"/>
        </w:rPr>
        <w:t xml:space="preserve">En 2026, le manuel dans la data = dette technique accumulée.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5. Personne ne peut expliquer votre architecture de bout en bout</w:t>
      </w:r>
    </w:p>
    <w:p>
      <w:pPr>
        <w:spacing w:after="80" w:line="300"/>
        <w:ind w:left="360"/>
        <w:jc w:val="left"/>
      </w:pPr>
      <w:r>
        <w:rPr>
          <w:rFonts w:ascii="Calibri" w:eastAsia="Microsoft YaHei"/>
          <w:i/>
          <w:iCs/>
          <w:color w:val="1A2B40"/>
          <w:sz w:val="22"/>
          <w:szCs w:val="22"/>
        </w:rPr>
        <w:t xml:space="preserve">Si la connaissance réside dans une seule tête, c’est un risque business.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6. Vous investissez dans l’IA sans données gouvernées</w:t>
      </w:r>
    </w:p>
    <w:p>
      <w:pPr>
        <w:spacing w:after="80" w:line="300"/>
        <w:ind w:left="360"/>
        <w:jc w:val="left"/>
      </w:pPr>
      <w:r>
        <w:rPr>
          <w:rFonts w:ascii="Calibri" w:eastAsia="Microsoft YaHei"/>
          <w:i/>
          <w:iCs/>
          <w:color w:val="1A2B40"/>
          <w:sz w:val="22"/>
          <w:szCs w:val="22"/>
        </w:rPr>
        <w:t xml:space="preserve">Résultat : du garbage in, garbage out à l’échelle.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7. Personne ne sait combien coûte votre stack data réellement</w:t>
      </w:r>
    </w:p>
    <w:p>
      <w:pPr>
        <w:spacing w:after="80" w:line="300"/>
        <w:ind w:left="360"/>
        <w:jc w:val="left"/>
      </w:pPr>
      <w:r>
        <w:rPr>
          <w:rFonts w:ascii="Calibri" w:eastAsia="Microsoft YaHei"/>
          <w:i/>
          <w:iCs/>
          <w:color w:val="1A2B40"/>
          <w:sz w:val="22"/>
          <w:szCs w:val="22"/>
        </w:rPr>
        <w:t xml:space="preserve">Si vous ne pouvez pas le mesurer, vous ne pouvez pas l’optimiser.</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Un PDG nous a dit il y a quelques mois :</w:t>
      </w:r>
    </w:p>
    <w:p>
      <w:pPr>
        <w:spacing w:after="80" w:line="300"/>
        <w:ind w:left="360"/>
        <w:jc w:val="left"/>
      </w:pPr>
      <w:r>
        <w:rPr>
          <w:rFonts w:ascii="Calibri" w:eastAsia="Microsoft YaHei"/>
          <w:i/>
          <w:iCs/>
          <w:color w:val="1A2B40"/>
          <w:sz w:val="22"/>
          <w:szCs w:val="22"/>
        </w:rPr>
        <w:t xml:space="preserve">« On a investit 2M€ dans la data. On ne décide toujours pas plus vite qu’avant.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n’est pas un cas isolé.</w:t>
      </w:r>
    </w:p>
    <w:p>
      <w:pPr>
        <w:spacing w:after="80" w:line="300"/>
        <w:ind w:left="360"/>
        <w:jc w:val="left"/>
      </w:pPr>
      <w:r>
        <w:rPr>
          <w:rFonts w:ascii="Calibri" w:eastAsia="Microsoft YaHei"/>
          <w:i/>
          <w:iCs/>
          <w:color w:val="1A2B40"/>
          <w:sz w:val="22"/>
          <w:szCs w:val="22"/>
        </w:rPr>
        <w:t xml:space="preserve">Le problème n’est jamais l’outil. C’est la fondation.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Notre approche ? Simple et structurée :</w:t>
      </w:r>
    </w:p>
    <w:p>
      <w:pPr>
        <w:spacing w:after="80" w:line="300"/>
        <w:ind w:left="360"/>
        <w:jc w:val="left"/>
      </w:pPr>
      <w:r>
        <w:rPr>
          <w:rFonts w:ascii="Calibri" w:eastAsia="Microsoft YaHei"/>
          <w:i/>
          <w:iCs/>
          <w:color w:val="1A2B40"/>
          <w:sz w:val="22"/>
          <w:szCs w:val="22"/>
        </w:rPr>
        <w:t xml:space="preserve">1. Auditer — Cartographier vos flux et identifier les frictions</w:t>
      </w:r>
    </w:p>
    <w:p>
      <w:pPr>
        <w:spacing w:after="80" w:line="300"/>
        <w:ind w:left="360"/>
        <w:jc w:val="left"/>
      </w:pPr>
      <w:r>
        <w:rPr>
          <w:rFonts w:ascii="Calibri" w:eastAsia="Microsoft YaHei"/>
          <w:i/>
          <w:iCs/>
          <w:color w:val="1A2B40"/>
          <w:sz w:val="22"/>
          <w:szCs w:val="22"/>
        </w:rPr>
        <w:t xml:space="preserve">2. Concevoir — Bâtir une architecture robuste et alignée</w:t>
      </w:r>
    </w:p>
    <w:p>
      <w:pPr>
        <w:spacing w:after="80" w:line="300"/>
        <w:ind w:left="360"/>
        <w:jc w:val="left"/>
      </w:pPr>
      <w:r>
        <w:rPr>
          <w:rFonts w:ascii="Calibri" w:eastAsia="Microsoft YaHei"/>
          <w:i/>
          <w:iCs/>
          <w:color w:val="1A2B40"/>
          <w:sz w:val="22"/>
          <w:szCs w:val="22"/>
        </w:rPr>
        <w:t xml:space="preserve">3. Déployer — Centraliser et sécuriser votre Data Platform</w:t>
      </w:r>
    </w:p>
    <w:p>
      <w:pPr>
        <w:spacing w:after="80" w:line="300"/>
        <w:ind w:left="360"/>
        <w:jc w:val="left"/>
      </w:pPr>
      <w:r>
        <w:rPr>
          <w:rFonts w:ascii="Calibri" w:eastAsia="Microsoft YaHei"/>
          <w:i/>
          <w:iCs/>
          <w:color w:val="1A2B40"/>
          <w:sz w:val="22"/>
          <w:szCs w:val="22"/>
        </w:rPr>
        <w:t xml:space="preserve">4. Valoriser — Transformer vos données en décisions et en performance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4 mois plus tard :</w:t>
      </w:r>
    </w:p>
    <w:p>
      <w:pPr>
        <w:spacing w:after="80" w:line="300"/>
        <w:ind w:left="360"/>
        <w:jc w:val="left"/>
      </w:pPr>
      <w:r>
        <w:rPr>
          <w:rFonts w:ascii="Calibri" w:eastAsia="Microsoft YaHei"/>
          <w:i/>
          <w:iCs/>
          <w:color w:val="1A2B40"/>
          <w:sz w:val="22"/>
          <w:szCs w:val="22"/>
        </w:rPr>
        <w:t xml:space="preserve">Reporting : de 5 jours à temps réel</w:t>
      </w:r>
    </w:p>
    <w:p>
      <w:pPr>
        <w:spacing w:after="80" w:line="300"/>
        <w:ind w:left="360"/>
        <w:jc w:val="left"/>
      </w:pPr>
      <w:r>
        <w:rPr>
          <w:rFonts w:ascii="Calibri" w:eastAsia="Microsoft YaHei"/>
          <w:i/>
          <w:iCs/>
          <w:color w:val="1A2B40"/>
          <w:sz w:val="22"/>
          <w:szCs w:val="22"/>
        </w:rPr>
        <w:t xml:space="preserve">Conformité des données : de 67% à 99.2%</w:t>
      </w:r>
    </w:p>
    <w:p>
      <w:pPr>
        <w:spacing w:after="80" w:line="300"/>
        <w:ind w:left="360"/>
        <w:jc w:val="left"/>
      </w:pPr>
      <w:r>
        <w:rPr>
          <w:rFonts w:ascii="Calibri" w:eastAsia="Microsoft YaHei"/>
          <w:i/>
          <w:iCs/>
          <w:color w:val="1A2B40"/>
          <w:sz w:val="22"/>
          <w:szCs w:val="22"/>
        </w:rPr>
        <w:t xml:space="preserve">Économies sur les licences redondantes : 180K€/an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Avant d’acheter le prochain outil trendy, assurez-vous que votre maison data tient debout.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Combien de ces 7 signes vous concernent ? Dites-le en commentaire.</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#DataStrategy #IntelligenceArtificielle #SaaS #DataArchitecture #TransformationDigitale #DataSphereInnovation</w:t>
      </w:r>
    </w:p>
    <w:p>
      <w:pPr>
        <w:spacing w:before="100"/>
      </w:pPr>
    </w:p>
    <w:p>
      <w:pPr>
        <w:pBdr>
          <w:bottom w:val="single" w:color="C8DDE2" w:sz="1" w:space="10"/>
        </w:pBdr>
        <w:spacing w:after="200"/>
      </w:pPr>
      <w:r>
        <w:rPr>
          <w:sz w:val="4"/>
          <w:szCs w:val="4"/>
        </w:rPr>
        <w:t xml:space="preserve"> </w:t>
      </w:r>
    </w:p>
    <w:p>
      <w:pPr>
        <w:pStyle w:val="Heading2"/>
        <w:spacing w:after="160" w:before="360"/>
      </w:pPr>
      <w:bookmarkStart w:id="100006" w:name="_Toc100006"/>
      <w:r>
        <w:rPr>
          <w:rFonts w:ascii="Calibri"/>
          <w:b/>
          <w:bCs/>
          <w:color w:val="1B6B7A"/>
          <w:sz w:val="28"/>
          <w:szCs w:val="28"/>
        </w:rPr>
        <w:t xml:space="preserve">Post 2 — Semaine 1</w:t>
      </w:r>
      <w:bookmarkEnd w:id="100006"/>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Jeudi 8 mai 2026 8h00</w:t>
      </w:r>
    </w:p>
    <w:p>
      <w:pPr>
        <w:spacing w:after="120" w:line="312"/>
        <w:jc w:val="both"/>
      </w:pPr>
      <w:r>
        <w:rPr>
          <w:rFonts w:ascii="Calibri"/>
          <w:b/>
          <w:bCs/>
          <w:color w:val="0A1628"/>
          <w:sz w:val="24"/>
          <w:szCs w:val="24"/>
        </w:rPr>
        <w:t xml:space="preserve">Format : </w:t>
      </w:r>
      <w:r>
        <w:rPr>
          <w:rFonts w:ascii="Calibri"/>
          <w:color w:val="1A2B40"/>
          <w:sz w:val="24"/>
          <w:szCs w:val="24"/>
        </w:rPr>
        <w:t xml:space="preserve">Donnée choc (One-stat hook)</w:t>
      </w:r>
    </w:p>
    <w:p>
      <w:pPr>
        <w:spacing w:after="120" w:line="312"/>
        <w:jc w:val="both"/>
      </w:pPr>
      <w:r>
        <w:rPr>
          <w:rFonts w:ascii="Calibri"/>
          <w:b/>
          <w:bCs/>
          <w:color w:val="0A1628"/>
          <w:sz w:val="24"/>
          <w:szCs w:val="24"/>
        </w:rPr>
        <w:t xml:space="preserve">Objectif : </w:t>
      </w:r>
      <w:r>
        <w:rPr>
          <w:rFonts w:ascii="Calibri"/>
          <w:color w:val="1A2B40"/>
          <w:sz w:val="24"/>
          <w:szCs w:val="24"/>
        </w:rPr>
        <w:t xml:space="preserve">Viralité et partages massifs</w:t>
      </w:r>
    </w:p>
    <w:p>
      <w:pPr>
        <w:spacing w:before="100"/>
      </w:pPr>
    </w:p>
    <w:p>
      <w:pPr>
        <w:pStyle w:val="Heading3"/>
        <w:spacing w:after="120" w:before="240"/>
      </w:pPr>
      <w:bookmarkStart w:id="100007" w:name="_Toc100007"/>
      <w:r>
        <w:rPr>
          <w:rFonts w:ascii="Calibri"/>
          <w:b/>
          <w:bCs/>
          <w:color w:val="1A2B40"/>
          <w:sz w:val="24"/>
          <w:szCs w:val="24"/>
        </w:rPr>
        <w:t xml:space="preserve">Contenu du post</w:t>
      </w:r>
      <w:bookmarkEnd w:id="100007"/>
    </w:p>
    <w:p>
      <w:pPr>
        <w:spacing w:after="80" w:line="300"/>
        <w:ind w:left="360"/>
        <w:jc w:val="left"/>
      </w:pPr>
      <w:r>
        <w:rPr>
          <w:rFonts w:ascii="Calibri" w:eastAsia="Microsoft YaHei"/>
          <w:i/>
          <w:iCs/>
          <w:color w:val="1A2B40"/>
          <w:sz w:val="22"/>
          <w:szCs w:val="22"/>
        </w:rPr>
        <w:t xml:space="preserve">Un chiffre devrait vous empêcher de dormir cette nuit.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Selon Gartner, les entreprises perdent en moyenne 15 millions de dollars par an à cause de la mauvaise qualité de leurs données.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Pas à cause d’un manque d’outils.</w:t>
      </w:r>
    </w:p>
    <w:p>
      <w:pPr>
        <w:spacing w:after="80" w:line="300"/>
        <w:ind w:left="360"/>
        <w:jc w:val="left"/>
      </w:pPr>
      <w:r>
        <w:rPr>
          <w:rFonts w:ascii="Calibri" w:eastAsia="Microsoft YaHei"/>
          <w:i/>
          <w:iCs/>
          <w:color w:val="1A2B40"/>
          <w:sz w:val="22"/>
          <w:szCs w:val="22"/>
        </w:rPr>
        <w:t xml:space="preserve">Pas à cause d’un manque de talent.</w:t>
      </w:r>
    </w:p>
    <w:p>
      <w:pPr>
        <w:spacing w:after="80" w:line="300"/>
        <w:ind w:left="360"/>
        <w:jc w:val="left"/>
      </w:pPr>
      <w:r>
        <w:rPr>
          <w:rFonts w:ascii="Calibri" w:eastAsia="Microsoft YaHei"/>
          <w:i/>
          <w:iCs/>
          <w:color w:val="1A2B40"/>
          <w:sz w:val="22"/>
          <w:szCs w:val="22"/>
        </w:rPr>
        <w:t xml:space="preserve">Mais à cause d’un manque de fondation.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Chez DataSphere Innovation, on a cartographié le problème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 35% du temps des équipes data perdu en nettoyage</w:t>
      </w:r>
    </w:p>
    <w:p>
      <w:pPr>
        <w:spacing w:after="80" w:line="300"/>
        <w:ind w:left="360"/>
        <w:jc w:val="left"/>
      </w:pPr>
      <w:r>
        <w:rPr>
          <w:rFonts w:ascii="Calibri" w:eastAsia="Microsoft YaHei"/>
          <w:i/>
          <w:iCs/>
          <w:color w:val="1A2B40"/>
          <w:sz w:val="22"/>
          <w:szCs w:val="22"/>
        </w:rPr>
        <w:t xml:space="preserve">→ 60% des projets data abandonnés avant la production</w:t>
      </w:r>
    </w:p>
    <w:p>
      <w:pPr>
        <w:spacing w:after="80" w:line="300"/>
        <w:ind w:left="360"/>
        <w:jc w:val="left"/>
      </w:pPr>
      <w:r>
        <w:rPr>
          <w:rFonts w:ascii="Calibri" w:eastAsia="Microsoft YaHei"/>
          <w:i/>
          <w:iCs/>
          <w:color w:val="1A2B40"/>
          <w:sz w:val="22"/>
          <w:szCs w:val="22"/>
        </w:rPr>
        <w:t xml:space="preserve">→ 3x plus de coûts quand l’architecture est repensée à posteriori</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La bonne nouvelle ? Ce sont des coûts évitables.</w:t>
      </w:r>
    </w:p>
    <w:p>
      <w:pPr>
        <w:spacing w:after="80" w:line="300"/>
        <w:ind w:left="360"/>
        <w:jc w:val="left"/>
      </w:pPr>
      <w:r>
        <w:rPr>
          <w:rFonts w:ascii="Calibri" w:eastAsia="Microsoft YaHei"/>
          <w:i/>
          <w:iCs/>
          <w:color w:val="1A2B40"/>
          <w:sz w:val="22"/>
          <w:szCs w:val="22"/>
        </w:rPr>
        <w:t xml:space="preserve">La solution existe, elle est structurée et elle a un nom :</w:t>
      </w:r>
    </w:p>
    <w:p>
      <w:pPr>
        <w:spacing w:after="80" w:line="300"/>
        <w:ind w:left="360"/>
        <w:jc w:val="left"/>
      </w:pPr>
      <w:r>
        <w:rPr>
          <w:rFonts w:ascii="Calibri" w:eastAsia="Microsoft YaHei"/>
          <w:i/>
          <w:iCs/>
          <w:color w:val="1A2B40"/>
          <w:sz w:val="22"/>
          <w:szCs w:val="22"/>
        </w:rPr>
        <w:t xml:space="preserve">L’architecture data unifiée.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que nous faisons :</w:t>
      </w:r>
    </w:p>
    <w:p>
      <w:pPr>
        <w:spacing w:after="80" w:line="300"/>
        <w:ind w:left="360"/>
        <w:jc w:val="left"/>
      </w:pPr>
      <w:r>
        <w:rPr>
          <w:rFonts w:ascii="Calibri" w:eastAsia="Microsoft YaHei"/>
          <w:i/>
          <w:iCs/>
          <w:color w:val="1A2B40"/>
          <w:sz w:val="22"/>
          <w:szCs w:val="22"/>
        </w:rPr>
        <w:t xml:space="preserve">1. On audite votre écosystème existant</w:t>
      </w:r>
    </w:p>
    <w:p>
      <w:pPr>
        <w:spacing w:after="80" w:line="300"/>
        <w:ind w:left="360"/>
        <w:jc w:val="left"/>
      </w:pPr>
      <w:r>
        <w:rPr>
          <w:rFonts w:ascii="Calibri" w:eastAsia="Microsoft YaHei"/>
          <w:i/>
          <w:iCs/>
          <w:color w:val="1A2B40"/>
          <w:sz w:val="22"/>
          <w:szCs w:val="22"/>
        </w:rPr>
        <w:t xml:space="preserve">2. On identifie les redondances et les failles</w:t>
      </w:r>
    </w:p>
    <w:p>
      <w:pPr>
        <w:spacing w:after="80" w:line="300"/>
        <w:ind w:left="360"/>
        <w:jc w:val="left"/>
      </w:pPr>
      <w:r>
        <w:rPr>
          <w:rFonts w:ascii="Calibri" w:eastAsia="Microsoft YaHei"/>
          <w:i/>
          <w:iCs/>
          <w:color w:val="1A2B40"/>
          <w:sz w:val="22"/>
          <w:szCs w:val="22"/>
        </w:rPr>
        <w:t xml:space="preserve">3. On conçoit une architecture alignée avec vos objectifs business</w:t>
      </w:r>
    </w:p>
    <w:p>
      <w:pPr>
        <w:spacing w:after="80" w:line="300"/>
        <w:ind w:left="360"/>
        <w:jc w:val="left"/>
      </w:pPr>
      <w:r>
        <w:rPr>
          <w:rFonts w:ascii="Calibri" w:eastAsia="Microsoft YaHei"/>
          <w:i/>
          <w:iCs/>
          <w:color w:val="1A2B40"/>
          <w:sz w:val="22"/>
          <w:szCs w:val="22"/>
        </w:rPr>
        <w:t xml:space="preserve">4. On déploie une plateforme centralisée et gouvernée</w:t>
      </w:r>
    </w:p>
    <w:p>
      <w:pPr>
        <w:spacing w:after="80" w:line="300"/>
        <w:ind w:left="360"/>
        <w:jc w:val="left"/>
      </w:pPr>
      <w:r>
        <w:rPr>
          <w:rFonts w:ascii="Calibri" w:eastAsia="Microsoft YaHei"/>
          <w:i/>
          <w:iCs/>
          <w:color w:val="1A2B40"/>
          <w:sz w:val="22"/>
          <w:szCs w:val="22"/>
        </w:rPr>
        <w:t xml:space="preserve">5. On forme vos équipes à l’autonomie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 prix de l’inaction est connu.</w:t>
      </w:r>
    </w:p>
    <w:p>
      <w:pPr>
        <w:spacing w:after="80" w:line="300"/>
        <w:ind w:left="360"/>
        <w:jc w:val="left"/>
      </w:pPr>
      <w:r>
        <w:rPr>
          <w:rFonts w:ascii="Calibri" w:eastAsia="Microsoft YaHei"/>
          <w:i/>
          <w:iCs/>
          <w:color w:val="1A2B40"/>
          <w:sz w:val="22"/>
          <w:szCs w:val="22"/>
        </w:rPr>
        <w:t xml:space="preserve">Le prix de l’action est un investissement.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Lequel préférez-vous ?</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#DataQuality #DataStrategy #ROI #SaaS #DataSphereInnovation #TransformationDigitale</w:t>
      </w:r>
    </w:p>
    <w:p>
      <w:pPr>
        <w:spacing w:before="100"/>
      </w:pPr>
    </w:p>
    <w:p>
      <w:pPr>
        <w:pBdr>
          <w:bottom w:val="single" w:color="C8DDE2" w:sz="1" w:space="10"/>
        </w:pBdr>
        <w:spacing w:after="200"/>
      </w:pPr>
      <w:r>
        <w:rPr>
          <w:sz w:val="4"/>
          <w:szCs w:val="4"/>
        </w:rPr>
        <w:t xml:space="preserve"> </w:t>
      </w:r>
    </w:p>
    <w:p>
      <w:pPr>
        <w:pStyle w:val="Heading1"/>
        <w:spacing w:after="200" w:before="480"/>
      </w:pPr>
      <w:bookmarkStart w:id="100008" w:name="_Toc100008"/>
      <w:r>
        <w:rPr>
          <w:rFonts w:ascii="Calibri"/>
          <w:b/>
          <w:bCs/>
          <w:color w:val="0A1628"/>
          <w:sz w:val="32"/>
          <w:szCs w:val="32"/>
        </w:rPr>
        <w:t xml:space="preserve">Semaine 2 — Viralité &amp; Débat</w:t>
      </w:r>
      <w:bookmarkEnd w:id="100008"/>
    </w:p>
    <w:p>
      <w:pPr>
        <w:spacing w:after="120" w:line="312"/>
        <w:jc w:val="both"/>
      </w:pPr>
      <w:r>
        <w:rPr>
          <w:rFonts w:ascii="Calibri"/>
          <w:color w:val="1A2B40"/>
          <w:sz w:val="24"/>
          <w:szCs w:val="24"/>
        </w:rPr>
        <w:t xml:space="preserve">La deuxième semaine vise à déclencher des réactions et des débats. Le listicle éducatif favorise les sauvegardes et partages, tandis que le post controverse stimule les commentaires et propulse l’algorithme LinkedIn.</w:t>
      </w:r>
    </w:p>
    <w:p>
      <w:pPr>
        <w:pStyle w:val="Heading2"/>
        <w:spacing w:after="160" w:before="360"/>
      </w:pPr>
      <w:bookmarkStart w:id="100009" w:name="_Toc100009"/>
      <w:r>
        <w:rPr>
          <w:rFonts w:ascii="Calibri"/>
          <w:b/>
          <w:bCs/>
          <w:color w:val="1B6B7A"/>
          <w:sz w:val="28"/>
          <w:szCs w:val="28"/>
        </w:rPr>
        <w:t xml:space="preserve">Post 3 — Semaine 2</w:t>
      </w:r>
      <w:bookmarkEnd w:id="100009"/>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Mardi 13 mai 2026 8h15</w:t>
      </w:r>
    </w:p>
    <w:p>
      <w:pPr>
        <w:spacing w:after="120" w:line="312"/>
        <w:jc w:val="both"/>
      </w:pPr>
      <w:r>
        <w:rPr>
          <w:rFonts w:ascii="Calibri"/>
          <w:b/>
          <w:bCs/>
          <w:color w:val="0A1628"/>
          <w:sz w:val="24"/>
          <w:szCs w:val="24"/>
        </w:rPr>
        <w:t xml:space="preserve">Format : </w:t>
      </w:r>
      <w:r>
        <w:rPr>
          <w:rFonts w:ascii="Calibri"/>
          <w:color w:val="1A2B40"/>
          <w:sz w:val="24"/>
          <w:szCs w:val="24"/>
        </w:rPr>
        <w:t xml:space="preserve">Listicle éducatif (7 points)</w:t>
      </w:r>
    </w:p>
    <w:p>
      <w:pPr>
        <w:spacing w:after="120" w:line="312"/>
        <w:jc w:val="both"/>
      </w:pPr>
      <w:r>
        <w:rPr>
          <w:rFonts w:ascii="Calibri"/>
          <w:b/>
          <w:bCs/>
          <w:color w:val="0A1628"/>
          <w:sz w:val="24"/>
          <w:szCs w:val="24"/>
        </w:rPr>
        <w:t xml:space="preserve">Objectif : </w:t>
      </w:r>
      <w:r>
        <w:rPr>
          <w:rFonts w:ascii="Calibri"/>
          <w:color w:val="1A2B40"/>
          <w:sz w:val="24"/>
          <w:szCs w:val="24"/>
        </w:rPr>
        <w:t xml:space="preserve">Sauvegardes massives et partages</w:t>
      </w:r>
    </w:p>
    <w:p>
      <w:pPr>
        <w:spacing w:before="100"/>
      </w:pPr>
    </w:p>
    <w:p>
      <w:pPr>
        <w:pStyle w:val="Heading3"/>
        <w:spacing w:after="120" w:before="240"/>
      </w:pPr>
      <w:bookmarkStart w:id="100010" w:name="_Toc100010"/>
      <w:r>
        <w:rPr>
          <w:rFonts w:ascii="Calibri"/>
          <w:b/>
          <w:bCs/>
          <w:color w:val="1A2B40"/>
          <w:sz w:val="24"/>
          <w:szCs w:val="24"/>
        </w:rPr>
        <w:t xml:space="preserve">Contenu du post</w:t>
      </w:r>
      <w:bookmarkEnd w:id="100010"/>
    </w:p>
    <w:p>
      <w:pPr>
        <w:spacing w:after="80" w:line="300"/>
        <w:ind w:left="360"/>
        <w:jc w:val="left"/>
      </w:pPr>
      <w:r>
        <w:rPr>
          <w:rFonts w:ascii="Calibri" w:eastAsia="Microsoft YaHei"/>
          <w:i/>
          <w:iCs/>
          <w:color w:val="1A2B40"/>
          <w:sz w:val="22"/>
          <w:szCs w:val="22"/>
        </w:rPr>
        <w:t xml:space="preserve">7 signes que votre infrastructure IA est un gouffre financier.</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Après avoir auditer plus de 50 écosystèmes data cette année, voici les red flags les plus fréquents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1. Vos modèles IA tournent sur des données non gouvernées</w:t>
      </w:r>
    </w:p>
    <w:p>
      <w:pPr>
        <w:spacing w:after="80" w:line="300"/>
        <w:ind w:left="360"/>
        <w:jc w:val="left"/>
      </w:pPr>
      <w:r>
        <w:rPr>
          <w:rFonts w:ascii="Calibri" w:eastAsia="Microsoft YaHei"/>
          <w:i/>
          <w:iCs/>
          <w:color w:val="1A2B40"/>
          <w:sz w:val="22"/>
          <w:szCs w:val="22"/>
        </w:rPr>
        <w:t xml:space="preserve">Résultat : du garbage in, garbage out à l’échelle industrielle.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2. Chaque équipe a son propre pipeline, son propre outil, sa propre vérité</w:t>
      </w:r>
    </w:p>
    <w:p>
      <w:pPr>
        <w:spacing w:after="80" w:line="300"/>
        <w:ind w:left="360"/>
        <w:jc w:val="left"/>
      </w:pPr>
      <w:r>
        <w:rPr>
          <w:rFonts w:ascii="Calibri" w:eastAsia="Microsoft YaHei"/>
          <w:i/>
          <w:iCs/>
          <w:color w:val="1A2B40"/>
          <w:sz w:val="22"/>
          <w:szCs w:val="22"/>
        </w:rPr>
        <w:t xml:space="preserve">La fragmentation coûte cher. Très cher.</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3. Votre DSI ne sait pas exactement combien vous coûte votre stack IA</w:t>
      </w:r>
    </w:p>
    <w:p>
      <w:pPr>
        <w:spacing w:after="80" w:line="300"/>
        <w:ind w:left="360"/>
        <w:jc w:val="left"/>
      </w:pPr>
      <w:r>
        <w:rPr>
          <w:rFonts w:ascii="Calibri" w:eastAsia="Microsoft YaHei"/>
          <w:i/>
          <w:iCs/>
          <w:color w:val="1A2B40"/>
          <w:sz w:val="22"/>
          <w:szCs w:val="22"/>
        </w:rPr>
        <w:t xml:space="preserve">Si vous ne pouvez pas le mesurer, vous ne pouvez pas l’optimiser.</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4. Vos data scientists passent plus de temps à chercher les données qu’à les exploiter</w:t>
      </w:r>
    </w:p>
    <w:p>
      <w:pPr>
        <w:spacing w:after="80" w:line="300"/>
        <w:ind w:left="360"/>
        <w:jc w:val="left"/>
      </w:pPr>
      <w:r>
        <w:rPr>
          <w:rFonts w:ascii="Calibri" w:eastAsia="Microsoft YaHei"/>
          <w:i/>
          <w:iCs/>
          <w:color w:val="1A2B40"/>
          <w:sz w:val="22"/>
          <w:szCs w:val="22"/>
        </w:rPr>
        <w:t xml:space="preserve">Le talent le plus cher de votre entreprise, gaspillé sur des problèmes d’infrastructure.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5. Vos rapports mensuels nécessitent encore des ajustements manuels</w:t>
      </w:r>
    </w:p>
    <w:p>
      <w:pPr>
        <w:spacing w:after="80" w:line="300"/>
        <w:ind w:left="360"/>
        <w:jc w:val="left"/>
      </w:pPr>
      <w:r>
        <w:rPr>
          <w:rFonts w:ascii="Calibri" w:eastAsia="Microsoft YaHei"/>
          <w:i/>
          <w:iCs/>
          <w:color w:val="1A2B40"/>
          <w:sz w:val="22"/>
          <w:szCs w:val="22"/>
        </w:rPr>
        <w:t xml:space="preserve">En 2026, le manuel dans la data = dette technique accumulée.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6. Vos concurrents publient des insights que vous n’avez même pas encore extraits</w:t>
      </w:r>
    </w:p>
    <w:p>
      <w:pPr>
        <w:spacing w:after="80" w:line="300"/>
        <w:ind w:left="360"/>
        <w:jc w:val="left"/>
      </w:pPr>
      <w:r>
        <w:rPr>
          <w:rFonts w:ascii="Calibri" w:eastAsia="Microsoft YaHei"/>
          <w:i/>
          <w:iCs/>
          <w:color w:val="1A2B40"/>
          <w:sz w:val="22"/>
          <w:szCs w:val="22"/>
        </w:rPr>
        <w:t xml:space="preserve">Le délai entre la donnée et la décision est votre ennemi n°1.</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7. Personne dans l’entreprise ne peut expliquer l’architecture de bout en bout</w:t>
      </w:r>
    </w:p>
    <w:p>
      <w:pPr>
        <w:spacing w:after="80" w:line="300"/>
        <w:ind w:left="360"/>
        <w:jc w:val="left"/>
      </w:pPr>
      <w:r>
        <w:rPr>
          <w:rFonts w:ascii="Calibri" w:eastAsia="Microsoft YaHei"/>
          <w:i/>
          <w:iCs/>
          <w:color w:val="1A2B40"/>
          <w:sz w:val="22"/>
          <w:szCs w:val="22"/>
        </w:rPr>
        <w:t xml:space="preserve">Si la connaissance est dans la tête d’une seule personne, c’est un risque business.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Combien de ces signes vous concernent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Chez DataSphere Innovation, on transforme ces problématiques en solutions structurées : Audit, Architecture, Data Platform, BI et IA.</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Laissez un commentaire ou contactez-nous en MP pour un diagnostic de votre écosystème.</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#DataManagement #IntelligenceArtificielle #SaaS #InfrastructureIA #DataSphereInnovation</w:t>
      </w:r>
    </w:p>
    <w:p>
      <w:pPr>
        <w:spacing w:before="100"/>
      </w:pPr>
    </w:p>
    <w:p>
      <w:pPr>
        <w:pBdr>
          <w:bottom w:val="single" w:color="C8DDE2" w:sz="1" w:space="10"/>
        </w:pBdr>
        <w:spacing w:after="200"/>
      </w:pPr>
      <w:r>
        <w:rPr>
          <w:sz w:val="4"/>
          <w:szCs w:val="4"/>
        </w:rPr>
        <w:t xml:space="preserve"> </w:t>
      </w:r>
    </w:p>
    <w:p>
      <w:pPr>
        <w:pStyle w:val="Heading2"/>
        <w:spacing w:after="160" w:before="360"/>
      </w:pPr>
      <w:bookmarkStart w:id="100011" w:name="_Toc100011"/>
      <w:r>
        <w:rPr>
          <w:rFonts w:ascii="Calibri"/>
          <w:b/>
          <w:bCs/>
          <w:color w:val="1B6B7A"/>
          <w:sz w:val="28"/>
          <w:szCs w:val="28"/>
        </w:rPr>
        <w:t xml:space="preserve">Post 4 — Semaine 2</w:t>
      </w:r>
      <w:bookmarkEnd w:id="100011"/>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Jeudi 15 mai 2026 9h00</w:t>
      </w:r>
    </w:p>
    <w:p>
      <w:pPr>
        <w:spacing w:after="120" w:line="312"/>
        <w:jc w:val="both"/>
      </w:pPr>
      <w:r>
        <w:rPr>
          <w:rFonts w:ascii="Calibri"/>
          <w:b/>
          <w:bCs/>
          <w:color w:val="0A1628"/>
          <w:sz w:val="24"/>
          <w:szCs w:val="24"/>
        </w:rPr>
        <w:t xml:space="preserve">Format : </w:t>
      </w:r>
      <w:r>
        <w:rPr>
          <w:rFonts w:ascii="Calibri"/>
          <w:color w:val="1A2B40"/>
          <w:sz w:val="24"/>
          <w:szCs w:val="24"/>
        </w:rPr>
        <w:t xml:space="preserve">Controverse (Prise de position provocatrice)</w:t>
      </w:r>
    </w:p>
    <w:p>
      <w:pPr>
        <w:spacing w:after="120" w:line="312"/>
        <w:jc w:val="both"/>
      </w:pPr>
      <w:r>
        <w:rPr>
          <w:rFonts w:ascii="Calibri"/>
          <w:b/>
          <w:bCs/>
          <w:color w:val="0A1628"/>
          <w:sz w:val="24"/>
          <w:szCs w:val="24"/>
        </w:rPr>
        <w:t xml:space="preserve">Objectif : </w:t>
      </w:r>
      <w:r>
        <w:rPr>
          <w:rFonts w:ascii="Calibri"/>
          <w:color w:val="1A2B40"/>
          <w:sz w:val="24"/>
          <w:szCs w:val="24"/>
        </w:rPr>
        <w:t xml:space="preserve">Débat et commentaires</w:t>
      </w:r>
    </w:p>
    <w:p>
      <w:pPr>
        <w:spacing w:before="100"/>
      </w:pPr>
    </w:p>
    <w:p>
      <w:pPr>
        <w:pStyle w:val="Heading3"/>
        <w:spacing w:after="120" w:before="240"/>
      </w:pPr>
      <w:bookmarkStart w:id="100012" w:name="_Toc100012"/>
      <w:r>
        <w:rPr>
          <w:rFonts w:ascii="Calibri"/>
          <w:b/>
          <w:bCs/>
          <w:color w:val="1A2B40"/>
          <w:sz w:val="24"/>
          <w:szCs w:val="24"/>
        </w:rPr>
        <w:t xml:space="preserve">Contenu du post</w:t>
      </w:r>
      <w:bookmarkEnd w:id="100012"/>
    </w:p>
    <w:p>
      <w:pPr>
        <w:spacing w:after="80" w:line="300"/>
        <w:ind w:left="360"/>
        <w:jc w:val="left"/>
      </w:pPr>
      <w:r>
        <w:rPr>
          <w:rFonts w:ascii="Calibri" w:eastAsia="Microsoft YaHei"/>
          <w:i/>
          <w:iCs/>
          <w:color w:val="1A2B40"/>
          <w:sz w:val="22"/>
          <w:szCs w:val="22"/>
        </w:rPr>
        <w:t xml:space="preserve">Le cloud seul ne sauvera pas votre stratégie data.</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Je sais, c’est provocateur à dire en 2026.</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Mais après des années à déployer des infrastructures cloud pour nos clients, voici ce qu’on observe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L’erreur n°1 : migrer vers le cloud sans repenser l’architecture</w:t>
      </w:r>
    </w:p>
    <w:p>
      <w:pPr>
        <w:spacing w:after="80" w:line="300"/>
        <w:ind w:left="360"/>
        <w:jc w:val="left"/>
      </w:pPr>
      <w:r>
        <w:rPr>
          <w:rFonts w:ascii="Calibri" w:eastAsia="Microsoft YaHei"/>
          <w:i/>
          <w:iCs/>
          <w:color w:val="1A2B40"/>
          <w:sz w:val="22"/>
          <w:szCs w:val="22"/>
        </w:rPr>
        <w:t xml:space="preserve">Déplacer un problème du on-premise vers AWS ou Azure ne le résout pas. Le coûte davantage.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L’erreur n°2 : croire que le SaaS remplace la stratégie</w:t>
      </w:r>
    </w:p>
    <w:p>
      <w:pPr>
        <w:spacing w:after="80" w:line="300"/>
        <w:ind w:left="360"/>
        <w:jc w:val="left"/>
      </w:pPr>
      <w:r>
        <w:rPr>
          <w:rFonts w:ascii="Calibri" w:eastAsia="Microsoft YaHei"/>
          <w:i/>
          <w:iCs/>
          <w:color w:val="1A2B40"/>
          <w:sz w:val="22"/>
          <w:szCs w:val="22"/>
        </w:rPr>
        <w:t xml:space="preserve">Acheter 8 outils SaaS data ne fait pas une plateforme unifiée. Ça fait un zoo technologique.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L’erreur n°3 : sous-estimer la gouvernance</w:t>
      </w:r>
    </w:p>
    <w:p>
      <w:pPr>
        <w:spacing w:after="80" w:line="300"/>
        <w:ind w:left="360"/>
        <w:jc w:val="left"/>
      </w:pPr>
      <w:r>
        <w:rPr>
          <w:rFonts w:ascii="Calibri" w:eastAsia="Microsoft YaHei"/>
          <w:i/>
          <w:iCs/>
          <w:color w:val="1A2B40"/>
          <w:sz w:val="22"/>
          <w:szCs w:val="22"/>
        </w:rPr>
        <w:t xml:space="preserve">Le cloud donne un accès facile aux données. Mais facile pour tout le monde = incontrôlable.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qui fonctionne vraiment :</w:t>
      </w:r>
    </w:p>
    <w:p>
      <w:pPr>
        <w:spacing w:after="80" w:line="300"/>
        <w:ind w:left="360"/>
        <w:jc w:val="left"/>
      </w:pPr>
      <w:r>
        <w:rPr>
          <w:rFonts w:ascii="Calibri" w:eastAsia="Microsoft YaHei"/>
          <w:i/>
          <w:iCs/>
          <w:color w:val="1A2B40"/>
          <w:sz w:val="22"/>
          <w:szCs w:val="22"/>
        </w:rPr>
        <w:t xml:space="preserve">Une vision claire avant la technologie</w:t>
      </w:r>
    </w:p>
    <w:p>
      <w:pPr>
        <w:spacing w:after="80" w:line="300"/>
        <w:ind w:left="360"/>
        <w:jc w:val="left"/>
      </w:pPr>
      <w:r>
        <w:rPr>
          <w:rFonts w:ascii="Calibri" w:eastAsia="Microsoft YaHei"/>
          <w:i/>
          <w:iCs/>
          <w:color w:val="1A2B40"/>
          <w:sz w:val="22"/>
          <w:szCs w:val="22"/>
        </w:rPr>
        <w:t xml:space="preserve">Une architecture pensée pour l’évolutivité, pas pour le POC</w:t>
      </w:r>
    </w:p>
    <w:p>
      <w:pPr>
        <w:spacing w:after="80" w:line="300"/>
        <w:ind w:left="360"/>
        <w:jc w:val="left"/>
      </w:pPr>
      <w:r>
        <w:rPr>
          <w:rFonts w:ascii="Calibri" w:eastAsia="Microsoft YaHei"/>
          <w:i/>
          <w:iCs/>
          <w:color w:val="1A2B40"/>
          <w:sz w:val="22"/>
          <w:szCs w:val="22"/>
        </w:rPr>
        <w:t xml:space="preserve">Une gouvernance qui responsabilise sans bloquer</w:t>
      </w:r>
    </w:p>
    <w:p>
      <w:pPr>
        <w:spacing w:after="80" w:line="300"/>
        <w:ind w:left="360"/>
        <w:jc w:val="left"/>
      </w:pPr>
      <w:r>
        <w:rPr>
          <w:rFonts w:ascii="Calibri" w:eastAsia="Microsoft YaHei"/>
          <w:i/>
          <w:iCs/>
          <w:color w:val="1A2B40"/>
          <w:sz w:val="22"/>
          <w:szCs w:val="22"/>
        </w:rPr>
        <w:t xml:space="preserve">Des équipes formées et autonomes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 cloud est un outil puissant. Mais c’est un moyen, pas une fin.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Avant de signer votre prochain contrat cloud, posez-vous la bonne question :</w:t>
      </w:r>
    </w:p>
    <w:p>
      <w:pPr>
        <w:spacing w:after="80" w:line="300"/>
        <w:ind w:left="360"/>
        <w:jc w:val="left"/>
      </w:pPr>
      <w:r>
        <w:rPr>
          <w:rFonts w:ascii="Calibri" w:eastAsia="Microsoft YaHei"/>
          <w:i/>
          <w:iCs/>
          <w:color w:val="1A2B40"/>
          <w:sz w:val="22"/>
          <w:szCs w:val="22"/>
        </w:rPr>
        <w:t xml:space="preserve">« Est-ce que cette migration résout un problème d’architecture, ou est-ce qu’elle en crée un nouveau ?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Pas d’accord ? Dites-le en commentaire, le débat est ouvert.</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#CloudComputing #DataArchitecture #SaaS #CloudStrategy #DataSphereInnovation #IA</w:t>
      </w:r>
    </w:p>
    <w:p>
      <w:pPr>
        <w:spacing w:before="100"/>
      </w:pPr>
    </w:p>
    <w:p>
      <w:pPr>
        <w:pBdr>
          <w:bottom w:val="single" w:color="C8DDE2" w:sz="1" w:space="10"/>
        </w:pBdr>
        <w:spacing w:after="200"/>
      </w:pPr>
      <w:r>
        <w:rPr>
          <w:sz w:val="4"/>
          <w:szCs w:val="4"/>
        </w:rPr>
        <w:t xml:space="preserve"> </w:t>
      </w:r>
    </w:p>
    <w:p>
      <w:pPr>
        <w:pStyle w:val="Heading1"/>
        <w:spacing w:after="200" w:before="480"/>
      </w:pPr>
      <w:bookmarkStart w:id="100013" w:name="_Toc100013"/>
      <w:r>
        <w:rPr>
          <w:rFonts w:ascii="Calibri"/>
          <w:b/>
          <w:bCs/>
          <w:color w:val="0A1628"/>
          <w:sz w:val="32"/>
          <w:szCs w:val="32"/>
        </w:rPr>
        <w:t xml:space="preserve">Semaine 3 — Valeur &amp; Conversion</w:t>
      </w:r>
      <w:bookmarkEnd w:id="100013"/>
    </w:p>
    <w:p>
      <w:pPr>
        <w:spacing w:after="120" w:line="312"/>
        <w:jc w:val="both"/>
      </w:pPr>
      <w:r>
        <w:rPr>
          <w:rFonts w:ascii="Calibri"/>
          <w:color w:val="1A2B40"/>
          <w:sz w:val="24"/>
          <w:szCs w:val="24"/>
        </w:rPr>
        <w:t xml:space="preserve">La troisième semaine délivre du contenu actionnable. Le guide pratique encourage les sauvegardes et positionne DataSphere Innovation comme une ressource de référence. Le storytelling avec résultats chiffrés déclenche la confiance et la conversion.</w:t>
      </w:r>
    </w:p>
    <w:p>
      <w:pPr>
        <w:pStyle w:val="Heading2"/>
        <w:spacing w:after="160" w:before="360"/>
      </w:pPr>
      <w:bookmarkStart w:id="100014" w:name="_Toc100014"/>
      <w:r>
        <w:rPr>
          <w:rFonts w:ascii="Calibri"/>
          <w:b/>
          <w:bCs/>
          <w:color w:val="1B6B7A"/>
          <w:sz w:val="28"/>
          <w:szCs w:val="28"/>
        </w:rPr>
        <w:t xml:space="preserve">Post 5 — Semaine 3</w:t>
      </w:r>
      <w:bookmarkEnd w:id="100014"/>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Mardi 20 mai 2026 8h30</w:t>
      </w:r>
    </w:p>
    <w:p>
      <w:pPr>
        <w:spacing w:after="120" w:line="312"/>
        <w:jc w:val="both"/>
      </w:pPr>
      <w:r>
        <w:rPr>
          <w:rFonts w:ascii="Calibri"/>
          <w:b/>
          <w:bCs/>
          <w:color w:val="0A1628"/>
          <w:sz w:val="24"/>
          <w:szCs w:val="24"/>
        </w:rPr>
        <w:t xml:space="preserve">Format : </w:t>
      </w:r>
      <w:r>
        <w:rPr>
          <w:rFonts w:ascii="Calibri"/>
          <w:color w:val="1A2B40"/>
          <w:sz w:val="24"/>
          <w:szCs w:val="24"/>
        </w:rPr>
        <w:t xml:space="preserve">Guide pratique (Framework structuré)</w:t>
      </w:r>
    </w:p>
    <w:p>
      <w:pPr>
        <w:spacing w:after="120" w:line="312"/>
        <w:jc w:val="both"/>
      </w:pPr>
      <w:r>
        <w:rPr>
          <w:rFonts w:ascii="Calibri"/>
          <w:b/>
          <w:bCs/>
          <w:color w:val="0A1628"/>
          <w:sz w:val="24"/>
          <w:szCs w:val="24"/>
        </w:rPr>
        <w:t xml:space="preserve">Objectif : </w:t>
      </w:r>
      <w:r>
        <w:rPr>
          <w:rFonts w:ascii="Calibri"/>
          <w:color w:val="1A2B40"/>
          <w:sz w:val="24"/>
          <w:szCs w:val="24"/>
        </w:rPr>
        <w:t xml:space="preserve">Sauvegarde et autorité</w:t>
      </w:r>
    </w:p>
    <w:p>
      <w:pPr>
        <w:spacing w:before="100"/>
      </w:pPr>
    </w:p>
    <w:p>
      <w:pPr>
        <w:pStyle w:val="Heading3"/>
        <w:spacing w:after="120" w:before="240"/>
      </w:pPr>
      <w:bookmarkStart w:id="100015" w:name="_Toc100015"/>
      <w:r>
        <w:rPr>
          <w:rFonts w:ascii="Calibri"/>
          <w:b/>
          <w:bCs/>
          <w:color w:val="1A2B40"/>
          <w:sz w:val="24"/>
          <w:szCs w:val="24"/>
        </w:rPr>
        <w:t xml:space="preserve">Contenu du post</w:t>
      </w:r>
      <w:bookmarkEnd w:id="100015"/>
    </w:p>
    <w:p>
      <w:pPr>
        <w:spacing w:after="80" w:line="300"/>
        <w:ind w:left="360"/>
        <w:jc w:val="left"/>
      </w:pPr>
      <w:r>
        <w:rPr>
          <w:rFonts w:ascii="Calibri" w:eastAsia="Microsoft YaHei"/>
          <w:i/>
          <w:iCs/>
          <w:color w:val="1A2B40"/>
          <w:sz w:val="22"/>
          <w:szCs w:val="22"/>
        </w:rPr>
        <w:t xml:space="preserve">Comment passer d’une stratégie data floue à une infrastructure qui produit des résultats en 90 jours.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Voici le framework que nous utilisons chez DataSphere Innovation avec nos clients.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JOUR 1-15 : DIAGNOSTIC</w:t>
      </w:r>
    </w:p>
    <w:p>
      <w:pPr>
        <w:spacing w:after="80" w:line="300"/>
        <w:ind w:left="360"/>
        <w:jc w:val="left"/>
      </w:pPr>
      <w:r>
        <w:rPr>
          <w:rFonts w:ascii="Calibri" w:eastAsia="Microsoft YaHei"/>
          <w:i/>
          <w:iCs/>
          <w:color w:val="1A2B40"/>
          <w:sz w:val="22"/>
          <w:szCs w:val="22"/>
        </w:rPr>
        <w:t xml:space="preserve">- Cartographier toutes les sources de données</w:t>
      </w:r>
    </w:p>
    <w:p>
      <w:pPr>
        <w:spacing w:after="80" w:line="300"/>
        <w:ind w:left="360"/>
        <w:jc w:val="left"/>
      </w:pPr>
      <w:r>
        <w:rPr>
          <w:rFonts w:ascii="Calibri" w:eastAsia="Microsoft YaHei"/>
          <w:i/>
          <w:iCs/>
          <w:color w:val="1A2B40"/>
          <w:sz w:val="22"/>
          <w:szCs w:val="22"/>
        </w:rPr>
        <w:t xml:space="preserve">- Identifier les KPI critiques pour le business</w:t>
      </w:r>
    </w:p>
    <w:p>
      <w:pPr>
        <w:spacing w:after="80" w:line="300"/>
        <w:ind w:left="360"/>
        <w:jc w:val="left"/>
      </w:pPr>
      <w:r>
        <w:rPr>
          <w:rFonts w:ascii="Calibri" w:eastAsia="Microsoft YaHei"/>
          <w:i/>
          <w:iCs/>
          <w:color w:val="1A2B40"/>
          <w:sz w:val="22"/>
          <w:szCs w:val="22"/>
        </w:rPr>
        <w:t xml:space="preserve">- Quantifier le coût des problèmes existants</w:t>
      </w:r>
    </w:p>
    <w:p>
      <w:pPr>
        <w:spacing w:after="80" w:line="300"/>
        <w:ind w:left="360"/>
        <w:jc w:val="left"/>
      </w:pPr>
      <w:r>
        <w:rPr>
          <w:rFonts w:ascii="Calibri" w:eastAsia="Microsoft YaHei"/>
          <w:i/>
          <w:iCs/>
          <w:color w:val="1A2B40"/>
          <w:sz w:val="22"/>
          <w:szCs w:val="22"/>
        </w:rPr>
        <w:t xml:space="preserve">- Livrable : rapport d’audit avec recommandations prioritaires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JOUR 16-45 : ARCHITECTURE</w:t>
      </w:r>
    </w:p>
    <w:p>
      <w:pPr>
        <w:spacing w:after="80" w:line="300"/>
        <w:ind w:left="360"/>
        <w:jc w:val="left"/>
      </w:pPr>
      <w:r>
        <w:rPr>
          <w:rFonts w:ascii="Calibri" w:eastAsia="Microsoft YaHei"/>
          <w:i/>
          <w:iCs/>
          <w:color w:val="1A2B40"/>
          <w:sz w:val="22"/>
          <w:szCs w:val="22"/>
        </w:rPr>
        <w:t xml:space="preserve">- Concevoir la cible (data model, pipelines, gouvernance)</w:t>
      </w:r>
    </w:p>
    <w:p>
      <w:pPr>
        <w:spacing w:after="80" w:line="300"/>
        <w:ind w:left="360"/>
        <w:jc w:val="left"/>
      </w:pPr>
      <w:r>
        <w:rPr>
          <w:rFonts w:ascii="Calibri" w:eastAsia="Microsoft YaHei"/>
          <w:i/>
          <w:iCs/>
          <w:color w:val="1A2B40"/>
          <w:sz w:val="22"/>
          <w:szCs w:val="22"/>
        </w:rPr>
        <w:t xml:space="preserve">- Choisir la stack technologique adaptée (pas la plus trendy, la plus pertinente)</w:t>
      </w:r>
    </w:p>
    <w:p>
      <w:pPr>
        <w:spacing w:after="80" w:line="300"/>
        <w:ind w:left="360"/>
        <w:jc w:val="left"/>
      </w:pPr>
      <w:r>
        <w:rPr>
          <w:rFonts w:ascii="Calibri" w:eastAsia="Microsoft YaHei"/>
          <w:i/>
          <w:iCs/>
          <w:color w:val="1A2B40"/>
          <w:sz w:val="22"/>
          <w:szCs w:val="22"/>
        </w:rPr>
        <w:t xml:space="preserve">- Valider avec les parties prenantes métiers ET IT</w:t>
      </w:r>
    </w:p>
    <w:p>
      <w:pPr>
        <w:spacing w:after="80" w:line="300"/>
        <w:ind w:left="360"/>
        <w:jc w:val="left"/>
      </w:pPr>
      <w:r>
        <w:rPr>
          <w:rFonts w:ascii="Calibri" w:eastAsia="Microsoft YaHei"/>
          <w:i/>
          <w:iCs/>
          <w:color w:val="1A2B40"/>
          <w:sz w:val="22"/>
          <w:szCs w:val="22"/>
        </w:rPr>
        <w:t xml:space="preserve">- Livrable : blueprint technique validé</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JOUR 46-75 : DÉPLOIEMENT</w:t>
      </w:r>
    </w:p>
    <w:p>
      <w:pPr>
        <w:spacing w:after="80" w:line="300"/>
        <w:ind w:left="360"/>
        <w:jc w:val="left"/>
      </w:pPr>
      <w:r>
        <w:rPr>
          <w:rFonts w:ascii="Calibri" w:eastAsia="Microsoft YaHei"/>
          <w:i/>
          <w:iCs/>
          <w:color w:val="1A2B40"/>
          <w:sz w:val="22"/>
          <w:szCs w:val="22"/>
        </w:rPr>
        <w:t xml:space="preserve">- Implémenter la Data Platform</w:t>
      </w:r>
    </w:p>
    <w:p>
      <w:pPr>
        <w:spacing w:after="80" w:line="300"/>
        <w:ind w:left="360"/>
        <w:jc w:val="left"/>
      </w:pPr>
      <w:r>
        <w:rPr>
          <w:rFonts w:ascii="Calibri" w:eastAsia="Microsoft YaHei"/>
          <w:i/>
          <w:iCs/>
          <w:color w:val="1A2B40"/>
          <w:sz w:val="22"/>
          <w:szCs w:val="22"/>
        </w:rPr>
        <w:t xml:space="preserve">- Connecter les sources et fiabiliser les flux</w:t>
      </w:r>
    </w:p>
    <w:p>
      <w:pPr>
        <w:spacing w:after="80" w:line="300"/>
        <w:ind w:left="360"/>
        <w:jc w:val="left"/>
      </w:pPr>
      <w:r>
        <w:rPr>
          <w:rFonts w:ascii="Calibri" w:eastAsia="Microsoft YaHei"/>
          <w:i/>
          <w:iCs/>
          <w:color w:val="1A2B40"/>
          <w:sz w:val="22"/>
          <w:szCs w:val="22"/>
        </w:rPr>
        <w:t xml:space="preserve">- Mettre en place la gouvernance et les accès</w:t>
      </w:r>
    </w:p>
    <w:p>
      <w:pPr>
        <w:spacing w:after="80" w:line="300"/>
        <w:ind w:left="360"/>
        <w:jc w:val="left"/>
      </w:pPr>
      <w:r>
        <w:rPr>
          <w:rFonts w:ascii="Calibri" w:eastAsia="Microsoft YaHei"/>
          <w:i/>
          <w:iCs/>
          <w:color w:val="1A2B40"/>
          <w:sz w:val="22"/>
          <w:szCs w:val="22"/>
        </w:rPr>
        <w:t xml:space="preserve">- Livrable : plateforme opérationnelle en production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JOUR 76-90 : VALEUR</w:t>
      </w:r>
    </w:p>
    <w:p>
      <w:pPr>
        <w:spacing w:after="80" w:line="300"/>
        <w:ind w:left="360"/>
        <w:jc w:val="left"/>
      </w:pPr>
      <w:r>
        <w:rPr>
          <w:rFonts w:ascii="Calibri" w:eastAsia="Microsoft YaHei"/>
          <w:i/>
          <w:iCs/>
          <w:color w:val="1A2B40"/>
          <w:sz w:val="22"/>
          <w:szCs w:val="22"/>
        </w:rPr>
        <w:t xml:space="preserve">- Déployer les premiers cas d’usage BI</w:t>
      </w:r>
    </w:p>
    <w:p>
      <w:pPr>
        <w:spacing w:after="80" w:line="300"/>
        <w:ind w:left="360"/>
        <w:jc w:val="left"/>
      </w:pPr>
      <w:r>
        <w:rPr>
          <w:rFonts w:ascii="Calibri" w:eastAsia="Microsoft YaHei"/>
          <w:i/>
          <w:iCs/>
          <w:color w:val="1A2B40"/>
          <w:sz w:val="22"/>
          <w:szCs w:val="22"/>
        </w:rPr>
        <w:t xml:space="preserve">- Mesurer les premiers gains (temps, qualité, coût)</w:t>
      </w:r>
    </w:p>
    <w:p>
      <w:pPr>
        <w:spacing w:after="80" w:line="300"/>
        <w:ind w:left="360"/>
        <w:jc w:val="left"/>
      </w:pPr>
      <w:r>
        <w:rPr>
          <w:rFonts w:ascii="Calibri" w:eastAsia="Microsoft YaHei"/>
          <w:i/>
          <w:iCs/>
          <w:color w:val="1A2B40"/>
          <w:sz w:val="22"/>
          <w:szCs w:val="22"/>
        </w:rPr>
        <w:t xml:space="preserve">- Former les équipes à l’autonomie</w:t>
      </w:r>
    </w:p>
    <w:p>
      <w:pPr>
        <w:spacing w:after="80" w:line="300"/>
        <w:ind w:left="360"/>
        <w:jc w:val="left"/>
      </w:pPr>
      <w:r>
        <w:rPr>
          <w:rFonts w:ascii="Calibri" w:eastAsia="Microsoft YaHei"/>
          <w:i/>
          <w:iCs/>
          <w:color w:val="1A2B40"/>
          <w:sz w:val="22"/>
          <w:szCs w:val="22"/>
        </w:rPr>
        <w:t xml:space="preserve">- Livrable : ROI documenté et roadmap des prochains cas d’usage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 secret ? Ce n’est pas la technologie qui fait le succès. C’est la méthode.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Sauvegardez ce post pour votre prochain comité de direction.</w:t>
      </w:r>
    </w:p>
    <w:p>
      <w:pPr>
        <w:spacing w:after="80" w:line="300"/>
        <w:ind w:left="360"/>
        <w:jc w:val="left"/>
      </w:pPr>
      <w:r>
        <w:rPr>
          <w:rFonts w:ascii="Calibri" w:eastAsia="Microsoft YaHei"/>
          <w:i/>
          <w:iCs/>
          <w:color w:val="1A2B40"/>
          <w:sz w:val="22"/>
          <w:szCs w:val="22"/>
        </w:rPr>
        <w:t xml:space="preserve">Et si vous voulez qu’on adapte ce framework à votre contexte, les MPs sont ouverts.</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#DataStrategy #DataEngineering #BI #SaaS #TransformationDigitale #DataSphereInnovation</w:t>
      </w:r>
    </w:p>
    <w:p>
      <w:pPr>
        <w:spacing w:before="100"/>
      </w:pPr>
    </w:p>
    <w:p>
      <w:pPr>
        <w:pBdr>
          <w:bottom w:val="single" w:color="C8DDE2" w:sz="1" w:space="10"/>
        </w:pBdr>
        <w:spacing w:after="200"/>
      </w:pPr>
      <w:r>
        <w:rPr>
          <w:sz w:val="4"/>
          <w:szCs w:val="4"/>
        </w:rPr>
        <w:t xml:space="preserve"> </w:t>
      </w:r>
    </w:p>
    <w:p>
      <w:pPr>
        <w:pStyle w:val="Heading2"/>
        <w:spacing w:after="160" w:before="360"/>
      </w:pPr>
      <w:bookmarkStart w:id="100016" w:name="_Toc100016"/>
      <w:r>
        <w:rPr>
          <w:rFonts w:ascii="Calibri"/>
          <w:b/>
          <w:bCs/>
          <w:color w:val="1B6B7A"/>
          <w:sz w:val="28"/>
          <w:szCs w:val="28"/>
        </w:rPr>
        <w:t xml:space="preserve">Post 6 — Semaine 3</w:t>
      </w:r>
      <w:bookmarkEnd w:id="100016"/>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Jeudi 22 mai 2026 8h00</w:t>
      </w:r>
    </w:p>
    <w:p>
      <w:pPr>
        <w:spacing w:after="120" w:line="312"/>
        <w:jc w:val="both"/>
      </w:pPr>
      <w:r>
        <w:rPr>
          <w:rFonts w:ascii="Calibri"/>
          <w:b/>
          <w:bCs/>
          <w:color w:val="0A1628"/>
          <w:sz w:val="24"/>
          <w:szCs w:val="24"/>
        </w:rPr>
        <w:t xml:space="preserve">Format : </w:t>
      </w:r>
      <w:r>
        <w:rPr>
          <w:rFonts w:ascii="Calibri"/>
          <w:color w:val="1A2B40"/>
          <w:sz w:val="24"/>
          <w:szCs w:val="24"/>
        </w:rPr>
        <w:t xml:space="preserve">Storytelling (Cas client anonymisé)</w:t>
      </w:r>
    </w:p>
    <w:p>
      <w:pPr>
        <w:spacing w:after="120" w:line="312"/>
        <w:jc w:val="both"/>
      </w:pPr>
      <w:r>
        <w:rPr>
          <w:rFonts w:ascii="Calibri"/>
          <w:b/>
          <w:bCs/>
          <w:color w:val="0A1628"/>
          <w:sz w:val="24"/>
          <w:szCs w:val="24"/>
        </w:rPr>
        <w:t xml:space="preserve">Objectif : </w:t>
      </w:r>
      <w:r>
        <w:rPr>
          <w:rFonts w:ascii="Calibri"/>
          <w:color w:val="1A2B40"/>
          <w:sz w:val="24"/>
          <w:szCs w:val="24"/>
        </w:rPr>
        <w:t xml:space="preserve">Confiance et conversion</w:t>
      </w:r>
    </w:p>
    <w:p>
      <w:pPr>
        <w:spacing w:before="100"/>
      </w:pPr>
    </w:p>
    <w:p>
      <w:pPr>
        <w:pStyle w:val="Heading3"/>
        <w:spacing w:after="120" w:before="240"/>
      </w:pPr>
      <w:bookmarkStart w:id="100017" w:name="_Toc100017"/>
      <w:r>
        <w:rPr>
          <w:rFonts w:ascii="Calibri"/>
          <w:b/>
          <w:bCs/>
          <w:color w:val="1A2B40"/>
          <w:sz w:val="24"/>
          <w:szCs w:val="24"/>
        </w:rPr>
        <w:t xml:space="preserve">Contenu du post</w:t>
      </w:r>
      <w:bookmarkEnd w:id="100017"/>
    </w:p>
    <w:p>
      <w:pPr>
        <w:spacing w:after="80" w:line="300"/>
        <w:ind w:left="360"/>
        <w:jc w:val="left"/>
      </w:pPr>
      <w:r>
        <w:rPr>
          <w:rFonts w:ascii="Calibri" w:eastAsia="Microsoft YaHei"/>
          <w:i/>
          <w:iCs/>
          <w:color w:val="1A2B40"/>
          <w:sz w:val="22"/>
          <w:szCs w:val="22"/>
        </w:rPr>
        <w:t xml:space="preserve">Il y a 6 mois, un PDG nous a dit : « On a investi 2M€ dans la data. On ne sait toujours pas prendre une décision plus vite qu’avant.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n’est pas un cas isolé.</w:t>
      </w:r>
    </w:p>
    <w:p>
      <w:pPr>
        <w:spacing w:after="80" w:line="300"/>
        <w:ind w:left="360"/>
        <w:jc w:val="left"/>
      </w:pPr>
      <w:r>
        <w:rPr>
          <w:rFonts w:ascii="Calibri" w:eastAsia="Microsoft YaHei"/>
          <w:i/>
          <w:iCs/>
          <w:color w:val="1A2B40"/>
          <w:sz w:val="22"/>
          <w:szCs w:val="22"/>
        </w:rPr>
        <w:t xml:space="preserve">C’est le scénario que nous rencontrons le plus souvent.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Des entreprises qui investissent massivement dans les outils, les licences, les équipes... sans jamais s’attaquer au vrai problème.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Le problème n’est jamais l’outil.</w:t>
      </w:r>
    </w:p>
    <w:p>
      <w:pPr>
        <w:spacing w:after="80" w:line="300"/>
        <w:ind w:left="360"/>
        <w:jc w:val="left"/>
      </w:pPr>
      <w:r>
        <w:rPr>
          <w:rFonts w:ascii="Calibri" w:eastAsia="Microsoft YaHei"/>
          <w:i/>
          <w:iCs/>
          <w:color w:val="1A2B40"/>
          <w:sz w:val="22"/>
          <w:szCs w:val="22"/>
        </w:rPr>
        <w:t xml:space="preserve">C’est la fondation.</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PDG avait 12 outils data, 0 architecture unifiée, et 3 vérités différentes pour le même KPI.</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En 4 mois, nous avons :</w:t>
      </w:r>
    </w:p>
    <w:p>
      <w:pPr>
        <w:spacing w:after="80" w:line="300"/>
        <w:ind w:left="360"/>
        <w:jc w:val="left"/>
      </w:pPr>
      <w:r>
        <w:rPr>
          <w:rFonts w:ascii="Calibri" w:eastAsia="Microsoft YaHei"/>
          <w:i/>
          <w:iCs/>
          <w:color w:val="1A2B40"/>
          <w:sz w:val="22"/>
          <w:szCs w:val="22"/>
        </w:rPr>
        <w:t xml:space="preserve">- Auditer l’existant et cartographié les flux de données</w:t>
      </w:r>
    </w:p>
    <w:p>
      <w:pPr>
        <w:spacing w:after="80" w:line="300"/>
        <w:ind w:left="360"/>
        <w:jc w:val="left"/>
      </w:pPr>
      <w:r>
        <w:rPr>
          <w:rFonts w:ascii="Calibri" w:eastAsia="Microsoft YaHei"/>
          <w:i/>
          <w:iCs/>
          <w:color w:val="1A2B40"/>
          <w:sz w:val="22"/>
          <w:szCs w:val="22"/>
        </w:rPr>
        <w:t xml:space="preserve">- Conçu une architecture data unifiée et gouvernée</w:t>
      </w:r>
    </w:p>
    <w:p>
      <w:pPr>
        <w:spacing w:after="80" w:line="300"/>
        <w:ind w:left="360"/>
        <w:jc w:val="left"/>
      </w:pPr>
      <w:r>
        <w:rPr>
          <w:rFonts w:ascii="Calibri" w:eastAsia="Microsoft YaHei"/>
          <w:i/>
          <w:iCs/>
          <w:color w:val="1A2B40"/>
          <w:sz w:val="22"/>
          <w:szCs w:val="22"/>
        </w:rPr>
        <w:t xml:space="preserve">- Déployé une Data Platform centralisée et sécurisée</w:t>
      </w:r>
    </w:p>
    <w:p>
      <w:pPr>
        <w:spacing w:after="80" w:line="300"/>
        <w:ind w:left="360"/>
        <w:jc w:val="left"/>
      </w:pPr>
      <w:r>
        <w:rPr>
          <w:rFonts w:ascii="Calibri" w:eastAsia="Microsoft YaHei"/>
          <w:i/>
          <w:iCs/>
          <w:color w:val="1A2B40"/>
          <w:sz w:val="22"/>
          <w:szCs w:val="22"/>
        </w:rPr>
        <w:t xml:space="preserve">- Connecté les dashboards BI à une source de vérité unique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Résultat aujourd’hui ?</w:t>
      </w:r>
    </w:p>
    <w:p>
      <w:pPr>
        <w:spacing w:after="80" w:line="300"/>
        <w:ind w:left="360"/>
        <w:jc w:val="left"/>
      </w:pPr>
      <w:r>
        <w:rPr>
          <w:rFonts w:ascii="Calibri" w:eastAsia="Microsoft YaHei"/>
          <w:i/>
          <w:iCs/>
          <w:color w:val="1A2B40"/>
          <w:sz w:val="22"/>
          <w:szCs w:val="22"/>
        </w:rPr>
        <w:t xml:space="preserve">- Délai de reporting : de 5 jours à temps réel</w:t>
      </w:r>
    </w:p>
    <w:p>
      <w:pPr>
        <w:spacing w:after="80" w:line="300"/>
        <w:ind w:left="360"/>
        <w:jc w:val="left"/>
      </w:pPr>
      <w:r>
        <w:rPr>
          <w:rFonts w:ascii="Calibri" w:eastAsia="Microsoft YaHei"/>
          <w:i/>
          <w:iCs/>
          <w:color w:val="1A2B40"/>
          <w:sz w:val="22"/>
          <w:szCs w:val="22"/>
        </w:rPr>
        <w:t xml:space="preserve">- Conformité des données : de 67% à 99.2%</w:t>
      </w:r>
    </w:p>
    <w:p>
      <w:pPr>
        <w:spacing w:after="80" w:line="300"/>
        <w:ind w:left="360"/>
        <w:jc w:val="left"/>
      </w:pPr>
      <w:r>
        <w:rPr>
          <w:rFonts w:ascii="Calibri" w:eastAsia="Microsoft YaHei"/>
          <w:i/>
          <w:iCs/>
          <w:color w:val="1A2B40"/>
          <w:sz w:val="22"/>
          <w:szCs w:val="22"/>
        </w:rPr>
        <w:t xml:space="preserve">- Économies annuelles sur les licences redondantes : 180K€</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Avant d’acheter le prochain outil trendy, assurez-vous que votre maison data tient debout.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Votre écosystème data mérite mieux qu’un patchwork.</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#DataTransformation #SaaS #IA #Cloud #DataSphereInnovation #DataPlatform</w:t>
      </w:r>
    </w:p>
    <w:p>
      <w:pPr>
        <w:spacing w:before="100"/>
      </w:pPr>
    </w:p>
    <w:p>
      <w:pPr>
        <w:pBdr>
          <w:bottom w:val="single" w:color="C8DDE2" w:sz="1" w:space="10"/>
        </w:pBdr>
        <w:spacing w:after="200"/>
      </w:pPr>
      <w:r>
        <w:rPr>
          <w:sz w:val="4"/>
          <w:szCs w:val="4"/>
        </w:rPr>
        <w:t xml:space="preserve"> </w:t>
      </w:r>
    </w:p>
    <w:p>
      <w:pPr>
        <w:pStyle w:val="Heading1"/>
        <w:spacing w:after="200" w:before="480"/>
      </w:pPr>
      <w:bookmarkStart w:id="100018" w:name="_Toc100018"/>
      <w:r>
        <w:rPr>
          <w:rFonts w:ascii="Calibri"/>
          <w:b/>
          <w:bCs/>
          <w:color w:val="0A1628"/>
          <w:sz w:val="32"/>
          <w:szCs w:val="32"/>
        </w:rPr>
        <w:t xml:space="preserve">Semaine 4 — Innovation &amp; Marque</w:t>
      </w:r>
      <w:bookmarkEnd w:id="100018"/>
    </w:p>
    <w:p>
      <w:pPr>
        <w:spacing w:after="120" w:line="312"/>
        <w:jc w:val="both"/>
      </w:pPr>
      <w:r>
        <w:rPr>
          <w:rFonts w:ascii="Calibri"/>
          <w:color w:val="1A2B40"/>
          <w:sz w:val="24"/>
          <w:szCs w:val="24"/>
        </w:rPr>
        <w:t xml:space="preserve">La dernière semaine consolide le positionnement sur l’IA et renforce la marque employeur. Ces deux formats visent à attirer aussi bien des prospects que des talents, tout en renforçant la crédibilité technique de DataSphere Innovation.</w:t>
      </w:r>
    </w:p>
    <w:p>
      <w:pPr>
        <w:pStyle w:val="Heading2"/>
        <w:spacing w:after="160" w:before="360"/>
      </w:pPr>
      <w:bookmarkStart w:id="100019" w:name="_Toc100019"/>
      <w:r>
        <w:rPr>
          <w:rFonts w:ascii="Calibri"/>
          <w:b/>
          <w:bCs/>
          <w:color w:val="1B6B7A"/>
          <w:sz w:val="28"/>
          <w:szCs w:val="28"/>
        </w:rPr>
        <w:t xml:space="preserve">Post 7 — Semaine 4</w:t>
      </w:r>
      <w:bookmarkEnd w:id="100019"/>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Mardi 27 mai 2026 8h45</w:t>
      </w:r>
    </w:p>
    <w:p>
      <w:pPr>
        <w:spacing w:after="120" w:line="312"/>
        <w:jc w:val="both"/>
      </w:pPr>
      <w:r>
        <w:rPr>
          <w:rFonts w:ascii="Calibri"/>
          <w:b/>
          <w:bCs/>
          <w:color w:val="0A1628"/>
          <w:sz w:val="24"/>
          <w:szCs w:val="24"/>
        </w:rPr>
        <w:t xml:space="preserve">Format : </w:t>
      </w:r>
      <w:r>
        <w:rPr>
          <w:rFonts w:ascii="Calibri"/>
          <w:color w:val="1A2B40"/>
          <w:sz w:val="24"/>
          <w:szCs w:val="24"/>
        </w:rPr>
        <w:t xml:space="preserve">Expertise IA (Prise de position stratégique)</w:t>
      </w:r>
    </w:p>
    <w:p>
      <w:pPr>
        <w:spacing w:after="120" w:line="312"/>
        <w:jc w:val="both"/>
      </w:pPr>
      <w:r>
        <w:rPr>
          <w:rFonts w:ascii="Calibri"/>
          <w:b/>
          <w:bCs/>
          <w:color w:val="0A1628"/>
          <w:sz w:val="24"/>
          <w:szCs w:val="24"/>
        </w:rPr>
        <w:t xml:space="preserve">Objectif : </w:t>
      </w:r>
      <w:r>
        <w:rPr>
          <w:rFonts w:ascii="Calibri"/>
          <w:color w:val="1A2B40"/>
          <w:sz w:val="24"/>
          <w:szCs w:val="24"/>
        </w:rPr>
        <w:t xml:space="preserve">Positionnement thought leader IA</w:t>
      </w:r>
    </w:p>
    <w:p>
      <w:pPr>
        <w:spacing w:before="100"/>
      </w:pPr>
    </w:p>
    <w:p>
      <w:pPr>
        <w:pStyle w:val="Heading3"/>
        <w:spacing w:after="120" w:before="240"/>
      </w:pPr>
      <w:bookmarkStart w:id="100020" w:name="_Toc100020"/>
      <w:r>
        <w:rPr>
          <w:rFonts w:ascii="Calibri"/>
          <w:b/>
          <w:bCs/>
          <w:color w:val="1A2B40"/>
          <w:sz w:val="24"/>
          <w:szCs w:val="24"/>
        </w:rPr>
        <w:t xml:space="preserve">Contenu du post</w:t>
      </w:r>
      <w:bookmarkEnd w:id="100020"/>
    </w:p>
    <w:p>
      <w:pPr>
        <w:spacing w:after="80" w:line="300"/>
        <w:ind w:left="360"/>
        <w:jc w:val="left"/>
      </w:pPr>
      <w:r>
        <w:rPr>
          <w:rFonts w:ascii="Calibri" w:eastAsia="Microsoft YaHei"/>
          <w:i/>
          <w:iCs/>
          <w:color w:val="1A2B40"/>
          <w:sz w:val="22"/>
          <w:szCs w:val="22"/>
        </w:rPr>
        <w:t xml:space="preserve">L’IA générative dans l’entreprise, ce n’est pas une question de technology.</w:t>
      </w:r>
    </w:p>
    <w:p>
      <w:pPr>
        <w:spacing w:after="80" w:line="300"/>
        <w:ind w:left="360"/>
        <w:jc w:val="left"/>
      </w:pPr>
      <w:r>
        <w:rPr>
          <w:rFonts w:ascii="Calibri" w:eastAsia="Microsoft YaHei"/>
          <w:i/>
          <w:iCs/>
          <w:color w:val="1A2B40"/>
          <w:sz w:val="22"/>
          <w:szCs w:val="22"/>
        </w:rPr>
        <w:t xml:space="preserve">C’est une question d’infrastructure.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La plupart des entreprises veulent intégrer le LLM, RAG, les agents IA dans leurs processus métiers.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Mais elles oublient l’essentiel : sans une Data Platform solide, l’IA ne fait que reproduire vos erreurs à grande échelle.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On a identifié 3 piliers que chaque entreprise doit maîtriser avant de déployer l’IA :</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1. La qualité des données</w:t>
      </w:r>
    </w:p>
    <w:p>
      <w:pPr>
        <w:spacing w:after="80" w:line="300"/>
        <w:ind w:left="360"/>
        <w:jc w:val="left"/>
      </w:pPr>
      <w:r>
        <w:rPr>
          <w:rFonts w:ascii="Calibri" w:eastAsia="Microsoft YaHei"/>
          <w:i/>
          <w:iCs/>
          <w:color w:val="1A2B40"/>
          <w:sz w:val="22"/>
          <w:szCs w:val="22"/>
        </w:rPr>
        <w:t xml:space="preserve">Un modèle IA ne vaut que ce qu’il consomme. Garbage in, garbage out.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2. La gouvernance et la sécurité</w:t>
      </w:r>
    </w:p>
    <w:p>
      <w:pPr>
        <w:spacing w:after="80" w:line="300"/>
        <w:ind w:left="360"/>
        <w:jc w:val="left"/>
      </w:pPr>
      <w:r>
        <w:rPr>
          <w:rFonts w:ascii="Calibri" w:eastAsia="Microsoft YaHei"/>
          <w:i/>
          <w:iCs/>
          <w:color w:val="1A2B40"/>
          <w:sz w:val="22"/>
          <w:szCs w:val="22"/>
        </w:rPr>
        <w:t xml:space="preserve">Données sensibles, conformité RGPD, traçabilité. L’IA sans garde-fous = risque juridique.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3. L’architecture scalable</w:t>
      </w:r>
    </w:p>
    <w:p>
      <w:pPr>
        <w:spacing w:after="80" w:line="300"/>
        <w:ind w:left="360"/>
        <w:jc w:val="left"/>
      </w:pPr>
      <w:r>
        <w:rPr>
          <w:rFonts w:ascii="Calibri" w:eastAsia="Microsoft YaHei"/>
          <w:i/>
          <w:iCs/>
          <w:color w:val="1A2B40"/>
          <w:sz w:val="22"/>
          <w:szCs w:val="22"/>
        </w:rPr>
        <w:t xml:space="preserve">Un POC qui fonctionne en lab, c’est bien. Un système qui tient la charge en production, c’est autre chose.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Chez DataSphere Innovation, on ne vous vend pas un chatbot.</w:t>
      </w:r>
    </w:p>
    <w:p>
      <w:pPr>
        <w:spacing w:after="80" w:line="300"/>
        <w:ind w:left="360"/>
        <w:jc w:val="left"/>
      </w:pPr>
      <w:r>
        <w:rPr>
          <w:rFonts w:ascii="Calibri" w:eastAsia="Microsoft YaHei"/>
          <w:i/>
          <w:iCs/>
          <w:color w:val="1A2B40"/>
          <w:sz w:val="22"/>
          <w:szCs w:val="22"/>
        </w:rPr>
        <w:t xml:space="preserve">On construit les fondations qui permettent à l’IA de créer de la valeur réelle, durable et mesurable.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De l’audit à la mise en production, en passant par l’architecture et le déploiement.</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Vous êtes en réflexion sur l’IA dans votre organisation ?</w:t>
      </w:r>
    </w:p>
    <w:p>
      <w:pPr>
        <w:spacing w:after="80" w:line="300"/>
        <w:ind w:left="360"/>
        <w:jc w:val="left"/>
      </w:pPr>
      <w:r>
        <w:rPr>
          <w:rFonts w:ascii="Calibri" w:eastAsia="Microsoft YaHei"/>
          <w:i/>
          <w:iCs/>
          <w:color w:val="1A2B40"/>
          <w:sz w:val="22"/>
          <w:szCs w:val="22"/>
        </w:rPr>
        <w:t xml:space="preserve">Parlons de vos enjeux en commentaire ou en MP.</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#IntelligenceArtificielle #InfrastructureIA #SaaS #DataPlatform #DataSphereInnovation #GenAI</w:t>
      </w:r>
    </w:p>
    <w:p>
      <w:pPr>
        <w:spacing w:before="100"/>
      </w:pPr>
    </w:p>
    <w:p>
      <w:pPr>
        <w:pBdr>
          <w:bottom w:val="single" w:color="C8DDE2" w:sz="1" w:space="10"/>
        </w:pBdr>
        <w:spacing w:after="200"/>
      </w:pPr>
      <w:r>
        <w:rPr>
          <w:sz w:val="4"/>
          <w:szCs w:val="4"/>
        </w:rPr>
        <w:t xml:space="preserve"> </w:t>
      </w:r>
    </w:p>
    <w:p>
      <w:pPr>
        <w:pStyle w:val="Heading2"/>
        <w:spacing w:after="160" w:before="360"/>
      </w:pPr>
      <w:bookmarkStart w:id="100021" w:name="_Toc100021"/>
      <w:r>
        <w:rPr>
          <w:rFonts w:ascii="Calibri"/>
          <w:b/>
          <w:bCs/>
          <w:color w:val="1B6B7A"/>
          <w:sz w:val="28"/>
          <w:szCs w:val="28"/>
        </w:rPr>
        <w:t xml:space="preserve">Post 8 — Semaine 4</w:t>
      </w:r>
      <w:bookmarkEnd w:id="100021"/>
    </w:p>
    <w:p>
      <w:pPr>
        <w:spacing w:after="120" w:line="312"/>
        <w:jc w:val="both"/>
      </w:pPr>
      <w:r>
        <w:rPr>
          <w:rFonts w:ascii="Calibri"/>
          <w:b/>
          <w:bCs/>
          <w:color w:val="0A1628"/>
          <w:sz w:val="24"/>
          <w:szCs w:val="24"/>
        </w:rPr>
        <w:t xml:space="preserve">Date &amp; heure : </w:t>
      </w:r>
      <w:r>
        <w:rPr>
          <w:rFonts w:ascii="Calibri"/>
          <w:color w:val="1A2B40"/>
          <w:sz w:val="24"/>
          <w:szCs w:val="24"/>
        </w:rPr>
        <w:t xml:space="preserve">Jeudi 29 mai 2026 9h00</w:t>
      </w:r>
    </w:p>
    <w:p>
      <w:pPr>
        <w:spacing w:after="120" w:line="312"/>
        <w:jc w:val="both"/>
      </w:pPr>
      <w:r>
        <w:rPr>
          <w:rFonts w:ascii="Calibri"/>
          <w:b/>
          <w:bCs/>
          <w:color w:val="0A1628"/>
          <w:sz w:val="24"/>
          <w:szCs w:val="24"/>
        </w:rPr>
        <w:t xml:space="preserve">Format : </w:t>
      </w:r>
      <w:r>
        <w:rPr>
          <w:rFonts w:ascii="Calibri"/>
          <w:color w:val="1A2B40"/>
          <w:sz w:val="24"/>
          <w:szCs w:val="24"/>
        </w:rPr>
        <w:t xml:space="preserve">Culture &amp; Recrutement (Employer branding)</w:t>
      </w:r>
    </w:p>
    <w:p>
      <w:pPr>
        <w:spacing w:after="120" w:line="312"/>
        <w:jc w:val="both"/>
      </w:pPr>
      <w:r>
        <w:rPr>
          <w:rFonts w:ascii="Calibri"/>
          <w:b/>
          <w:bCs/>
          <w:color w:val="0A1628"/>
          <w:sz w:val="24"/>
          <w:szCs w:val="24"/>
        </w:rPr>
        <w:t xml:space="preserve">Objectif : </w:t>
      </w:r>
      <w:r>
        <w:rPr>
          <w:rFonts w:ascii="Calibri"/>
          <w:color w:val="1A2B40"/>
          <w:sz w:val="24"/>
          <w:szCs w:val="24"/>
        </w:rPr>
        <w:t xml:space="preserve">Attractivité talent et image de marque</w:t>
      </w:r>
    </w:p>
    <w:p>
      <w:pPr>
        <w:spacing w:before="100"/>
      </w:pPr>
    </w:p>
    <w:p>
      <w:pPr>
        <w:pStyle w:val="Heading3"/>
        <w:spacing w:after="120" w:before="240"/>
      </w:pPr>
      <w:bookmarkStart w:id="100022" w:name="_Toc100022"/>
      <w:r>
        <w:rPr>
          <w:rFonts w:ascii="Calibri"/>
          <w:b/>
          <w:bCs/>
          <w:color w:val="1A2B40"/>
          <w:sz w:val="24"/>
          <w:szCs w:val="24"/>
        </w:rPr>
        <w:t xml:space="preserve">Contenu du post</w:t>
      </w:r>
      <w:bookmarkEnd w:id="100022"/>
    </w:p>
    <w:p>
      <w:pPr>
        <w:spacing w:after="80" w:line="300"/>
        <w:ind w:left="360"/>
        <w:jc w:val="left"/>
      </w:pPr>
      <w:r>
        <w:rPr>
          <w:rFonts w:ascii="Calibri" w:eastAsia="Microsoft YaHei"/>
          <w:i/>
          <w:iCs/>
          <w:color w:val="1A2B40"/>
          <w:sz w:val="22"/>
          <w:szCs w:val="22"/>
        </w:rPr>
        <w:t xml:space="preserve">Pourquoi les meilleurs data engineers quittent votre entreprise en moins de 18 mois.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n’est pas le salaire. Ce n’est pas le télétravail.</w:t>
      </w:r>
    </w:p>
    <w:p>
      <w:pPr>
        <w:spacing w:after="80" w:line="300"/>
        <w:ind w:left="360"/>
        <w:jc w:val="left"/>
      </w:pPr>
      <w:r>
        <w:rPr>
          <w:rFonts w:ascii="Calibri" w:eastAsia="Microsoft YaHei"/>
          <w:i/>
          <w:iCs/>
          <w:color w:val="1A2B40"/>
          <w:sz w:val="22"/>
          <w:szCs w:val="22"/>
        </w:rPr>
        <w:t xml:space="preserve">C’est l’infrastructure.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Imaginez-vous : Vous êtes un data engineer talentueux. Vous arrivez dans une entreprise motivé à construire.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Et là vous découvrez :</w:t>
      </w:r>
    </w:p>
    <w:p>
      <w:pPr>
        <w:spacing w:after="80" w:line="300"/>
        <w:ind w:left="360"/>
        <w:jc w:val="left"/>
      </w:pPr>
      <w:r>
        <w:rPr>
          <w:rFonts w:ascii="Calibri" w:eastAsia="Microsoft YaHei"/>
          <w:i/>
          <w:iCs/>
          <w:color w:val="1A2B40"/>
          <w:sz w:val="22"/>
          <w:szCs w:val="22"/>
        </w:rPr>
        <w:t xml:space="preserve">- 15 sources de données non documentées</w:t>
      </w:r>
    </w:p>
    <w:p>
      <w:pPr>
        <w:spacing w:after="80" w:line="300"/>
        <w:ind w:left="360"/>
        <w:jc w:val="left"/>
      </w:pPr>
      <w:r>
        <w:rPr>
          <w:rFonts w:ascii="Calibri" w:eastAsia="Microsoft YaHei"/>
          <w:i/>
          <w:iCs/>
          <w:color w:val="1A2B40"/>
          <w:sz w:val="22"/>
          <w:szCs w:val="22"/>
        </w:rPr>
        <w:t xml:space="preserve">- 0 pipeline automatisé</w:t>
      </w:r>
    </w:p>
    <w:p>
      <w:pPr>
        <w:spacing w:after="80" w:line="300"/>
        <w:ind w:left="360"/>
        <w:jc w:val="left"/>
      </w:pPr>
      <w:r>
        <w:rPr>
          <w:rFonts w:ascii="Calibri" w:eastAsia="Microsoft YaHei"/>
          <w:i/>
          <w:iCs/>
          <w:color w:val="1A2B40"/>
          <w:sz w:val="22"/>
          <w:szCs w:val="22"/>
        </w:rPr>
        <w:t xml:space="preserve">- Des accès manuels via des exports Excel</w:t>
      </w:r>
    </w:p>
    <w:p>
      <w:pPr>
        <w:spacing w:after="80" w:line="300"/>
        <w:ind w:left="360"/>
        <w:jc w:val="left"/>
      </w:pPr>
      <w:r>
        <w:rPr>
          <w:rFonts w:ascii="Calibri" w:eastAsia="Microsoft YaHei"/>
          <w:i/>
          <w:iCs/>
          <w:color w:val="1A2B40"/>
          <w:sz w:val="22"/>
          <w:szCs w:val="22"/>
        </w:rPr>
        <w:t xml:space="preserve">- Un data lake qui ressemble plutôt à un data marais</w:t>
      </w:r>
    </w:p>
    <w:p>
      <w:pPr>
        <w:spacing w:after="80" w:line="300"/>
        <w:ind w:left="360"/>
        <w:jc w:val="left"/>
      </w:pPr>
      <w:r>
        <w:rPr>
          <w:rFonts w:ascii="Calibri" w:eastAsia="Microsoft YaHei"/>
          <w:i/>
          <w:iCs/>
          <w:color w:val="1A2B40"/>
          <w:sz w:val="22"/>
          <w:szCs w:val="22"/>
        </w:rPr>
        <w:t xml:space="preserve">- Personne ne comprend le legacy</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Résultat ?</w:t>
      </w:r>
    </w:p>
    <w:p>
      <w:pPr>
        <w:spacing w:after="80" w:line="300"/>
        <w:ind w:left="360"/>
        <w:jc w:val="left"/>
      </w:pPr>
      <w:r>
        <w:rPr>
          <w:rFonts w:ascii="Calibri" w:eastAsia="Microsoft YaHei"/>
          <w:i/>
          <w:iCs/>
          <w:color w:val="1A2B40"/>
          <w:sz w:val="22"/>
          <w:szCs w:val="22"/>
        </w:rPr>
        <w:t xml:space="preserve">Après 6 mois, vous passez votre temps à débugger au lieu d’innover.</w:t>
      </w:r>
    </w:p>
    <w:p>
      <w:pPr>
        <w:spacing w:after="80" w:line="300"/>
        <w:ind w:left="360"/>
        <w:jc w:val="left"/>
      </w:pPr>
      <w:r>
        <w:rPr>
          <w:rFonts w:ascii="Calibri" w:eastAsia="Microsoft YaHei"/>
          <w:i/>
          <w:iCs/>
          <w:color w:val="1A2B40"/>
          <w:sz w:val="22"/>
          <w:szCs w:val="22"/>
        </w:rPr>
        <w:t xml:space="preserve">Après 12 mois, vous êtes frustré.</w:t>
      </w:r>
    </w:p>
    <w:p>
      <w:pPr>
        <w:spacing w:after="80" w:line="300"/>
        <w:ind w:left="360"/>
        <w:jc w:val="left"/>
      </w:pPr>
      <w:r>
        <w:rPr>
          <w:rFonts w:ascii="Calibri" w:eastAsia="Microsoft YaHei"/>
          <w:i/>
          <w:iCs/>
          <w:color w:val="1A2B40"/>
          <w:sz w:val="22"/>
          <w:szCs w:val="22"/>
        </w:rPr>
        <w:t xml:space="preserve">Après 18 mois, vous démissionnez.</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Ce cycle coûte cher. Très cher.</w:t>
      </w:r>
    </w:p>
    <w:p>
      <w:pPr>
        <w:spacing w:after="80" w:line="300"/>
        <w:ind w:left="360"/>
        <w:jc w:val="left"/>
      </w:pPr>
      <w:r>
        <w:rPr>
          <w:rFonts w:ascii="Calibri" w:eastAsia="Microsoft YaHei"/>
          <w:i/>
          <w:iCs/>
          <w:color w:val="1A2B40"/>
          <w:sz w:val="22"/>
          <w:szCs w:val="22"/>
        </w:rPr>
        <w:t xml:space="preserve">Récupération : 3 mois. Onboarding : 6 mois. Productivité : 12 mois.</w:t>
      </w:r>
    </w:p>
    <w:p>
      <w:pPr>
        <w:spacing w:after="80" w:line="300"/>
        <w:ind w:left="360"/>
        <w:jc w:val="left"/>
      </w:pPr>
      <w:r>
        <w:rPr>
          <w:rFonts w:ascii="Calibri" w:eastAsia="Microsoft YaHei"/>
          <w:i/>
          <w:iCs/>
          <w:color w:val="1A2B40"/>
          <w:sz w:val="22"/>
          <w:szCs w:val="22"/>
        </w:rPr>
        <w:t xml:space="preserve">Coût total par départ : entre 80K€ et 150K€.</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La solution n’est pas de mieux recruter.</w:t>
      </w:r>
    </w:p>
    <w:p>
      <w:pPr>
        <w:spacing w:after="80" w:line="300"/>
        <w:ind w:left="360"/>
        <w:jc w:val="left"/>
      </w:pPr>
      <w:r>
        <w:rPr>
          <w:rFonts w:ascii="Calibri" w:eastAsia="Microsoft YaHei"/>
          <w:i/>
          <w:iCs/>
          <w:color w:val="1A2B40"/>
          <w:sz w:val="22"/>
          <w:szCs w:val="22"/>
        </w:rPr>
        <w:t xml:space="preserve">Elle est de mieux équiper.</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Chez DataSphere Innovation, nous concevons des environnements data où les talents veulent rester.</w:t>
      </w:r>
    </w:p>
    <w:p>
      <w:pPr>
        <w:spacing w:after="80" w:line="300"/>
        <w:ind w:left="360"/>
        <w:jc w:val="left"/>
      </w:pPr>
      <w:r>
        <w:rPr>
          <w:rFonts w:ascii="Calibri" w:eastAsia="Microsoft YaHei"/>
          <w:i/>
          <w:iCs/>
          <w:color w:val="1A2B40"/>
          <w:sz w:val="22"/>
          <w:szCs w:val="22"/>
        </w:rPr>
        <w:t xml:space="preserve">Des architectures claires. Des outils modernes. De la documentation accessible. De l’autonomie.</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Parce que le meilleur investissement data, c’est celui qui retient vos meilleurs talents.</w:t>
      </w:r>
    </w:p>
    <w:p>
      <w:pPr>
        <w:spacing w:after="80" w:line="300"/>
        <w:ind w:left="360"/>
        <w:jc w:val="left"/>
      </w:pPr>
      <w:r>
        <w:rPr>
          <w:rFonts w:ascii="Calibri" w:eastAsia="Microsoft YaHei"/>
          <w:i/>
          <w:iCs/>
          <w:color w:val="1A2B40"/>
          <w:sz w:val="22"/>
          <w:szCs w:val="22"/>
        </w:rPr>
        <w:t xml:space="preserve"/>
      </w:r>
    </w:p>
    <w:p>
      <w:pPr>
        <w:spacing w:after="80" w:line="300"/>
        <w:ind w:left="360"/>
        <w:jc w:val="left"/>
      </w:pPr>
      <w:r>
        <w:rPr>
          <w:rFonts w:ascii="Calibri" w:eastAsia="Microsoft YaHei"/>
          <w:i/>
          <w:iCs/>
          <w:color w:val="1A2B40"/>
          <w:sz w:val="22"/>
          <w:szCs w:val="22"/>
        </w:rPr>
        <w:t xml:space="preserve">Si ce post résonne, partagez-le avec votre CTO.</w:t>
      </w:r>
    </w:p>
    <w:p>
      <w:pPr>
        <w:spacing w:before="80"/>
      </w:pPr>
    </w:p>
    <w:p>
      <w:pPr>
        <w:spacing w:after="120" w:line="312"/>
        <w:jc w:val="both"/>
      </w:pPr>
      <w:r>
        <w:rPr>
          <w:rFonts w:ascii="Calibri"/>
          <w:b/>
          <w:bCs/>
          <w:color w:val="0A1628"/>
          <w:sz w:val="24"/>
          <w:szCs w:val="24"/>
        </w:rPr>
        <w:t xml:space="preserve">Hashtags : </w:t>
      </w:r>
      <w:r>
        <w:rPr>
          <w:rFonts w:ascii="Calibri"/>
          <w:color w:val="1A2B40"/>
          <w:sz w:val="24"/>
          <w:szCs w:val="24"/>
        </w:rPr>
        <w:t xml:space="preserve">#DataEngineering #TalentRetention #TechCulture #SaaS #DataSphereInnovation #DataTalent</w:t>
      </w:r>
    </w:p>
    <w:p>
      <w:pPr>
        <w:spacing w:before="100"/>
      </w:pPr>
    </w:p>
    <w:p>
      <w:pPr>
        <w:pBdr>
          <w:bottom w:val="single" w:color="C8DDE2" w:sz="1" w:space="10"/>
        </w:pBdr>
        <w:spacing w:after="200"/>
      </w:pPr>
      <w:r>
        <w:rPr>
          <w:sz w:val="4"/>
          <w:szCs w:val="4"/>
        </w:rPr>
        <w:t xml:space="preserve"> </w:t>
      </w:r>
    </w:p>
    <w:p>
      <w:pPr>
        <w:pStyle w:val="Heading1"/>
        <w:spacing w:after="200" w:before="480"/>
      </w:pPr>
      <w:bookmarkStart w:id="100023" w:name="_Toc100023"/>
      <w:r>
        <w:rPr>
          <w:rFonts w:ascii="Calibri"/>
          <w:b/>
          <w:bCs/>
          <w:color w:val="0A1628"/>
          <w:sz w:val="32"/>
          <w:szCs w:val="32"/>
        </w:rPr>
        <w:t xml:space="preserve">Bonnes pratiques &amp; KPI</w:t>
      </w:r>
      <w:bookmarkEnd w:id="100023"/>
    </w:p>
    <w:p>
      <w:pPr>
        <w:pStyle w:val="Heading2"/>
        <w:spacing w:after="160" w:before="360"/>
      </w:pPr>
      <w:bookmarkStart w:id="100024" w:name="_Toc100024"/>
      <w:r>
        <w:rPr>
          <w:rFonts w:ascii="Calibri"/>
          <w:b/>
          <w:bCs/>
          <w:color w:val="1B6B7A"/>
          <w:sz w:val="28"/>
          <w:szCs w:val="28"/>
        </w:rPr>
        <w:t xml:space="preserve">KPI de suivi mensuel</w:t>
      </w:r>
      <w:bookmarkEnd w:id="100024"/>
    </w:p>
    <w:p>
      <w:pPr>
        <w:spacing w:after="120" w:line="312"/>
        <w:jc w:val="both"/>
      </w:pPr>
      <w:r>
        <w:rPr>
          <w:rFonts w:ascii="Calibri"/>
          <w:color w:val="1A2B40"/>
          <w:sz w:val="24"/>
          <w:szCs w:val="24"/>
        </w:rPr>
        <w:t xml:space="preserve">Pour mesurer l’efficacité de votre stratégie LinkedIn, suivez ces indicateurs clés chaque semaine. Comparez les résultats d’un mois sur l’autre pour identifier les formats et thèmes qui performent le mieux, puis ajustez le planning en conséquence.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Indicateur</w:t>
            </w:r>
          </w:p>
        </w:tc>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Objectif mensuel</w:t>
            </w:r>
          </w:p>
        </w:tc>
        <w:tc>
          <w:tcPr>
            <w:tcW w:type="pct" w:w="4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Méthode de mesure</w:t>
            </w:r>
          </w:p>
        </w:tc>
      </w:tr>
      <w:tr>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Impressions</w:t>
            </w:r>
          </w:p>
        </w:tc>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50 000+</w:t>
            </w:r>
          </w:p>
        </w:tc>
        <w:tc>
          <w:tcPr>
            <w:tcW w:type="pct" w:w="4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Statistiques LinkedIn de la page</w:t>
            </w:r>
          </w:p>
        </w:tc>
      </w:tr>
      <w:tr>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Engagement rate</w:t>
            </w:r>
          </w:p>
        </w:tc>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&gt; 3%</w:t>
            </w:r>
          </w:p>
        </w:tc>
        <w:tc>
          <w:tcPr>
            <w:tcW w:type="pct" w:w="4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(Likes + Comments + Shares) / Impressions</w:t>
            </w:r>
          </w:p>
        </w:tc>
      </w:tr>
      <w:tr>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Commentaires / post</w:t>
            </w:r>
          </w:p>
        </w:tc>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&gt; 15</w:t>
            </w:r>
          </w:p>
        </w:tc>
        <w:tc>
          <w:tcPr>
            <w:tcW w:type="pct" w:w="4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Nombre moyen de commentaires reçus</w:t>
            </w:r>
          </w:p>
        </w:tc>
      </w:tr>
      <w:tr>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Sauvegardes</w:t>
            </w:r>
          </w:p>
        </w:tc>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&gt; 50 / mois</w:t>
            </w:r>
          </w:p>
        </w:tc>
        <w:tc>
          <w:tcPr>
            <w:tcW w:type="pct" w:w="4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Nombre de sauvegardes du post</w:t>
            </w:r>
          </w:p>
        </w:tc>
      </w:tr>
      <w:tr>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Partages</w:t>
            </w:r>
          </w:p>
        </w:tc>
        <w:tc>
          <w:tcPr>
            <w:tcW w:type="pct" w:w="3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&gt; 20 / mois</w:t>
            </w:r>
          </w:p>
        </w:tc>
        <w:tc>
          <w:tcPr>
            <w:tcW w:type="pct" w:w="40%"/>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Nombre total de partages</w:t>
            </w:r>
          </w:p>
        </w:tc>
      </w:tr>
      <w:tr>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Abonnés page</w:t>
            </w:r>
          </w:p>
        </w:tc>
        <w:tc>
          <w:tcPr>
            <w:tcW w:type="pct" w:w="3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+100 / mois</w:t>
            </w:r>
          </w:p>
        </w:tc>
        <w:tc>
          <w:tcPr>
            <w:tcW w:type="pct" w:w="40%"/>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Évolution du nombre d’abonnés</w:t>
            </w:r>
          </w:p>
        </w:tc>
      </w:tr>
    </w:tbl>
    <w:p>
      <w:pPr>
        <w:pStyle w:val="Heading2"/>
        <w:spacing w:after="160" w:before="360"/>
      </w:pPr>
      <w:bookmarkStart w:id="100025" w:name="_Toc100025"/>
      <w:r>
        <w:rPr>
          <w:rFonts w:ascii="Calibri"/>
          <w:b/>
          <w:bCs/>
          <w:color w:val="1B6B7A"/>
          <w:sz w:val="28"/>
          <w:szCs w:val="28"/>
        </w:rPr>
        <w:t xml:space="preserve">Règles d’or pour maximiser le reach</w:t>
      </w:r>
      <w:bookmarkEnd w:id="100025"/>
    </w:p>
    <w:p>
      <w:pPr>
        <w:spacing w:after="120" w:line="312"/>
        <w:jc w:val="both"/>
      </w:pPr>
      <w:r>
        <w:rPr>
          <w:rFonts w:ascii="Calibri"/>
          <w:color w:val="1A2B40"/>
          <w:sz w:val="24"/>
          <w:szCs w:val="24"/>
        </w:rPr>
        <w:t xml:space="preserve">Publiez toujours entre 8h00 et 9h30, l’audience B2B étant la plus active à ce moment. Répondez systématiquement à chaque commentaire dans les 2 heures suivant la publication, car cela envoie un signal positif à l’algorithme LinkedIn et maintient l’engagement. N’ajoutez jamais un lien URL directement dans le corps du post ; préférez le placer dans le premier commentaire pour éviter la pénalité de reach imposée par LinkedIn aux posts avec liens externes. Accompagnez chaque post d’une image ou infographie de DataSphere Innovation pour augmenter le taux d’arrêt dans le fil d’actualité. Ne publiez jamais le week-end, l’audience B2B étant quasi inexistante. Enfin, variez régulièrement les formats pour éviter la lassitude de l’audience et maintenir un taux d’engagement élevé.</w:t>
      </w:r>
    </w:p>
    <w:p>
      <w:pPr>
        <w:pStyle w:val="Heading2"/>
        <w:spacing w:after="160" w:before="360"/>
      </w:pPr>
      <w:bookmarkStart w:id="100026" w:name="_Toc100026"/>
      <w:r>
        <w:rPr>
          <w:rFonts w:ascii="Calibri"/>
          <w:b/>
          <w:bCs/>
          <w:color w:val="1B6B7A"/>
          <w:sz w:val="28"/>
          <w:szCs w:val="28"/>
        </w:rPr>
        <w:t xml:space="preserve">Bibliothèque de hashtags recommandés</w:t>
      </w:r>
      <w:bookmarkEnd w:id="100026"/>
    </w:p>
    <w:p>
      <w:pPr>
        <w:spacing w:after="120" w:line="312"/>
        <w:jc w:val="both"/>
      </w:pPr>
      <w:r>
        <w:rPr>
          <w:rFonts w:ascii="Calibri"/>
          <w:color w:val="1A2B40"/>
          <w:sz w:val="24"/>
          <w:szCs w:val="24"/>
        </w:rPr>
        <w:t xml:space="preserve">Utilisez 3 à 5 hashtags par post, en alternant entre hashtags généraux pour la portée et hashtags de niche pour la qualité de l’audience. Voici les hashtags les plus performants pour le secteur de DataSphere Innovation, classés par catégorie.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Catégorie</w:t>
            </w:r>
          </w:p>
        </w:tc>
        <w:tc>
          <w:tcPr>
            <w:tcW w:type="pct" w:w="7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0"/>
                <w:szCs w:val="20"/>
              </w:rPr>
              <w:t xml:space="preserve">Hashtags</w:t>
            </w:r>
          </w:p>
        </w:tc>
      </w:tr>
      <w:tr>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Data &amp; Analytics</w:t>
            </w:r>
          </w:p>
        </w:tc>
        <w:tc>
          <w:tcPr>
            <w:tcW w:type="pct" w:w="7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#DataStrategy #DataQuality #DataEngineering #DataArchitecture #DataGovernance #DataPlatform #BI #Analytics #DataTransformation #DataDriven</w:t>
            </w:r>
          </w:p>
        </w:tc>
      </w:tr>
      <w:tr>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IA &amp; Innovation</w:t>
            </w:r>
          </w:p>
        </w:tc>
        <w:tc>
          <w:tcPr>
            <w:tcW w:type="pct" w:w="7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#IntelligenceArtificielle #IA #MachineLearning #GenAI #RAG #InfrastructureIA #SaaS #CloudComputing #TransformationDigitale #Innovation</w:t>
            </w:r>
          </w:p>
        </w:tc>
      </w:tr>
      <w:tr>
        <w:tc>
          <w:tcPr>
            <w:tcW w:type="pct" w:w="2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b/>
                <w:bCs/>
                <w:color w:val="0A1628"/>
                <w:sz w:val="20"/>
                <w:szCs w:val="20"/>
              </w:rPr>
              <w:t xml:space="preserve">Business B2B</w:t>
            </w:r>
          </w:p>
        </w:tc>
        <w:tc>
          <w:tcPr>
            <w:tcW w:type="pct" w:w="75%"/>
            <w:tcBorders>
              <w:top w:val="none" w:color="FFFFFF" w:sz="0"/>
              <w:left w:val="none" w:color="FFFFFF" w:sz="0"/>
              <w:bottom w:val="single" w:color="C8DDE2" w:sz="1"/>
              <w:right w:val="none" w:color="FFFFFF" w:sz="0"/>
            </w:tcBorders>
            <w:tcMar>
              <w:top w:type="dxa" w:w="60"/>
              <w:left w:type="dxa" w:w="120"/>
              <w:bottom w:type="dxa" w:w="60"/>
              <w:right w:type="dxa" w:w="120"/>
            </w:tcMar>
          </w:tcPr>
          <w:p>
            <w:r>
              <w:rPr>
                <w:rFonts w:ascii="Calibri"/>
                <w:color w:val="1A2B40"/>
                <w:sz w:val="20"/>
                <w:szCs w:val="20"/>
              </w:rPr>
              <w:t xml:space="preserve">#Leadership #Management #ROI #Productivité #DigitalTransformation #TechTalent #B2B #DecisionMaking #GrowthStrategy</w:t>
            </w:r>
          </w:p>
        </w:tc>
      </w:tr>
      <w:tr>
        <w:tc>
          <w:tcPr>
            <w:tcW w:type="pct" w:w="2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b/>
                <w:bCs/>
                <w:color w:val="0A1628"/>
                <w:sz w:val="20"/>
                <w:szCs w:val="20"/>
              </w:rPr>
              <w:t xml:space="preserve">Marque</w:t>
            </w:r>
          </w:p>
        </w:tc>
        <w:tc>
          <w:tcPr>
            <w:tcW w:type="pct" w:w="75%"/>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r>
              <w:rPr>
                <w:rFonts w:ascii="Calibri"/>
                <w:color w:val="1A2B40"/>
                <w:sz w:val="20"/>
                <w:szCs w:val="20"/>
              </w:rPr>
              <w:t xml:space="preserve">#DataSphereInnovation #DataManagement #SaaS #Cloud #SécuritéInformatique #DéveloppementSurMesure #Automatisation</w:t>
            </w:r>
          </w:p>
        </w:tc>
      </w:tr>
    </w:tbl>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DataSphere Innovation | Planning LinkedIn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DataSphere Innovation | Planning LinkedIn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A1628"/>
      <w:sz w:val="32"/>
      <w:szCs w:val="32"/>
    </w:rPr>
  </w:style>
  <w:style w:type="paragraph" w:styleId="Heading2">
    <w:pPr>
      <w:outlineLvl w:val="1"/>
    </w:pPr>
    <w:name w:val="Heading 2"/>
    <w:basedOn w:val="Normal"/>
    <w:next w:val="Normal"/>
    <w:qFormat/>
    <w:rPr>
      <w:rFonts w:ascii="Calibri" w:eastAsia="SimHei"/>
      <w:b/>
      <w:bCs/>
      <w:color w:val="1B6B7A"/>
      <w:sz w:val="28"/>
      <w:szCs w:val="28"/>
    </w:rPr>
  </w:style>
  <w:style w:type="paragraph" w:styleId="Heading3">
    <w:pPr>
      <w:outlineLvl w:val="2"/>
    </w:pPr>
    <w:name w:val="Heading 3"/>
    <w:basedOn w:val="Normal"/>
    <w:next w:val="Normal"/>
    <w:qFormat/>
    <w:rPr>
      <w:rFonts w:ascii="Calibri" w:eastAsia="SimHe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2026-05-02T15:51:14.686Z</dcterms:created>
  <dcterms:modified xsi:type="dcterms:W3CDTF">2026-05-02T15:51:14.686Z</dcterms:modified>
</cp:coreProperties>
</file>

<file path=docProps/custom.xml><?xml version="1.0" encoding="utf-8"?>
<Properties xmlns="http://schemas.openxmlformats.org/officeDocument/2006/custom-properties" xmlns:vt="http://schemas.openxmlformats.org/officeDocument/2006/docPropsVTypes"/>
</file>