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Guide de Lancement Commercial</w:t>
      </w:r>
    </w:p>
    <w:p>
      <w:pPr>
        <w:spacing w:after="200"/>
        <w:jc w:val="center"/>
      </w:pPr>
      <w:r>
        <w:rPr>
          <w:color w:val="64748B"/>
          <w:sz w:val="22"/>
          <w:szCs w:val="22"/>
        </w:rPr>
        <w:t xml:space="preserve">Restaurant OS - Stratégie Go-to-Market Afrique</w:t>
      </w:r>
    </w:p>
    <w:p>
      <w:pPr>
        <w:spacing w:after="400"/>
        <w:jc w:val="center"/>
      </w:pPr>
      <w:r>
        <w:rPr>
          <w:color w:val="94A3B8"/>
          <w:sz w:val="20"/>
          <w:szCs w:val="20"/>
        </w:rPr>
        <w:t xml:space="preserve">Version 1.0 - Mars 2026</w:t>
      </w:r>
    </w:p>
    <w:p>
      <w:pPr>
        <w:pStyle w:val="Heading1"/>
      </w:pPr>
      <w:r>
        <w:t xml:space="preserve">Résumé Exécutif</w:t>
      </w:r>
    </w:p>
    <w:p>
      <w:pPr>
        <w:spacing w:after="300"/>
      </w:pPr>
      <w:r>
        <w:rPr>
          <w:color w:val="1E293B"/>
        </w:rPr>
        <w:t xml:space="preserve">Restaurant OS est une plateforme SaaS de gestion de restaurants conçue spécifiquement pour le marché africain. Avec son intégration native des Mobile Money (Orange Money, MTN MoMo, Wave, M-Pesa), son système de livraison moto optimisé et son support offline-first, Restaurant OS répond aux défis uniques du secteur de la restauration en Afrique. Ce guide présente la stratégie de lancement commercial avec un focus initial sur la Côte d'Ivoire, suivie d'une expansion au Sénégal, Cameroun et Kenya.</w:t>
      </w:r>
    </w:p>
    <w:p>
      <w:pPr>
        <w:pStyle w:val="Heading1"/>
      </w:pPr>
      <w:r>
        <w:t xml:space="preserve">Phase 1 : Préparation (Semaines 1-4)</w:t>
      </w:r>
    </w:p>
    <w:p>
      <w:pPr>
        <w:pStyle w:val="Heading2"/>
      </w:pPr>
      <w:r>
        <w:t xml:space="preserve">1.1 Checklist Technique</w:t>
      </w:r>
    </w:p>
    <w:p>
      <w:pPr>
        <w:pStyle w:val="ListParagraph"/>
        <w:numPr>
          <w:ilvl w:val="0"/>
          <w:numId w:val="2"/>
        </w:numPr>
      </w:pPr>
      <w:r>
        <w:t xml:space="preserve">Configurer les secrets GitHub et CI/CD (voir guide séparé)</w:t>
      </w:r>
    </w:p>
    <w:p>
      <w:pPr>
        <w:pStyle w:val="ListParagraph"/>
        <w:numPr>
          <w:ilvl w:val="0"/>
          <w:numId w:val="2"/>
        </w:numPr>
      </w:pPr>
      <w:r>
        <w:t xml:space="preserve">Déployer en production sur un VPS (DigitalOcean, AWS, ou local)</w:t>
      </w:r>
    </w:p>
    <w:p>
      <w:pPr>
        <w:pStyle w:val="ListParagraph"/>
        <w:numPr>
          <w:ilvl w:val="0"/>
          <w:numId w:val="2"/>
        </w:numPr>
      </w:pPr>
      <w:r>
        <w:t xml:space="preserve">Configurer le domaine personnalisé (restaurant-os.app)</w:t>
      </w:r>
    </w:p>
    <w:p>
      <w:pPr>
        <w:pStyle w:val="ListParagraph"/>
        <w:numPr>
          <w:ilvl w:val="0"/>
          <w:numId w:val="2"/>
        </w:numPr>
      </w:pPr>
      <w:r>
        <w:t xml:space="preserve">Activer HTTPS avec certificat SSL (Let's Encrypt)</w:t>
      </w:r>
    </w:p>
    <w:p>
      <w:pPr>
        <w:pStyle w:val="ListParagraph"/>
        <w:numPr>
          <w:ilvl w:val="0"/>
          <w:numId w:val="2"/>
        </w:numPr>
      </w:pPr>
      <w:r>
        <w:t xml:space="preserve">Vérifier Sentry pour le monitoring des erreurs</w:t>
      </w:r>
    </w:p>
    <w:p>
      <w:pPr>
        <w:pStyle w:val="ListParagraph"/>
        <w:numPr>
          <w:ilvl w:val="0"/>
          <w:numId w:val="2"/>
        </w:numPr>
      </w:pPr>
      <w:r>
        <w:t xml:space="preserve">Tester les intégrations Mobile Money en sandbox</w:t>
      </w:r>
    </w:p>
    <w:p>
      <w:pPr>
        <w:pStyle w:val="Heading2"/>
      </w:pPr>
      <w:r>
        <w:t xml:space="preserve">1.2 Préparation Marketing</w:t>
      </w:r>
    </w:p>
    <w:p>
      <w:pPr>
        <w:pStyle w:val="ListParagraph"/>
        <w:numPr>
          <w:ilvl w:val="0"/>
          <w:numId w:val="2"/>
        </w:numPr>
      </w:pPr>
      <w:r>
        <w:t xml:space="preserve">Finaliser le logo et la charte graphique</w:t>
      </w:r>
    </w:p>
    <w:p>
      <w:pPr>
        <w:pStyle w:val="ListParagraph"/>
        <w:numPr>
          <w:ilvl w:val="0"/>
          <w:numId w:val="2"/>
        </w:numPr>
      </w:pPr>
      <w:r>
        <w:t xml:space="preserve">Créer les comptes réseaux sociaux (LinkedIn, Facebook, Twitter/X)</w:t>
      </w:r>
    </w:p>
    <w:p>
      <w:pPr>
        <w:pStyle w:val="ListParagraph"/>
        <w:numPr>
          <w:ilvl w:val="0"/>
          <w:numId w:val="2"/>
        </w:numPr>
      </w:pPr>
      <w:r>
        <w:t xml:space="preserve">Préparer la brochure commerciale et la présentation PowerPoint</w:t>
      </w:r>
    </w:p>
    <w:p>
      <w:pPr>
        <w:pStyle w:val="ListParagraph"/>
        <w:numPr>
          <w:ilvl w:val="0"/>
          <w:numId w:val="2"/>
        </w:numPr>
      </w:pPr>
      <w:r>
        <w:t xml:space="preserve">Rédiger le pitch commercial (30 secondes, 3 minutes, 10 minutes)</w:t>
      </w:r>
    </w:p>
    <w:p>
      <w:pPr>
        <w:pStyle w:val="ListParagraph"/>
        <w:numPr>
          <w:ilvl w:val="0"/>
          <w:numId w:val="2"/>
        </w:numPr>
      </w:pPr>
      <w:r>
        <w:t xml:space="preserve">Créer une vidéo de démonstration (2-3 minutes)</w:t>
      </w:r>
    </w:p>
    <w:p>
      <w:pPr>
        <w:pStyle w:val="Heading1"/>
      </w:pPr>
      <w:r>
        <w:t xml:space="preserve">Phase 2 : Lancement Beta (Semaines 5-8)</w:t>
      </w:r>
    </w:p>
    <w:p>
      <w:pPr>
        <w:pStyle w:val="Heading2"/>
      </w:pPr>
      <w:r>
        <w:t xml:space="preserve">2.1 Recrutement Beta-Testeurs</w:t>
      </w:r>
    </w:p>
    <w:p>
      <w:pPr>
        <w:spacing w:after="150"/>
      </w:pPr>
      <w:r>
        <w:rPr>
          <w:color w:val="1E293B"/>
        </w:rPr>
        <w:t xml:space="preserve">L'objectif est de recruter 10 restaurants partenaires pour une phase de test en conditions réelles. Ces restaurants bénéficieront d'un accès gratuit pendant 6 mois en échange de retours réguliers.</w:t>
      </w:r>
    </w:p>
    <w:p>
      <w:pPr>
        <w:pStyle w:val="ListParagraph"/>
        <w:numPr>
          <w:ilvl w:val="0"/>
          <w:numId w:val="3"/>
        </w:numPr>
      </w:pPr>
      <w:r>
        <w:t xml:space="preserve">Contacter les restaurants de son réseau personnel</w:t>
      </w:r>
    </w:p>
    <w:p>
      <w:pPr>
        <w:pStyle w:val="ListParagraph"/>
        <w:numPr>
          <w:ilvl w:val="0"/>
          <w:numId w:val="3"/>
        </w:numPr>
      </w:pPr>
      <w:r>
        <w:t xml:space="preserve">Publier sur les groupes Facebook restaurateurs d'Abidjan</w:t>
      </w:r>
    </w:p>
    <w:p>
      <w:pPr>
        <w:pStyle w:val="ListParagraph"/>
        <w:numPr>
          <w:ilvl w:val="0"/>
          <w:numId w:val="3"/>
        </w:numPr>
      </w:pPr>
      <w:r>
        <w:t xml:space="preserve">Contacter les associations de restaurateurs</w:t>
      </w:r>
    </w:p>
    <w:p>
      <w:pPr>
        <w:pStyle w:val="ListParagraph"/>
        <w:numPr>
          <w:ilvl w:val="0"/>
          <w:numId w:val="3"/>
        </w:numPr>
      </w:pPr>
      <w:r>
        <w:t xml:space="preserve">Participer aux événements food-tech locaux</w:t>
      </w:r>
    </w:p>
    <w:p>
      <w:pPr>
        <w:pStyle w:val="Heading2"/>
      </w:pPr>
      <w:r>
        <w:t xml:space="preserve">2.2 Support et Itération</w:t>
      </w:r>
    </w:p>
    <w:p>
      <w:pPr>
        <w:spacing w:after="150"/>
      </w:pPr>
      <w:r>
        <w:rPr>
          <w:color w:val="1E293B"/>
        </w:rPr>
        <w:t xml:space="preserve">Pendant la phase beta, il est essentiel d'offrir un support réactif et de collecter systématiquement les retours utilisateurs pour améliorer le produit.</w:t>
      </w:r>
    </w:p>
    <w:p>
      <w:pPr>
        <w:pStyle w:val="ListParagraph"/>
        <w:numPr>
          <w:ilvl w:val="0"/>
          <w:numId w:val="3"/>
        </w:numPr>
      </w:pPr>
      <w:r>
        <w:t xml:space="preserve">Mettre en place un canal WhatsApp dédié au support</w:t>
      </w:r>
    </w:p>
    <w:p>
      <w:pPr>
        <w:pStyle w:val="ListParagraph"/>
        <w:numPr>
          <w:ilvl w:val="0"/>
          <w:numId w:val="3"/>
        </w:numPr>
      </w:pPr>
      <w:r>
        <w:t xml:space="preserve">Organiser des appels hebdomadaires avec les beta-testeurs</w:t>
      </w:r>
    </w:p>
    <w:p>
      <w:pPr>
        <w:pStyle w:val="ListParagraph"/>
        <w:numPr>
          <w:ilvl w:val="0"/>
          <w:numId w:val="3"/>
        </w:numPr>
      </w:pPr>
      <w:r>
        <w:t xml:space="preserve">Corriger les bugs critiques en moins de 24h</w:t>
      </w:r>
    </w:p>
    <w:p>
      <w:pPr>
        <w:pStyle w:val="ListParagraph"/>
        <w:numPr>
          <w:ilvl w:val="0"/>
          <w:numId w:val="3"/>
        </w:numPr>
      </w:pPr>
      <w:r>
        <w:t xml:space="preserve">Documenter les demandes de fonctionnalités</w:t>
      </w:r>
    </w:p>
    <w:p>
      <w:pPr>
        <w:pStyle w:val="Heading1"/>
      </w:pPr>
      <w:r>
        <w:t xml:space="preserve">Phase 3 : Lancement Commercial (Semaines 9-12)</w:t>
      </w:r>
    </w:p>
    <w:p>
      <w:pPr>
        <w:pStyle w:val="Heading2"/>
      </w:pPr>
      <w:r>
        <w:t xml:space="preserve">3.1 Stratégie de Tarification</w:t>
      </w:r>
    </w:p>
    <w:p>
      <w:pPr>
        <w:spacing w:after="200"/>
      </w:pPr>
      <w:r>
        <w:rPr>
          <w:color w:val="1E293B"/>
        </w:rPr>
        <w:t xml:space="preserve">La tarification est conçue pour être accessible aux restaurants africains tout en garantissant la viabilité économique de la plateforme. Les prix sont en USD mais l'affichage local se fait en FCFA pour plus de clarté.</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2340"/>
        <w:gridCol w:w="2340"/>
        <w:gridCol w:w="2340"/>
        <w:gridCol w:w="2340"/>
      </w:tblGrid>
      <w:tr>
        <w:trPr>
          <w:tblHeader/>
        </w:trPr>
        <w:tc>
          <w:tcPr>
            <w:tcW w:type="dxa" w:w="2340"/>
            <w:tcBorders>
              <w:top w:val="single" w:color="94A3B8" w:sz="12"/>
              <w:left w:val="none"/>
              <w:bottom w:val="single" w:color="94A3B8" w:sz="12"/>
              <w:right w:val="none"/>
            </w:tcBorders>
            <w:shd w:fill="F8FAFC" w:val="clear"/>
          </w:tcPr>
          <w:p>
            <w:pPr>
              <w:jc w:val="center"/>
            </w:pPr>
            <w:r>
              <w:rPr>
                <w:b/>
                <w:bCs/>
              </w:rPr>
              <w:t xml:space="preserve">Plan</w:t>
            </w:r>
          </w:p>
        </w:tc>
        <w:tc>
          <w:tcPr>
            <w:tcW w:type="dxa" w:w="2340"/>
            <w:tcBorders>
              <w:top w:val="single" w:color="94A3B8" w:sz="12"/>
              <w:left w:val="none"/>
              <w:bottom w:val="single" w:color="94A3B8" w:sz="12"/>
              <w:right w:val="none"/>
            </w:tcBorders>
            <w:shd w:fill="F8FAFC" w:val="clear"/>
          </w:tcPr>
          <w:p>
            <w:pPr>
              <w:jc w:val="center"/>
            </w:pPr>
            <w:r>
              <w:rPr>
                <w:b/>
                <w:bCs/>
              </w:rPr>
              <w:t xml:space="preserve">Prix/mois</w:t>
            </w:r>
          </w:p>
        </w:tc>
        <w:tc>
          <w:tcPr>
            <w:tcW w:type="dxa" w:w="2340"/>
            <w:tcBorders>
              <w:top w:val="single" w:color="94A3B8" w:sz="12"/>
              <w:left w:val="none"/>
              <w:bottom w:val="single" w:color="94A3B8" w:sz="12"/>
              <w:right w:val="none"/>
            </w:tcBorders>
            <w:shd w:fill="F8FAFC" w:val="clear"/>
          </w:tcPr>
          <w:p>
            <w:pPr>
              <w:jc w:val="center"/>
            </w:pPr>
            <w:r>
              <w:rPr>
                <w:b/>
                <w:bCs/>
              </w:rPr>
              <w:t xml:space="preserve">Restaurants</w:t>
            </w:r>
          </w:p>
        </w:tc>
        <w:tc>
          <w:tcPr>
            <w:tcW w:type="dxa" w:w="2340"/>
            <w:tcBorders>
              <w:top w:val="single" w:color="94A3B8" w:sz="12"/>
              <w:left w:val="none"/>
              <w:bottom w:val="single" w:color="94A3B8" w:sz="12"/>
              <w:right w:val="none"/>
            </w:tcBorders>
            <w:shd w:fill="F8FAFC" w:val="clear"/>
          </w:tcPr>
          <w:p>
            <w:pPr>
              <w:jc w:val="center"/>
            </w:pPr>
            <w:r>
              <w:rPr>
                <w:b/>
                <w:bCs/>
              </w:rPr>
              <w:t xml:space="preserve">Cible</w:t>
            </w:r>
          </w:p>
        </w:tc>
      </w:tr>
      <w:tr>
        <w:tc>
          <w:tcPr>
            <w:tcW w:type="dxa" w:w="2340"/>
            <w:tcBorders>
              <w:top w:val="single" w:color="94A3B8" w:sz="12"/>
              <w:left w:val="none"/>
              <w:bottom w:val="single" w:color="94A3B8" w:sz="12"/>
              <w:right w:val="none"/>
            </w:tcBorders>
          </w:tcPr>
          <w:p>
            <w:pPr>
              <w:jc w:val="center"/>
            </w:pPr>
            <w:r>
              <w:rPr>
                <w:b/>
                <w:bCs/>
              </w:rPr>
              <w:t xml:space="preserve">Free</w:t>
            </w:r>
          </w:p>
        </w:tc>
        <w:tc>
          <w:tcPr>
            <w:tcW w:type="dxa" w:w="2340"/>
            <w:tcBorders>
              <w:top w:val="single" w:color="94A3B8" w:sz="12"/>
              <w:left w:val="none"/>
              <w:bottom w:val="single" w:color="94A3B8" w:sz="12"/>
              <w:right w:val="none"/>
            </w:tcBorders>
          </w:tcPr>
          <w:p>
            <w:pPr>
              <w:jc w:val="center"/>
            </w:pPr>
            <w:r>
              <w:t xml:space="preserve">$0</w:t>
            </w:r>
          </w:p>
        </w:tc>
        <w:tc>
          <w:tcPr>
            <w:tcW w:type="dxa" w:w="2340"/>
            <w:tcBorders>
              <w:top w:val="single" w:color="94A3B8" w:sz="12"/>
              <w:left w:val="none"/>
              <w:bottom w:val="single" w:color="94A3B8" w:sz="12"/>
              <w:right w:val="none"/>
            </w:tcBorders>
          </w:tcPr>
          <w:p>
            <w:pPr>
              <w:jc w:val="center"/>
            </w:pPr>
            <w:r>
              <w:t xml:space="preserve">1</w:t>
            </w:r>
          </w:p>
        </w:tc>
        <w:tc>
          <w:tcPr>
            <w:tcW w:type="dxa" w:w="2340"/>
            <w:tcBorders>
              <w:top w:val="single" w:color="94A3B8" w:sz="12"/>
              <w:left w:val="none"/>
              <w:bottom w:val="single" w:color="94A3B8" w:sz="12"/>
              <w:right w:val="none"/>
            </w:tcBorders>
          </w:tcPr>
          <w:p>
            <w:pPr>
              <w:jc w:val="center"/>
            </w:pPr>
            <w:r>
              <w:t xml:space="preserve">Découverte</w:t>
            </w:r>
          </w:p>
        </w:tc>
      </w:tr>
      <w:tr>
        <w:tc>
          <w:tcPr>
            <w:tcW w:type="dxa" w:w="2340"/>
            <w:tcBorders>
              <w:top w:val="single" w:color="94A3B8" w:sz="12"/>
              <w:left w:val="none"/>
              <w:bottom w:val="single" w:color="94A3B8" w:sz="12"/>
              <w:right w:val="none"/>
            </w:tcBorders>
          </w:tcPr>
          <w:p>
            <w:pPr>
              <w:jc w:val="center"/>
            </w:pPr>
            <w:r>
              <w:rPr>
                <w:b/>
                <w:bCs/>
              </w:rPr>
              <w:t xml:space="preserve">Starter</w:t>
            </w:r>
          </w:p>
        </w:tc>
        <w:tc>
          <w:tcPr>
            <w:tcW w:type="dxa" w:w="2340"/>
            <w:tcBorders>
              <w:top w:val="single" w:color="94A3B8" w:sz="12"/>
              <w:left w:val="none"/>
              <w:bottom w:val="single" w:color="94A3B8" w:sz="12"/>
              <w:right w:val="none"/>
            </w:tcBorders>
          </w:tcPr>
          <w:p>
            <w:pPr>
              <w:jc w:val="center"/>
            </w:pPr>
            <w:r>
              <w:t xml:space="preserve">$29 (~18,000 FCFA)</w:t>
            </w:r>
          </w:p>
        </w:tc>
        <w:tc>
          <w:tcPr>
            <w:tcW w:type="dxa" w:w="2340"/>
            <w:tcBorders>
              <w:top w:val="single" w:color="94A3B8" w:sz="12"/>
              <w:left w:val="none"/>
              <w:bottom w:val="single" w:color="94A3B8" w:sz="12"/>
              <w:right w:val="none"/>
            </w:tcBorders>
          </w:tcPr>
          <w:p>
            <w:pPr>
              <w:jc w:val="center"/>
            </w:pPr>
            <w:r>
              <w:t xml:space="preserve">1</w:t>
            </w:r>
          </w:p>
        </w:tc>
        <w:tc>
          <w:tcPr>
            <w:tcW w:type="dxa" w:w="2340"/>
            <w:tcBorders>
              <w:top w:val="single" w:color="94A3B8" w:sz="12"/>
              <w:left w:val="none"/>
              <w:bottom w:val="single" w:color="94A3B8" w:sz="12"/>
              <w:right w:val="none"/>
            </w:tcBorders>
          </w:tcPr>
          <w:p>
            <w:pPr>
              <w:jc w:val="center"/>
            </w:pPr>
            <w:r>
              <w:t xml:space="preserve">Petits restaurants</w:t>
            </w:r>
          </w:p>
        </w:tc>
      </w:tr>
      <w:tr>
        <w:tc>
          <w:tcPr>
            <w:tcW w:type="dxa" w:w="2340"/>
            <w:tcBorders>
              <w:top w:val="single" w:color="94A3B8" w:sz="12"/>
              <w:left w:val="none"/>
              <w:bottom w:val="single" w:color="94A3B8" w:sz="12"/>
              <w:right w:val="none"/>
            </w:tcBorders>
            <w:shd w:fill="FFF7ED" w:val="clear"/>
          </w:tcPr>
          <w:p>
            <w:pPr>
              <w:jc w:val="center"/>
            </w:pPr>
            <w:r>
              <w:rPr>
                <w:b/>
                <w:bCs/>
                <w:color w:val="F97316"/>
              </w:rPr>
              <w:t xml:space="preserve">Pro</w:t>
            </w:r>
          </w:p>
        </w:tc>
        <w:tc>
          <w:tcPr>
            <w:tcW w:type="dxa" w:w="2340"/>
            <w:tcBorders>
              <w:top w:val="single" w:color="94A3B8" w:sz="12"/>
              <w:left w:val="none"/>
              <w:bottom w:val="single" w:color="94A3B8" w:sz="12"/>
              <w:right w:val="none"/>
            </w:tcBorders>
            <w:shd w:fill="FFF7ED" w:val="clear"/>
          </w:tcPr>
          <w:p>
            <w:pPr>
              <w:jc w:val="center"/>
            </w:pPr>
            <w:r>
              <w:rPr>
                <w:b/>
                <w:bCs/>
                <w:color w:val="F97316"/>
              </w:rPr>
              <w:t xml:space="preserve">$79 (~49,000 FCFA)</w:t>
            </w:r>
          </w:p>
        </w:tc>
        <w:tc>
          <w:tcPr>
            <w:tcW w:type="dxa" w:w="2340"/>
            <w:tcBorders>
              <w:top w:val="single" w:color="94A3B8" w:sz="12"/>
              <w:left w:val="none"/>
              <w:bottom w:val="single" w:color="94A3B8" w:sz="12"/>
              <w:right w:val="none"/>
            </w:tcBorders>
            <w:shd w:fill="FFF7ED" w:val="clear"/>
          </w:tcPr>
          <w:p>
            <w:pPr>
              <w:jc w:val="center"/>
            </w:pPr>
            <w:r>
              <w:t xml:space="preserve">3</w:t>
            </w:r>
          </w:p>
        </w:tc>
        <w:tc>
          <w:tcPr>
            <w:tcW w:type="dxa" w:w="2340"/>
            <w:tcBorders>
              <w:top w:val="single" w:color="94A3B8" w:sz="12"/>
              <w:left w:val="none"/>
              <w:bottom w:val="single" w:color="94A3B8" w:sz="12"/>
              <w:right w:val="none"/>
            </w:tcBorders>
            <w:shd w:fill="FFF7ED" w:val="clear"/>
          </w:tcPr>
          <w:p>
            <w:pPr>
              <w:jc w:val="center"/>
            </w:pPr>
            <w:r>
              <w:t xml:space="preserve">Croissance</w:t>
            </w:r>
          </w:p>
        </w:tc>
      </w:tr>
      <w:tr>
        <w:tc>
          <w:tcPr>
            <w:tcW w:type="dxa" w:w="2340"/>
            <w:tcBorders>
              <w:top w:val="single" w:color="94A3B8" w:sz="12"/>
              <w:left w:val="none"/>
              <w:bottom w:val="single" w:color="94A3B8" w:sz="12"/>
              <w:right w:val="none"/>
            </w:tcBorders>
          </w:tcPr>
          <w:p>
            <w:pPr>
              <w:jc w:val="center"/>
            </w:pPr>
            <w:r>
              <w:rPr>
                <w:b/>
                <w:bCs/>
              </w:rPr>
              <w:t xml:space="preserve">Business</w:t>
            </w:r>
          </w:p>
        </w:tc>
        <w:tc>
          <w:tcPr>
            <w:tcW w:type="dxa" w:w="2340"/>
            <w:tcBorders>
              <w:top w:val="single" w:color="94A3B8" w:sz="12"/>
              <w:left w:val="none"/>
              <w:bottom w:val="single" w:color="94A3B8" w:sz="12"/>
              <w:right w:val="none"/>
            </w:tcBorders>
          </w:tcPr>
          <w:p>
            <w:pPr>
              <w:jc w:val="center"/>
            </w:pPr>
            <w:r>
              <w:t xml:space="preserve">$199 (~123,000 FCFA)</w:t>
            </w:r>
          </w:p>
        </w:tc>
        <w:tc>
          <w:tcPr>
            <w:tcW w:type="dxa" w:w="2340"/>
            <w:tcBorders>
              <w:top w:val="single" w:color="94A3B8" w:sz="12"/>
              <w:left w:val="none"/>
              <w:bottom w:val="single" w:color="94A3B8" w:sz="12"/>
              <w:right w:val="none"/>
            </w:tcBorders>
          </w:tcPr>
          <w:p>
            <w:pPr>
              <w:jc w:val="center"/>
            </w:pPr>
            <w:r>
              <w:t xml:space="preserve">10</w:t>
            </w:r>
          </w:p>
        </w:tc>
        <w:tc>
          <w:tcPr>
            <w:tcW w:type="dxa" w:w="2340"/>
            <w:tcBorders>
              <w:top w:val="single" w:color="94A3B8" w:sz="12"/>
              <w:left w:val="none"/>
              <w:bottom w:val="single" w:color="94A3B8" w:sz="12"/>
              <w:right w:val="none"/>
            </w:tcBorders>
          </w:tcPr>
          <w:p>
            <w:pPr>
              <w:jc w:val="center"/>
            </w:pPr>
            <w:r>
              <w:t xml:space="preserve">Chaînes</w:t>
            </w:r>
          </w:p>
        </w:tc>
      </w:tr>
    </w:tbl>
    <w:p>
      <w:pPr>
        <w:spacing w:after="300" w:before="100"/>
        <w:jc w:val="center"/>
      </w:pPr>
      <w:r>
        <w:rPr>
          <w:i/>
          <w:iCs/>
          <w:color w:val="64748B"/>
          <w:sz w:val="20"/>
          <w:szCs w:val="20"/>
        </w:rPr>
        <w:t xml:space="preserve">Tableau 1 : Grille tarifaire Restaurant OS</w:t>
      </w:r>
    </w:p>
    <w:p>
      <w:pPr>
        <w:pStyle w:val="Heading2"/>
      </w:pPr>
      <w:r>
        <w:t xml:space="preserve">3.2 Canaux d'Acquisition</w:t>
      </w:r>
    </w:p>
    <w:p>
      <w:pPr>
        <w:spacing w:after="150"/>
      </w:pPr>
      <w:r>
        <w:rPr>
          <w:color w:val="1E293B"/>
        </w:rPr>
        <w:t xml:space="preserve">L'acquisition client sera multi-canal avec un focus sur les canaux les plus efficaces pour le marché africain. L'approche recommandée combine marketing digital et terrain pour maximiser la conversion.</w:t>
      </w:r>
    </w:p>
    <w:p>
      <w:pPr>
        <w:pStyle w:val="ListParagraph"/>
        <w:numPr>
          <w:ilvl w:val="0"/>
          <w:numId w:val="3"/>
        </w:numPr>
      </w:pPr>
      <w:r>
        <w:rPr>
          <w:b/>
          <w:bCs/>
        </w:rPr>
        <w:t xml:space="preserve">Marketing Digital : </w:t>
      </w:r>
      <w:r>
        <w:t xml:space="preserve">Facebook Ads ciblant les restaurateurs, Google Ads sur mots-clés locaux, SEO sur "logiciel restaurant Abidjan"</w:t>
      </w:r>
    </w:p>
    <w:p>
      <w:pPr>
        <w:pStyle w:val="ListParagraph"/>
        <w:numPr>
          <w:ilvl w:val="0"/>
          <w:numId w:val="3"/>
        </w:numPr>
      </w:pPr>
      <w:r>
        <w:rPr>
          <w:b/>
          <w:bCs/>
        </w:rPr>
        <w:t xml:space="preserve">Partenariats : </w:t>
      </w:r>
      <w:r>
        <w:t xml:space="preserve">Accords avec les fournisseurs d'équipements restaurant, partenaires Mobile Money</w:t>
      </w:r>
    </w:p>
    <w:p>
      <w:pPr>
        <w:pStyle w:val="ListParagraph"/>
        <w:numPr>
          <w:ilvl w:val="0"/>
          <w:numId w:val="3"/>
        </w:numPr>
      </w:pPr>
      <w:r>
        <w:rPr>
          <w:b/>
          <w:bCs/>
        </w:rPr>
        <w:t xml:space="preserve">Événements : </w:t>
      </w:r>
      <w:r>
        <w:t xml:space="preserve">Salons food-tech, conférences entrepreneurs, meetups tech</w:t>
      </w:r>
    </w:p>
    <w:p>
      <w:pPr>
        <w:pStyle w:val="ListParagraph"/>
        <w:numPr>
          <w:ilvl w:val="0"/>
          <w:numId w:val="3"/>
        </w:numPr>
      </w:pPr>
      <w:r>
        <w:rPr>
          <w:b/>
          <w:bCs/>
        </w:rPr>
        <w:t xml:space="preserve">Référence : </w:t>
      </w:r>
      <w:r>
        <w:t xml:space="preserve">Programme parrainage avec 1 mois gratuit pour le parrain et le filleul</w:t>
      </w:r>
    </w:p>
    <w:p>
      <w:pPr>
        <w:pStyle w:val="Heading1"/>
      </w:pPr>
      <w:r>
        <w:t xml:space="preserve">Phase 4 : Expansion (Mois 4-12)</w:t>
      </w:r>
    </w:p>
    <w:p>
      <w:pPr>
        <w:pStyle w:val="Heading2"/>
      </w:pPr>
      <w:r>
        <w:t xml:space="preserve">4.1 Objectifs 2026</w:t>
      </w:r>
    </w:p>
    <w:p>
      <w:pPr>
        <w:spacing w:after="150"/>
      </w:pPr>
      <w:r>
        <w:rPr>
          <w:color w:val="1E293B"/>
        </w:rPr>
        <w:t xml:space="preserve">Les objectifs pour la première année sont ambitieux mais réalistes, basés sur l'analyse du marché africain de la restauration et les tendances de digitalisation accélérées post-COVID.</w:t>
      </w:r>
    </w:p>
    <w:p>
      <w:pPr>
        <w:pStyle w:val="ListParagraph"/>
        <w:numPr>
          <w:ilvl w:val="0"/>
          <w:numId w:val="3"/>
        </w:numPr>
      </w:pPr>
      <w:r>
        <w:rPr>
          <w:b/>
          <w:bCs/>
        </w:rPr>
        <w:t xml:space="preserve">Trimestre 2 : </w:t>
      </w:r>
      <w:r>
        <w:t xml:space="preserve">100 restaurants actifs, 3 pays (CI, SN, CM)</w:t>
      </w:r>
    </w:p>
    <w:p>
      <w:pPr>
        <w:pStyle w:val="ListParagraph"/>
        <w:numPr>
          <w:ilvl w:val="0"/>
          <w:numId w:val="3"/>
        </w:numPr>
      </w:pPr>
      <w:r>
        <w:rPr>
          <w:b/>
          <w:bCs/>
        </w:rPr>
        <w:t xml:space="preserve">Trimestre 3 : </w:t>
      </w:r>
      <w:r>
        <w:t xml:space="preserve">300 restaurants, intégration M-Pesa pour le Kenya</w:t>
      </w:r>
    </w:p>
    <w:p>
      <w:pPr>
        <w:pStyle w:val="ListParagraph"/>
        <w:numPr>
          <w:ilvl w:val="0"/>
          <w:numId w:val="3"/>
        </w:numPr>
      </w:pPr>
      <w:r>
        <w:rPr>
          <w:b/>
          <w:bCs/>
        </w:rPr>
        <w:t xml:space="preserve">Trimestre 4 : </w:t>
      </w:r>
      <w:r>
        <w:t xml:space="preserve">500 restaurants, 5 pays, $25K MRR</w:t>
      </w:r>
    </w:p>
    <w:p>
      <w:pPr>
        <w:pStyle w:val="Heading2"/>
      </w:pPr>
      <w:r>
        <w:t xml:space="preserve">4.2 Roadmap Produit</w:t>
      </w:r>
    </w:p>
    <w:p>
      <w:pPr>
        <w:spacing w:after="150"/>
      </w:pPr>
      <w:r>
        <w:rPr>
          <w:color w:val="1E293B"/>
        </w:rPr>
        <w:t xml:space="preserve">L'évolution du produit suivra les retours utilisateurs et les opportunités de marché. Les fonctionnalités prioritaires pour 2026 incluent l'application mobile native, l'intégration avec les plateformes de livraison, et les fonctionnalités de fidélité client.</w:t>
      </w:r>
    </w:p>
    <w:p>
      <w:pPr>
        <w:pStyle w:val="ListParagraph"/>
        <w:numPr>
          <w:ilvl w:val="0"/>
          <w:numId w:val="3"/>
        </w:numPr>
      </w:pPr>
      <w:r>
        <w:rPr>
          <w:b/>
          <w:bCs/>
        </w:rPr>
        <w:t xml:space="preserve">Q2 2026 : </w:t>
      </w:r>
      <w:r>
        <w:t xml:space="preserve">Application mobile iOS/Android, Intégration Jumia Food</w:t>
      </w:r>
    </w:p>
    <w:p>
      <w:pPr>
        <w:pStyle w:val="ListParagraph"/>
        <w:numPr>
          <w:ilvl w:val="0"/>
          <w:numId w:val="3"/>
        </w:numPr>
      </w:pPr>
      <w:r>
        <w:rPr>
          <w:b/>
          <w:bCs/>
        </w:rPr>
        <w:t xml:space="preserve">Q3 2026 : </w:t>
      </w:r>
      <w:r>
        <w:t xml:space="preserve">Programme de fidélité client, Module comptable</w:t>
      </w:r>
    </w:p>
    <w:p>
      <w:pPr>
        <w:pStyle w:val="ListParagraph"/>
        <w:numPr>
          <w:ilvl w:val="0"/>
          <w:numId w:val="3"/>
        </w:numPr>
      </w:pPr>
      <w:r>
        <w:rPr>
          <w:b/>
          <w:bCs/>
        </w:rPr>
        <w:t xml:space="preserve">Q4 2026 : </w:t>
      </w:r>
      <w:r>
        <w:t xml:space="preserve">Marketplace fournisseurs, IA prédictive des stocks</w:t>
      </w:r>
    </w:p>
    <w:p>
      <w:pPr>
        <w:pStyle w:val="Heading1"/>
      </w:pPr>
      <w:r>
        <w:t xml:space="preserve">Budget Marketing Annuel</w:t>
      </w:r>
    </w:p>
    <w:p>
      <w:pPr>
        <w:spacing w:after="200"/>
      </w:pPr>
      <w:r>
        <w:rPr>
          <w:color w:val="1E293B"/>
        </w:rPr>
        <w:t xml:space="preserve">Le budget total pour le lancement et la première année d'exploitation est estimé à $75,000. Cette enveloppe couvre l'ensemble des actions marketing, les coûts d'infrastructure et les ressources humaines essentielles.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4680"/>
        <w:gridCol w:w="2340"/>
        <w:gridCol w:w="2340"/>
      </w:tblGrid>
      <w:tr>
        <w:trPr>
          <w:tblHeader/>
        </w:trPr>
        <w:tc>
          <w:tcPr>
            <w:tcW w:type="dxa" w:w="4680"/>
            <w:tcBorders>
              <w:top w:val="single" w:color="94A3B8" w:sz="12"/>
              <w:left w:val="none"/>
              <w:bottom w:val="single" w:color="94A3B8" w:sz="12"/>
              <w:right w:val="none"/>
            </w:tcBorders>
            <w:shd w:fill="F8FAFC" w:val="clear"/>
          </w:tcPr>
          <w:p>
            <w:pPr>
              <w:jc w:val="center"/>
            </w:pPr>
            <w:r>
              <w:rPr>
                <w:b/>
                <w:bCs/>
              </w:rPr>
              <w:t xml:space="preserve">Catégorie</w:t>
            </w:r>
          </w:p>
        </w:tc>
        <w:tc>
          <w:tcPr>
            <w:tcW w:type="dxa" w:w="2340"/>
            <w:tcBorders>
              <w:top w:val="single" w:color="94A3B8" w:sz="12"/>
              <w:left w:val="none"/>
              <w:bottom w:val="single" w:color="94A3B8" w:sz="12"/>
              <w:right w:val="none"/>
            </w:tcBorders>
            <w:shd w:fill="F8FAFC" w:val="clear"/>
          </w:tcPr>
          <w:p>
            <w:pPr>
              <w:jc w:val="center"/>
            </w:pPr>
            <w:r>
              <w:rPr>
                <w:b/>
                <w:bCs/>
              </w:rPr>
              <w:t xml:space="preserve">Budget</w:t>
            </w:r>
          </w:p>
        </w:tc>
        <w:tc>
          <w:tcPr>
            <w:tcW w:type="dxa" w:w="2340"/>
            <w:tcBorders>
              <w:top w:val="single" w:color="94A3B8" w:sz="12"/>
              <w:left w:val="none"/>
              <w:bottom w:val="single" w:color="94A3B8" w:sz="12"/>
              <w:right w:val="none"/>
            </w:tcBorders>
            <w:shd w:fill="F8FAFC" w:val="clear"/>
          </w:tcPr>
          <w:p>
            <w:pPr>
              <w:jc w:val="center"/>
            </w:pPr>
            <w:r>
              <w:rPr>
                <w:b/>
                <w:bCs/>
              </w:rPr>
              <w:t xml:space="preserve">% Total</w:t>
            </w:r>
          </w:p>
        </w:tc>
      </w:tr>
      <w:tr>
        <w:tc>
          <w:tcPr>
            <w:tcW w:type="dxa" w:w="4680"/>
            <w:tcBorders>
              <w:top w:val="single" w:color="94A3B8" w:sz="12"/>
              <w:left w:val="none"/>
              <w:bottom w:val="single" w:color="94A3B8" w:sz="12"/>
              <w:right w:val="none"/>
            </w:tcBorders>
          </w:tcPr>
          <w:p>
            <w:r>
              <w:t xml:space="preserve">Marketing Digital (Ads, SEO)</w:t>
            </w:r>
          </w:p>
        </w:tc>
        <w:tc>
          <w:tcPr>
            <w:tcW w:type="dxa" w:w="2340"/>
            <w:tcBorders>
              <w:top w:val="single" w:color="94A3B8" w:sz="12"/>
              <w:left w:val="none"/>
              <w:bottom w:val="single" w:color="94A3B8" w:sz="12"/>
              <w:right w:val="none"/>
            </w:tcBorders>
          </w:tcPr>
          <w:p>
            <w:pPr>
              <w:jc w:val="center"/>
            </w:pPr>
            <w:r>
              <w:t xml:space="preserve">$25,000</w:t>
            </w:r>
          </w:p>
        </w:tc>
        <w:tc>
          <w:tcPr>
            <w:tcW w:type="dxa" w:w="2340"/>
            <w:tcBorders>
              <w:top w:val="single" w:color="94A3B8" w:sz="12"/>
              <w:left w:val="none"/>
              <w:bottom w:val="single" w:color="94A3B8" w:sz="12"/>
              <w:right w:val="none"/>
            </w:tcBorders>
          </w:tcPr>
          <w:p>
            <w:pPr>
              <w:jc w:val="center"/>
            </w:pPr>
            <w:r>
              <w:t xml:space="preserve">33%</w:t>
            </w:r>
          </w:p>
        </w:tc>
      </w:tr>
      <w:tr>
        <w:tc>
          <w:tcPr>
            <w:tcW w:type="dxa" w:w="4680"/>
            <w:tcBorders>
              <w:top w:val="single" w:color="94A3B8" w:sz="12"/>
              <w:left w:val="none"/>
              <w:bottom w:val="single" w:color="94A3B8" w:sz="12"/>
              <w:right w:val="none"/>
            </w:tcBorders>
          </w:tcPr>
          <w:p>
            <w:r>
              <w:t xml:space="preserve">Événements et Relations Publiques</w:t>
            </w:r>
          </w:p>
        </w:tc>
        <w:tc>
          <w:tcPr>
            <w:tcW w:type="dxa" w:w="2340"/>
            <w:tcBorders>
              <w:top w:val="single" w:color="94A3B8" w:sz="12"/>
              <w:left w:val="none"/>
              <w:bottom w:val="single" w:color="94A3B8" w:sz="12"/>
              <w:right w:val="none"/>
            </w:tcBorders>
          </w:tcPr>
          <w:p>
            <w:pPr>
              <w:jc w:val="center"/>
            </w:pPr>
            <w:r>
              <w:t xml:space="preserve">$15,000</w:t>
            </w:r>
          </w:p>
        </w:tc>
        <w:tc>
          <w:tcPr>
            <w:tcW w:type="dxa" w:w="2340"/>
            <w:tcBorders>
              <w:top w:val="single" w:color="94A3B8" w:sz="12"/>
              <w:left w:val="none"/>
              <w:bottom w:val="single" w:color="94A3B8" w:sz="12"/>
              <w:right w:val="none"/>
            </w:tcBorders>
          </w:tcPr>
          <w:p>
            <w:pPr>
              <w:jc w:val="center"/>
            </w:pPr>
            <w:r>
              <w:t xml:space="preserve">20%</w:t>
            </w:r>
          </w:p>
        </w:tc>
      </w:tr>
      <w:tr>
        <w:tc>
          <w:tcPr>
            <w:tcW w:type="dxa" w:w="4680"/>
            <w:tcBorders>
              <w:top w:val="single" w:color="94A3B8" w:sz="12"/>
              <w:left w:val="none"/>
              <w:bottom w:val="single" w:color="94A3B8" w:sz="12"/>
              <w:right w:val="none"/>
            </w:tcBorders>
          </w:tcPr>
          <w:p>
            <w:r>
              <w:t xml:space="preserve">Infrastructure et Hébergement</w:t>
            </w:r>
          </w:p>
        </w:tc>
        <w:tc>
          <w:tcPr>
            <w:tcW w:type="dxa" w:w="2340"/>
            <w:tcBorders>
              <w:top w:val="single" w:color="94A3B8" w:sz="12"/>
              <w:left w:val="none"/>
              <w:bottom w:val="single" w:color="94A3B8" w:sz="12"/>
              <w:right w:val="none"/>
            </w:tcBorders>
          </w:tcPr>
          <w:p>
            <w:pPr>
              <w:jc w:val="center"/>
            </w:pPr>
            <w:r>
              <w:t xml:space="preserve">$12,000</w:t>
            </w:r>
          </w:p>
        </w:tc>
        <w:tc>
          <w:tcPr>
            <w:tcW w:type="dxa" w:w="2340"/>
            <w:tcBorders>
              <w:top w:val="single" w:color="94A3B8" w:sz="12"/>
              <w:left w:val="none"/>
              <w:bottom w:val="single" w:color="94A3B8" w:sz="12"/>
              <w:right w:val="none"/>
            </w:tcBorders>
          </w:tcPr>
          <w:p>
            <w:pPr>
              <w:jc w:val="center"/>
            </w:pPr>
            <w:r>
              <w:t xml:space="preserve">16%</w:t>
            </w:r>
          </w:p>
        </w:tc>
      </w:tr>
      <w:tr>
        <w:tc>
          <w:tcPr>
            <w:tcW w:type="dxa" w:w="4680"/>
            <w:tcBorders>
              <w:top w:val="single" w:color="94A3B8" w:sz="12"/>
              <w:left w:val="none"/>
              <w:bottom w:val="single" w:color="94A3B8" w:sz="12"/>
              <w:right w:val="none"/>
            </w:tcBorders>
          </w:tcPr>
          <w:p>
            <w:r>
              <w:t xml:space="preserve">Équipe Support et Vente</w:t>
            </w:r>
          </w:p>
        </w:tc>
        <w:tc>
          <w:tcPr>
            <w:tcW w:type="dxa" w:w="2340"/>
            <w:tcBorders>
              <w:top w:val="single" w:color="94A3B8" w:sz="12"/>
              <w:left w:val="none"/>
              <w:bottom w:val="single" w:color="94A3B8" w:sz="12"/>
              <w:right w:val="none"/>
            </w:tcBorders>
          </w:tcPr>
          <w:p>
            <w:pPr>
              <w:jc w:val="center"/>
            </w:pPr>
            <w:r>
              <w:t xml:space="preserve">$18,000</w:t>
            </w:r>
          </w:p>
        </w:tc>
        <w:tc>
          <w:tcPr>
            <w:tcW w:type="dxa" w:w="2340"/>
            <w:tcBorders>
              <w:top w:val="single" w:color="94A3B8" w:sz="12"/>
              <w:left w:val="none"/>
              <w:bottom w:val="single" w:color="94A3B8" w:sz="12"/>
              <w:right w:val="none"/>
            </w:tcBorders>
          </w:tcPr>
          <w:p>
            <w:pPr>
              <w:jc w:val="center"/>
            </w:pPr>
            <w:r>
              <w:t xml:space="preserve">24%</w:t>
            </w:r>
          </w:p>
        </w:tc>
      </w:tr>
      <w:tr>
        <w:tc>
          <w:tcPr>
            <w:tcW w:type="dxa" w:w="4680"/>
            <w:tcBorders>
              <w:top w:val="single" w:color="94A3B8" w:sz="12"/>
              <w:left w:val="none"/>
              <w:bottom w:val="single" w:color="94A3B8" w:sz="12"/>
              <w:right w:val="none"/>
            </w:tcBorders>
          </w:tcPr>
          <w:p>
            <w:r>
              <w:t xml:space="preserve">Réserve et Imprévus</w:t>
            </w:r>
          </w:p>
        </w:tc>
        <w:tc>
          <w:tcPr>
            <w:tcW w:type="dxa" w:w="2340"/>
            <w:tcBorders>
              <w:top w:val="single" w:color="94A3B8" w:sz="12"/>
              <w:left w:val="none"/>
              <w:bottom w:val="single" w:color="94A3B8" w:sz="12"/>
              <w:right w:val="none"/>
            </w:tcBorders>
          </w:tcPr>
          <w:p>
            <w:pPr>
              <w:jc w:val="center"/>
            </w:pPr>
            <w:r>
              <w:t xml:space="preserve">$5,000</w:t>
            </w:r>
          </w:p>
        </w:tc>
        <w:tc>
          <w:tcPr>
            <w:tcW w:type="dxa" w:w="2340"/>
            <w:tcBorders>
              <w:top w:val="single" w:color="94A3B8" w:sz="12"/>
              <w:left w:val="none"/>
              <w:bottom w:val="single" w:color="94A3B8" w:sz="12"/>
              <w:right w:val="none"/>
            </w:tcBorders>
          </w:tcPr>
          <w:p>
            <w:pPr>
              <w:jc w:val="center"/>
            </w:pPr>
            <w:r>
              <w:t xml:space="preserve">7%</w:t>
            </w:r>
          </w:p>
        </w:tc>
      </w:tr>
      <w:tr>
        <w:tc>
          <w:tcPr>
            <w:tcW w:type="dxa" w:w="4680"/>
            <w:tcBorders>
              <w:top w:val="single" w:color="94A3B8" w:sz="12"/>
              <w:left w:val="none"/>
              <w:bottom w:val="single" w:color="94A3B8" w:sz="12"/>
              <w:right w:val="none"/>
            </w:tcBorders>
            <w:shd w:fill="F8FAFC" w:val="clear"/>
          </w:tcPr>
          <w:p>
            <w:r>
              <w:rPr>
                <w:b/>
                <w:bCs/>
              </w:rPr>
              <w:t xml:space="preserve">TOTAL</w:t>
            </w:r>
          </w:p>
        </w:tc>
        <w:tc>
          <w:tcPr>
            <w:tcW w:type="dxa" w:w="2340"/>
            <w:tcBorders>
              <w:top w:val="single" w:color="94A3B8" w:sz="12"/>
              <w:left w:val="none"/>
              <w:bottom w:val="single" w:color="94A3B8" w:sz="12"/>
              <w:right w:val="none"/>
            </w:tcBorders>
            <w:shd w:fill="F8FAFC" w:val="clear"/>
          </w:tcPr>
          <w:p>
            <w:pPr>
              <w:jc w:val="center"/>
            </w:pPr>
            <w:r>
              <w:rPr>
                <w:b/>
                <w:bCs/>
              </w:rPr>
              <w:t xml:space="preserve">$75,000</w:t>
            </w:r>
          </w:p>
        </w:tc>
        <w:tc>
          <w:tcPr>
            <w:tcW w:type="dxa" w:w="2340"/>
            <w:tcBorders>
              <w:top w:val="single" w:color="94A3B8" w:sz="12"/>
              <w:left w:val="none"/>
              <w:bottom w:val="single" w:color="94A3B8" w:sz="12"/>
              <w:right w:val="none"/>
            </w:tcBorders>
            <w:shd w:fill="F8FAFC" w:val="clear"/>
          </w:tcPr>
          <w:p>
            <w:pPr>
              <w:jc w:val="center"/>
            </w:pPr>
            <w:r>
              <w:rPr>
                <w:b/>
                <w:bCs/>
              </w:rPr>
              <w:t xml:space="preserve">100%</w:t>
            </w:r>
          </w:p>
        </w:tc>
      </w:tr>
    </w:tbl>
    <w:p>
      <w:pPr>
        <w:spacing w:after="300" w:before="100"/>
        <w:jc w:val="center"/>
      </w:pPr>
      <w:r>
        <w:rPr>
          <w:i/>
          <w:iCs/>
          <w:color w:val="64748B"/>
          <w:sz w:val="20"/>
          <w:szCs w:val="20"/>
        </w:rPr>
        <w:t xml:space="preserve">Tableau 2 : Répartition du budget marketing 2026</w:t>
      </w:r>
    </w:p>
    <w:p>
      <w:pPr>
        <w:pStyle w:val="Heading1"/>
      </w:pPr>
      <w:r>
        <w:t xml:space="preserve">Contact et Ressources</w:t>
      </w:r>
    </w:p>
    <w:p>
      <w:pPr>
        <w:spacing w:after="150"/>
      </w:pPr>
      <w:r>
        <w:rPr>
          <w:color w:val="1E293B"/>
        </w:rPr>
        <w:t xml:space="preserve">Pour toute question ou assistance lors du lancement commercial, les ressources suivantes sont disponibles pour l'équipe Restaurant OS.</w:t>
      </w:r>
    </w:p>
    <w:p>
      <w:pPr>
        <w:pStyle w:val="ListParagraph"/>
        <w:numPr>
          <w:ilvl w:val="0"/>
          <w:numId w:val="3"/>
        </w:numPr>
      </w:pPr>
      <w:r>
        <w:rPr>
          <w:b/>
          <w:bCs/>
        </w:rPr>
        <w:t xml:space="preserve">Repository GitHub : </w:t>
      </w:r>
      <w:r>
        <w:t xml:space="preserve">github.com/skaba89/restauration_rapide</w:t>
      </w:r>
    </w:p>
    <w:p>
      <w:pPr>
        <w:pStyle w:val="ListParagraph"/>
        <w:numPr>
          <w:ilvl w:val="0"/>
          <w:numId w:val="3"/>
        </w:numPr>
      </w:pPr>
      <w:r>
        <w:rPr>
          <w:b/>
          <w:bCs/>
        </w:rPr>
        <w:t xml:space="preserve">Documentation API : </w:t>
      </w:r>
      <w:r>
        <w:t xml:space="preserve">restaurant-os.app/api/docs</w:t>
      </w:r>
    </w:p>
    <w:p>
      <w:pPr>
        <w:pStyle w:val="ListParagraph"/>
        <w:numPr>
          <w:ilvl w:val="0"/>
          <w:numId w:val="3"/>
        </w:numPr>
      </w:pPr>
      <w:r>
        <w:rPr>
          <w:b/>
          <w:bCs/>
        </w:rPr>
        <w:t xml:space="preserve">Dashboard Sentry : </w:t>
      </w:r>
      <w:r>
        <w:t xml:space="preserve">sentry.io (projet restaurant-os)</w:t>
      </w:r>
    </w:p>
    <w:p>
      <w:pPr>
        <w:pStyle w:val="ListParagraph"/>
        <w:numPr>
          <w:ilvl w:val="0"/>
          <w:numId w:val="3"/>
        </w:numPr>
      </w:pPr>
      <w:r>
        <w:rPr>
          <w:b/>
          <w:bCs/>
        </w:rPr>
        <w:t xml:space="preserve">Site commercial : </w:t>
      </w:r>
      <w:r>
        <w:t xml:space="preserve">restaurant-os.app</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rPr>
      <w:t xml:space="preserve">Page </w:t>
    </w:r>
    <w:r>
      <w:rPr>
        <w:color w:val="64748B"/>
      </w:rPr>
      <w:fldChar w:fldCharType="begin"/>
      <w:instrText xml:space="preserve">PAGE</w:instrText>
      <w:fldChar w:fldCharType="separate"/>
      <w:fldChar w:fldCharType="end"/>
    </w:r>
    <w:r>
      <w:rPr>
        <w:color w:val="64748B"/>
      </w:rPr>
      <w:t xml:space="preserve"> / </w:t>
    </w:r>
    <w:r>
      <w:rPr>
        <w:color w:val="64748B"/>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20"/>
        <w:szCs w:val="20"/>
      </w:rPr>
      <w:t xml:space="preserve">Restaurant OS - Guide de Lancement Commercial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020617"/>
      <w:sz w:val="56"/>
      <w:szCs w:val="56"/>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20617"/>
      <w:sz w:val="36"/>
      <w:szCs w:val="36"/>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1E293B"/>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2026-03-26T10:27:53.532Z</dcterms:created>
  <dcterms:modified xsi:type="dcterms:W3CDTF">2026-03-26T10:27:53.532Z</dcterms:modified>
</cp:coreProperties>
</file>

<file path=docProps/custom.xml><?xml version="1.0" encoding="utf-8"?>
<Properties xmlns="http://schemas.openxmlformats.org/officeDocument/2006/custom-properties" xmlns:vt="http://schemas.openxmlformats.org/officeDocument/2006/docPropsVTypes"/>
</file>