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before="1000"/>
        <w:jc w:val="center"/>
      </w:pPr>
      <w:r>
        <w:rPr>
          <w:rFonts w:ascii="Times New Roman" w:cs="Times New Roman" w:eastAsia="Times New Roman" w:hAnsi="Times New Roman"/>
          <w:b/>
          <w:bCs/>
          <w:color w:val="020617"/>
          <w:sz w:val="72"/>
          <w:szCs w:val="72"/>
        </w:rPr>
        <w:t xml:space="preserve">RESTAURANT OS</w:t>
      </w:r>
    </w:p>
    <w:p>
      <w:pPr>
        <w:spacing w:after="200"/>
        <w:jc w:val="center"/>
      </w:pPr>
      <w:r>
        <w:rPr>
          <w:rFonts w:ascii="Times New Roman" w:cs="Times New Roman" w:eastAsia="Times New Roman" w:hAnsi="Times New Roman"/>
          <w:color w:val="64748B"/>
          <w:sz w:val="36"/>
          <w:szCs w:val="36"/>
        </w:rPr>
        <w:t xml:space="preserve">Plateforme SaaS de Gestion Restauratoire</w:t>
      </w:r>
    </w:p>
    <w:p>
      <w:pPr>
        <w:spacing w:after="200"/>
        <w:jc w:val="center"/>
      </w:pPr>
      <w:r>
        <w:rPr>
          <w:rFonts w:ascii="Times New Roman" w:cs="Times New Roman" w:eastAsia="Times New Roman" w:hAnsi="Times New Roman"/>
          <w:i/>
          <w:iCs/>
          <w:color w:val="94A3B8"/>
          <w:sz w:val="32"/>
          <w:szCs w:val="32"/>
        </w:rPr>
        <w:t xml:space="preserve">Conçue pour l'Afrique</w:t>
      </w:r>
    </w:p>
    <w:p>
      <w:pPr>
        <w:spacing w:before="2000"/>
      </w:pPr>
    </w:p>
    <w:p>
      <w:pPr>
        <w:spacing w:after="100"/>
        <w:jc w:val="center"/>
      </w:pPr>
      <w:r>
        <w:rPr>
          <w:color w:val="94A3B8"/>
          <w:sz w:val="20"/>
          <w:szCs w:val="20"/>
        </w:rPr>
        <w:t xml:space="preserve">─────────────────────────────────────────────────────</w:t>
      </w:r>
    </w:p>
    <w:p>
      <w:pPr>
        <w:spacing w:after="100" w:before="400"/>
        <w:jc w:val="center"/>
      </w:pPr>
      <w:r>
        <w:rPr>
          <w:rFonts w:ascii="Times New Roman" w:cs="Times New Roman" w:eastAsia="Times New Roman" w:hAnsi="Times New Roman"/>
          <w:b/>
          <w:bCs/>
          <w:color w:val="1E293B"/>
          <w:sz w:val="32"/>
          <w:szCs w:val="32"/>
        </w:rPr>
        <w:t xml:space="preserve">ÉTAT DES LIEUX &amp; PLAN DE COMMERCIALISATION</w:t>
      </w:r>
    </w:p>
    <w:p>
      <w:pPr>
        <w:spacing w:after="100"/>
        <w:jc w:val="center"/>
      </w:pPr>
      <w:r>
        <w:rPr>
          <w:rFonts w:ascii="Times New Roman" w:cs="Times New Roman" w:eastAsia="Times New Roman" w:hAnsi="Times New Roman"/>
          <w:color w:val="64748B"/>
          <w:sz w:val="24"/>
          <w:szCs w:val="24"/>
        </w:rPr>
        <w:t xml:space="preserve">Document Stratégique</w:t>
      </w:r>
    </w:p>
    <w:p>
      <w:pPr>
        <w:spacing w:before="3000"/>
      </w:pPr>
    </w:p>
    <w:p>
      <w:pPr>
        <w:jc w:val="center"/>
      </w:pPr>
      <w:r>
        <w:rPr>
          <w:rFonts w:ascii="Times New Roman" w:cs="Times New Roman" w:eastAsia="Times New Roman" w:hAnsi="Times New Roman"/>
          <w:color w:val="94A3B8"/>
          <w:sz w:val="22"/>
          <w:szCs w:val="22"/>
        </w:rPr>
        <w:t xml:space="preserve">Version 1.0 - Mars 2026</w:t>
      </w:r>
    </w:p>
    <w:p>
      <w:r>
        <w:br w:type="page"/>
      </w:r>
    </w:p>
    <w:p>
      <w:pPr>
        <w:sectPr>
          <w:pgSz w:w="11906" w:h="16838" w:orient="portrait"/>
          <w:pgMar w:top="0" w:right="0" w:bottom="0" w:left="0" w:header="708" w:footer="708" w:gutter="0"/>
          <w:pgNumType/>
          <w:docGrid w:linePitch="360"/>
        </w:sectPr>
      </w:pPr>
    </w:p>
    <w:p>
      <w:pPr>
        <w:pStyle w:val="Heading1"/>
      </w:pPr>
      <w:r>
        <w:rPr>
          <w:rFonts w:ascii="Times New Roman" w:cs="Times New Roman" w:eastAsia="Times New Roman" w:hAnsi="Times New Roman"/>
        </w:rPr>
        <w:t xml:space="preserve">Table des Matières</w:t>
      </w:r>
    </w:p>
    <w:sdt>
      <w:sdtPr>
        <w:alias w:val="Table des Matières"/>
      </w:sdtPr>
      <w:sdtContent>
        <w:p>
          <w:r>
            <w:fldChar w:fldCharType="begin" w:dirty="true"/>
            <w:instrText xml:space="preserve">TOC \h \o "1-3"</w:instrText>
            <w:fldChar w:fldCharType="separate"/>
          </w:r>
        </w:p>
        <w:p>
          <w:pPr>
            <w:pStyle w:val="9"/>
            <w:tabs>
              <w:tab w:val="right" w:leader="dot" w:pos="9026"/>
            </w:tabs>
          </w:pPr>
          <w:r>
            <w:t>1. Résumé Exécutif</w:t>
          </w:r>
          <w:r>
            <w:tab/>
          </w:r>
          <w:r>
            <w:t>1</w:t>
          </w:r>
        </w:p>
        <w:p>
          <w:pPr>
            <w:pStyle w:val="9"/>
            <w:tabs>
              <w:tab w:val="right" w:leader="dot" w:pos="9026"/>
            </w:tabs>
          </w:pPr>
          <w:r>
            <w:t>2. État des Lieux du Projet</w:t>
          </w:r>
          <w:r>
            <w:tab/>
          </w:r>
          <w:r>
            <w:t>2</w:t>
          </w:r>
        </w:p>
        <w:p>
          <w:pPr>
            <w:pStyle w:val="11"/>
            <w:ind w:left="360"/>
            <w:tabs>
              <w:tab w:val="right" w:leader="dot" w:pos="9026"/>
            </w:tabs>
          </w:pPr>
          <w:r>
            <w:t>2.1 Architecture Technique</w:t>
          </w:r>
          <w:r>
            <w:tab/>
          </w:r>
          <w:r>
            <w:t>2</w:t>
          </w:r>
        </w:p>
        <w:p>
          <w:pPr>
            <w:pStyle w:val="11"/>
            <w:ind w:left="360"/>
            <w:tabs>
              <w:tab w:val="right" w:leader="dot" w:pos="9026"/>
            </w:tabs>
          </w:pPr>
          <w:r>
            <w:t>2.2 Modèles de Données</w:t>
          </w:r>
          <w:r>
            <w:tab/>
          </w:r>
          <w:r>
            <w:t>3</w:t>
          </w:r>
        </w:p>
        <w:p>
          <w:pPr>
            <w:pStyle w:val="11"/>
            <w:ind w:left="360"/>
            <w:tabs>
              <w:tab w:val="right" w:leader="dot" w:pos="9026"/>
            </w:tabs>
          </w:pPr>
          <w:r>
            <w:t>2.3 Fonctionnalités Implémentées</w:t>
          </w:r>
          <w:r>
            <w:tab/>
          </w:r>
          <w:r>
            <w:t>4</w:t>
          </w:r>
        </w:p>
        <w:p>
          <w:pPr>
            <w:pStyle w:val="11"/>
            <w:ind w:left="360"/>
            <w:tabs>
              <w:tab w:val="right" w:leader="dot" w:pos="9026"/>
            </w:tabs>
          </w:pPr>
          <w:r>
            <w:t>2.4 Intégrations Mobile Money</w:t>
          </w:r>
          <w:r>
            <w:tab/>
          </w:r>
          <w:r>
            <w:t>5</w:t>
          </w:r>
        </w:p>
        <w:p>
          <w:pPr>
            <w:pStyle w:val="11"/>
            <w:ind w:left="360"/>
            <w:tabs>
              <w:tab w:val="right" w:leader="dot" w:pos="9026"/>
            </w:tabs>
          </w:pPr>
          <w:r>
            <w:t>2.5 Infrastructure DevOps</w:t>
          </w:r>
          <w:r>
            <w:tab/>
          </w:r>
          <w:r>
            <w:t>5</w:t>
          </w:r>
        </w:p>
        <w:p>
          <w:pPr>
            <w:pStyle w:val="9"/>
            <w:tabs>
              <w:tab w:val="right" w:leader="dot" w:pos="9026"/>
            </w:tabs>
          </w:pPr>
          <w:r>
            <w:t>3. Analyse SWOT</w:t>
          </w:r>
          <w:r>
            <w:tab/>
          </w:r>
          <w:r>
            <w:t>6</w:t>
          </w:r>
        </w:p>
        <w:p>
          <w:pPr>
            <w:pStyle w:val="9"/>
            <w:tabs>
              <w:tab w:val="right" w:leader="dot" w:pos="9026"/>
            </w:tabs>
          </w:pPr>
          <w:r>
            <w:t>4. Plan de Commercialisation</w:t>
          </w:r>
          <w:r>
            <w:tab/>
          </w:r>
          <w:r>
            <w:t>7</w:t>
          </w:r>
        </w:p>
        <w:p>
          <w:pPr>
            <w:pStyle w:val="11"/>
            <w:ind w:left="360"/>
            <w:tabs>
              <w:tab w:val="right" w:leader="dot" w:pos="9026"/>
            </w:tabs>
          </w:pPr>
          <w:r>
            <w:t>4.1 Stratégie de Pricing</w:t>
          </w:r>
          <w:r>
            <w:tab/>
          </w:r>
          <w:r>
            <w:t>7</w:t>
          </w:r>
        </w:p>
        <w:p>
          <w:pPr>
            <w:pStyle w:val="11"/>
            <w:ind w:left="360"/>
            <w:tabs>
              <w:tab w:val="right" w:leader="dot" w:pos="9026"/>
            </w:tabs>
          </w:pPr>
          <w:r>
            <w:t>4.2 Segmentation Cible</w:t>
          </w:r>
          <w:r>
            <w:tab/>
          </w:r>
          <w:r>
            <w:t>8</w:t>
          </w:r>
        </w:p>
        <w:p>
          <w:pPr>
            <w:pStyle w:val="11"/>
            <w:ind w:left="360"/>
            <w:tabs>
              <w:tab w:val="right" w:leader="dot" w:pos="9026"/>
            </w:tabs>
          </w:pPr>
          <w:r>
            <w:t>4.3 Canaux de Distribution</w:t>
          </w:r>
          <w:r>
            <w:tab/>
          </w:r>
          <w:r>
            <w:t>9</w:t>
          </w:r>
        </w:p>
        <w:p>
          <w:pPr>
            <w:pStyle w:val="11"/>
            <w:ind w:left="360"/>
            <w:tabs>
              <w:tab w:val="right" w:leader="dot" w:pos="9026"/>
            </w:tabs>
          </w:pPr>
          <w:r>
            <w:t>4.4 Roadmap de Lancement</w:t>
          </w:r>
          <w:r>
            <w:tab/>
          </w:r>
          <w:r>
            <w:t>10</w:t>
          </w:r>
        </w:p>
        <w:p>
          <w:pPr>
            <w:pStyle w:val="11"/>
            <w:ind w:left="360"/>
            <w:tabs>
              <w:tab w:val="right" w:leader="dot" w:pos="9026"/>
            </w:tabs>
          </w:pPr>
          <w:r>
            <w:t>4.5 Budget Marketing Prévisionnel</w:t>
          </w:r>
          <w:r>
            <w:tab/>
          </w:r>
          <w:r>
            <w:t>11</w:t>
          </w:r>
        </w:p>
        <w:p>
          <w:pPr>
            <w:pStyle w:val="11"/>
            <w:ind w:left="360"/>
            <w:tabs>
              <w:tab w:val="right" w:leader="dot" w:pos="9026"/>
            </w:tabs>
          </w:pPr>
          <w:r>
            <w:t>4.6 Indicateurs de Performance (KPIs)</w:t>
          </w:r>
          <w:r>
            <w:tab/>
          </w:r>
          <w:r>
            <w:t>12</w:t>
          </w:r>
        </w:p>
        <w:p>
          <w:pPr>
            <w:pStyle w:val="9"/>
            <w:tabs>
              <w:tab w:val="right" w:leader="dot" w:pos="9026"/>
            </w:tabs>
          </w:pPr>
          <w:r>
            <w:t>5. Actions Prioritaires Immédiates</w:t>
          </w:r>
          <w:r>
            <w:tab/>
          </w:r>
          <w:r>
            <w:t>13</w:t>
          </w:r>
        </w:p>
        <w:p>
          <w:pPr>
            <w:pStyle w:val="9"/>
            <w:tabs>
              <w:tab w:val="right" w:leader="dot" w:pos="9026"/>
            </w:tabs>
          </w:pPr>
          <w:r>
            <w:t>6. Synthèse et Recommandations</w:t>
          </w:r>
          <w:r>
            <w:tab/>
          </w:r>
          <w:r>
            <w:t>14</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Note : Clic droit sur la table → « Mettre à jour le champ » pour actualiser les numéros de page.</w:t>
      </w:r>
    </w:p>
    <w:p>
      <w:r>
        <w:br w:type="page"/>
      </w:r>
    </w:p>
    <w:p>
      <w:pPr>
        <w:pStyle w:val="Heading1"/>
      </w:pPr>
      <w:r>
        <w:rPr>
          <w:rFonts w:ascii="Times New Roman" w:cs="Times New Roman" w:eastAsia="Times New Roman" w:hAnsi="Times New Roman"/>
        </w:rPr>
        <w:t xml:space="preserve">1. Résumé Exécutif</w:t>
      </w:r>
    </w:p>
    <w:p>
      <w:pPr>
        <w:spacing w:after="200" w:line="312"/>
      </w:pPr>
      <w:r>
        <w:rPr>
          <w:rFonts w:ascii="Times New Roman" w:cs="Times New Roman" w:eastAsia="Times New Roman" w:hAnsi="Times New Roman"/>
        </w:rPr>
        <w:t xml:space="preserve">Restaurant OS est une plateforme SaaS (Software as a Service) innovante conçue spécifiquement pour répondre aux besoins uniques du marché restauratoire africain. Cette solution tout-en-un permet aux restaurants de gérer l'ensemble de leurs opérations : prises de commandes, gestion des livraisons par motos, paiements Mobile Money, gestion du personnel, et analyse des données commerciales. Développée avec une architecture multi-tenant moderne, la plateforme offre une flexibilité exceptionnelle permettant à chaque organisation de gérer plusieurs marques et restaurants depuis une interface centralisée.</w:t>
      </w:r>
    </w:p>
    <w:p>
      <w:pPr>
        <w:spacing w:after="200" w:line="312"/>
      </w:pPr>
      <w:r>
        <w:rPr>
          <w:rFonts w:ascii="Times New Roman" w:cs="Times New Roman" w:eastAsia="Times New Roman" w:hAnsi="Times New Roman"/>
        </w:rPr>
        <w:t xml:space="preserve">Le projet représente un investissement technologique significatif avec plus de 50 modèles de données, 20 endpoints API, et une interface utilisateur moderne développée avec Next.js 16. La différenciation principale réside dans l'intégration native des modes de paiement africains (Orange Money, MTN MoMo, Wave, M-Pesa) et l'optimisation pour les livraisons par motos, répondant ainsi aux réalités logistiques du continent. Ce document présente un état des lieux complet du projet ainsi qu'un plan stratégique de commercialisation pour conquérir le marché africain de la restauration.</w:t>
      </w:r>
    </w:p>
    <w:p>
      <w:pPr>
        <w:pStyle w:val="Heading1"/>
      </w:pPr>
      <w:r>
        <w:rPr>
          <w:rFonts w:ascii="Times New Roman" w:cs="Times New Roman" w:eastAsia="Times New Roman" w:hAnsi="Times New Roman"/>
        </w:rPr>
        <w:t xml:space="preserve">2. État des Lieux du Projet</w:t>
      </w:r>
    </w:p>
    <w:p>
      <w:pPr>
        <w:pStyle w:val="Heading2"/>
      </w:pPr>
      <w:r>
        <w:rPr>
          <w:rFonts w:ascii="Times New Roman" w:cs="Times New Roman" w:eastAsia="Times New Roman" w:hAnsi="Times New Roman"/>
        </w:rPr>
        <w:t xml:space="preserve">2.1 Architecture Technique</w:t>
      </w:r>
    </w:p>
    <w:p>
      <w:pPr>
        <w:spacing w:after="200" w:line="312"/>
      </w:pPr>
      <w:r>
        <w:rPr>
          <w:rFonts w:ascii="Times New Roman" w:cs="Times New Roman" w:eastAsia="Times New Roman" w:hAnsi="Times New Roman"/>
        </w:rPr>
        <w:t xml:space="preserve">Le projet Restaurant OS repose sur une architecture moderne et évolutive, conçue pour répondre aux exigences d'une plateforme SaaS multi-tenant. L'architecture adopte le pattern monolithique modulaire avec un microservice dédié pour les fonctionnalités temps réel, permettant une scalabilité horizontale des fonctionnalités critiques comme le suivi des livraisons en temps réel et les mises à jour du kitchen display system. Cette approche hybride offre l'avantage d'un déploiement simplifié tout en conservant la capacité de scaler indépendamment les composants gourmands en ressources.</w:t>
      </w:r>
    </w:p>
    <w:p>
      <w:pPr>
        <w:spacing w:after="200" w:line="312"/>
      </w:pPr>
      <w:r>
        <w:rPr>
          <w:rFonts w:ascii="Times New Roman" w:cs="Times New Roman" w:eastAsia="Times New Roman" w:hAnsi="Times New Roman"/>
        </w:rPr>
        <w:t xml:space="preserve">La couche présentation utilise Next.js 16 avec l'App Router, bénéficiant du Server-Side Rendering pour des performances optimales et du SEO amélioré. L'interface est divisée en plusieurs modules distincts : le tableau de bord principal (/app), l'interface cuisine (/kitchen), l'application livreurs (/driver), et l'interface personnel (/staff). Cette séparation permet d'optimiser chaque expérience utilisateur selon le contexte d'utilisation, que ce soit sur un terminal mobile pour les livreurs ou sur un écran dédié pour la cuisine.</w:t>
      </w:r>
    </w:p>
    <w:p>
      <w:pPr>
        <w:spacing w:after="200" w:before="300"/>
        <w:jc w:val="center"/>
      </w:pPr>
      <w:r>
        <w:rPr>
          <w:rFonts w:ascii="Times New Roman" w:cs="Times New Roman" w:eastAsia="Times New Roman" w:hAnsi="Times New Roman"/>
          <w:b/>
          <w:bCs/>
          <w:color w:val="64748B"/>
          <w:sz w:val="20"/>
          <w:szCs w:val="20"/>
        </w:rPr>
        <w:t xml:space="preserve">Tableau 1 : Stack Technique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000"/>
        <w:gridCol w:w="3000"/>
      </w:tblGrid>
      <w:tr>
        <w:trPr>
          <w:tblHeader/>
        </w:trPr>
        <w:tc>
          <w:tcPr>
            <w:tcW w:type="dxa" w:w="30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Couche</w:t>
            </w:r>
          </w:p>
        </w:tc>
        <w:tc>
          <w:tcPr>
            <w:tcW w:type="dxa" w:w="30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Technologie</w:t>
            </w:r>
          </w:p>
        </w:tc>
        <w:tc>
          <w:tcPr>
            <w:tcW w:type="dxa" w:w="30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Version</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Framework</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Next.js</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16.1.1</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Langage</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TypeScript</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5.x</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Styling</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Tailwind CSS</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4.x</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UI Components</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shadcn/ui (Radix)</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Latest</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State Management</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Zustand + TanStack Query</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5.x</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ORM</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Prisma</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6.11.1</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Database Dev</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SQLite</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Database Prod</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PostgreSQL</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15</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Real-time</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Socket.io</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4.8.3</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Charts</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Recharts</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2.15.4</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Auth</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NextAuth.js</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4.24.11</w:t>
            </w:r>
          </w:p>
        </w:tc>
      </w:tr>
      <w:tr>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Testing</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Vitest + Playwright</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4.x / 1.42</w:t>
            </w:r>
          </w:p>
        </w:tc>
      </w:tr>
    </w:tbl>
    <w:p>
      <w:pPr>
        <w:pStyle w:val="Heading2"/>
      </w:pPr>
      <w:r>
        <w:rPr>
          <w:rFonts w:ascii="Times New Roman" w:cs="Times New Roman" w:eastAsia="Times New Roman" w:hAnsi="Times New Roman"/>
        </w:rPr>
        <w:t xml:space="preserve">2.2 Modèles de Données</w:t>
      </w:r>
    </w:p>
    <w:p>
      <w:pPr>
        <w:spacing w:after="200" w:line="312"/>
      </w:pPr>
      <w:r>
        <w:rPr>
          <w:rFonts w:ascii="Times New Roman" w:cs="Times New Roman" w:eastAsia="Times New Roman" w:hAnsi="Times New Roman"/>
        </w:rPr>
        <w:t xml:space="preserve">Le schéma de base de données compte plus de 50 modèles Prisma, couvrant l'ensemble des domaines fonctionnels d'un restaurant moderne. Cette richesse fonctionnelle témoigne de la maturité du projet et de sa capacité à répondre aux besoins complexes de la gestion restauratoire. L'architecture multi-tenant permet à chaque organisation de gérer hiérarchiquement ses entités selon le modèle : Organisation → Marque → Restaurant. Cette structure supporte les plans d'abonnement progressifs (STARTER, PRO, BUSINESS, ENTERPRISE) avec des fonctionnalités débloquées selon le niveau choisi.</w:t>
      </w:r>
    </w:p>
    <w:p>
      <w:pPr>
        <w:spacing w:after="200" w:before="300"/>
        <w:jc w:val="center"/>
      </w:pPr>
      <w:r>
        <w:rPr>
          <w:rFonts w:ascii="Times New Roman" w:cs="Times New Roman" w:eastAsia="Times New Roman" w:hAnsi="Times New Roman"/>
          <w:b/>
          <w:bCs/>
          <w:color w:val="64748B"/>
          <w:sz w:val="20"/>
          <w:szCs w:val="20"/>
        </w:rPr>
        <w:t xml:space="preserve">Tableau 2 : Domaines Fonctionnels et Modèles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500"/>
      </w:tblGrid>
      <w:tr>
        <w:trPr>
          <w:tblHeader/>
        </w:trPr>
        <w:tc>
          <w:tcPr>
            <w:tcW w:type="dxa" w:w="3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Domaine</w:t>
            </w:r>
          </w:p>
        </w:tc>
        <w:tc>
          <w:tcPr>
            <w:tcW w:type="dxa" w:w="5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Modèles Principaux</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Auth &amp; Utilisateurs</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User, Session, RefreshToken, OtpCode, AuditLog</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Organisation</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Organization, OrganizationSettings, Brand</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Restaurant</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Restaurant, RestaurantSettings, RestaurantHour</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Menu</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Menu, MenuCategory, MenuItem, MenuItemVariant, Allergen</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Commandes</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Order, OrderItem, OrderStatusHistory, Cart</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Livraison</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DeliveryZone, Delivery, DeliveryTrackingEvent</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Livreurs</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Driver, DriverSession, DriverLocation, DriverWallet</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CRM &amp; Fidélité</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CustomerProfile, LoyaltyTransaction, LoyaltyReward</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Inventaire</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StockMovement, Supplier, PurchaseOrder</w:t>
            </w:r>
          </w:p>
        </w:tc>
      </w:tr>
      <w:tr>
        <w:tc>
          <w:tcPr>
            <w:tcW w:type="dxa" w:w="3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Localisation</w:t>
            </w:r>
          </w:p>
        </w:tc>
        <w:tc>
          <w:tcPr>
            <w:tcW w:type="dxa" w:w="5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Country, City, District, Currency, TaxRule</w:t>
            </w:r>
          </w:p>
        </w:tc>
      </w:tr>
    </w:tbl>
    <w:p>
      <w:pPr>
        <w:pStyle w:val="Heading2"/>
      </w:pPr>
      <w:r>
        <w:rPr>
          <w:rFonts w:ascii="Times New Roman" w:cs="Times New Roman" w:eastAsia="Times New Roman" w:hAnsi="Times New Roman"/>
        </w:rPr>
        <w:t xml:space="preserve">2.3 Fonctionnalités Implémentées</w:t>
      </w:r>
    </w:p>
    <w:p>
      <w:pPr>
        <w:spacing w:after="200" w:line="312"/>
      </w:pPr>
      <w:r>
        <w:rPr>
          <w:rFonts w:ascii="Times New Roman" w:cs="Times New Roman" w:eastAsia="Times New Roman" w:hAnsi="Times New Roman"/>
        </w:rPr>
        <w:t xml:space="preserve">Le tableau de bord principal offre une vue d'ensemble complète avec des cartes KPI affichant les ventes, commandes, et performances. Les graphiques de ventes interactifs permettent d'analyser les tendances sur différentes périodes. Le module de gestion des commandes présente une vue Kanban intuitive permettant de suivre le statut des commandes en temps réel, avec possibilité de filtrer par type de commande (sur place, à emporter, livraison, drive).</w:t>
      </w:r>
    </w:p>
    <w:p>
      <w:pPr>
        <w:spacing w:after="200" w:line="312"/>
      </w:pPr>
      <w:r>
        <w:rPr>
          <w:rFonts w:ascii="Times New Roman" w:cs="Times New Roman" w:eastAsia="Times New Roman" w:hAnsi="Times New Roman"/>
        </w:rPr>
        <w:t xml:space="preserve">Le Kitchen Display System (KDS) constitue une innovation majeure, offrant une interface dédiée aux cuisiniers avec affichage des commandes en temps réel, gestion des priorités, et chronomètre de préparation. L'application livreurs permet le suivi GPS en temps réel, la gestion des tournées, et le calcul automatique des gains avec système de wallet intégré. Ces interfaces optimisées pour mobile répondent aux contraintes terrain des livreurs moto africains.</w:t>
      </w:r>
    </w:p>
    <w:p>
      <w:pPr>
        <w:spacing w:after="200" w:before="300"/>
        <w:jc w:val="center"/>
      </w:pPr>
      <w:r>
        <w:rPr>
          <w:rFonts w:ascii="Times New Roman" w:cs="Times New Roman" w:eastAsia="Times New Roman" w:hAnsi="Times New Roman"/>
          <w:b/>
          <w:bCs/>
          <w:color w:val="64748B"/>
          <w:sz w:val="20"/>
          <w:szCs w:val="20"/>
        </w:rPr>
        <w:t xml:space="preserve">Tableau 3 : Modules Principaux et État d'Avancement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4500"/>
        <w:gridCol w:w="2000"/>
      </w:tblGrid>
      <w:tr>
        <w:trPr>
          <w:tblHeader/>
        </w:trPr>
        <w:tc>
          <w:tcPr>
            <w:tcW w:type="dxa" w:w="2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Module</w:t>
            </w:r>
          </w:p>
        </w:tc>
        <w:tc>
          <w:tcPr>
            <w:tcW w:type="dxa" w:w="4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Description</w:t>
            </w:r>
          </w:p>
        </w:tc>
        <w:tc>
          <w:tcPr>
            <w:tcW w:type="dxa" w:w="20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Statut</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Dashboard</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KPI, graphiques ventes, statut commandes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6A34A"/>
                <w:sz w:val="20"/>
                <w:szCs w:val="20"/>
              </w:rPr>
              <w:t xml:space="preserve">Complet</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Commandes</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Vue Kanban, filtrage, gestion statuts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6A34A"/>
                <w:sz w:val="20"/>
                <w:szCs w:val="20"/>
              </w:rPr>
              <w:t xml:space="preserve">Complet</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Menu</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Gestion catégories, items, variants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Implémenté</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Livraisons</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Zones, suivi temps réel</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Implémenté</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Livreurs</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Gestion, wallet, localisation GPS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6A34A"/>
                <w:sz w:val="20"/>
                <w:szCs w:val="20"/>
              </w:rPr>
              <w:t xml:space="preserve">Complet</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KDS (Cuisine)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Affichage commandes, priorités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6A34A"/>
                <w:sz w:val="20"/>
                <w:szCs w:val="20"/>
              </w:rPr>
              <w:t xml:space="preserve">Complet</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Analytics</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Métriques, KPI, prédictions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Implémenté</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Inventaire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Stock, alertes, réapprovisionnement</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Implémenté</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Employés</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Rôles, shifts, payroll</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Implémenté</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Fidélité</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Programme 5 niveaux, récompenses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Implémenté</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Paiements Mobile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Orange, MTN, Wave, M-Pesa</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Intégré</w:t>
            </w:r>
          </w:p>
        </w:tc>
      </w:tr>
      <w:tr>
        <w:tc>
          <w:tcPr>
            <w:tcW w:type="dxa" w:w="2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PWA</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Application hors-ligne, notifications</w:t>
            </w:r>
          </w:p>
        </w:tc>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E293B"/>
                <w:sz w:val="20"/>
                <w:szCs w:val="20"/>
              </w:rPr>
              <w:t xml:space="preserve">Configuré</w:t>
            </w:r>
          </w:p>
        </w:tc>
      </w:tr>
    </w:tbl>
    <w:p>
      <w:pPr>
        <w:pStyle w:val="Heading2"/>
      </w:pPr>
      <w:r>
        <w:rPr>
          <w:rFonts w:ascii="Times New Roman" w:cs="Times New Roman" w:eastAsia="Times New Roman" w:hAnsi="Times New Roman"/>
        </w:rPr>
        <w:t xml:space="preserve">2.4 Intégrations Mobile Money</w:t>
      </w:r>
    </w:p>
    <w:p>
      <w:pPr>
        <w:spacing w:after="200" w:line="312"/>
      </w:pPr>
      <w:r>
        <w:rPr>
          <w:rFonts w:ascii="Times New Roman" w:cs="Times New Roman" w:eastAsia="Times New Roman" w:hAnsi="Times New Roman"/>
        </w:rPr>
        <w:t xml:space="preserve">L'un des atouts majeurs de Restaurant OS réside dans son intégration native des principaux services de Mobile Money africains. Contrairement aux solutions occidentales qui négligent ces modes de paiement pourtant prédominants en Afrique, Restaurant OS propose des webhooks dédiés pour Orange Money, MTN Mobile Money, Wave et M-Pesa. Cette couverture couvre les principaux marchés ouest-africains et est-africains, représentant un potentiel de plusieurs centaines de millions d'utilisateurs.</w:t>
      </w:r>
    </w:p>
    <w:p>
      <w:pPr>
        <w:spacing w:after="200" w:line="312"/>
      </w:pPr>
      <w:r>
        <w:rPr>
          <w:rFonts w:ascii="Times New Roman" w:cs="Times New Roman" w:eastAsia="Times New Roman" w:hAnsi="Times New Roman"/>
        </w:rPr>
        <w:t xml:space="preserve">L'architecture des webhooks assure une sécurité optimale avec vérification des signatures cryptographiques, gestion des idempotences pour éviter les doubles paiements, et logging détaillé pour l'audit et le débogage. Le système supporte également les paiements en espèces, mode de paiement encore très répandu sur le continent, permettant aux restaurants de servir l'ensemble de leur clientèle quelle que soit sa préférence de paiement.</w:t>
      </w:r>
    </w:p>
    <w:p>
      <w:pPr>
        <w:pStyle w:val="Heading2"/>
      </w:pPr>
      <w:r>
        <w:rPr>
          <w:rFonts w:ascii="Times New Roman" w:cs="Times New Roman" w:eastAsia="Times New Roman" w:hAnsi="Times New Roman"/>
        </w:rPr>
        <w:t xml:space="preserve">2.5 Infrastructure DevOps</w:t>
      </w:r>
    </w:p>
    <w:p>
      <w:pPr>
        <w:spacing w:after="200" w:line="312"/>
      </w:pPr>
      <w:r>
        <w:rPr>
          <w:rFonts w:ascii="Times New Roman" w:cs="Times New Roman" w:eastAsia="Times New Roman" w:hAnsi="Times New Roman"/>
        </w:rPr>
        <w:t xml:space="preserve">Le projet dispose d'une infrastructure DevOps complète et professionnelle, facilitant le déploiement et la maintenance. La conteneurisation Docker est entièrement configurée avec des Dockerfiles dédiés pour l'application principale, le service temps réel, et les environnements de production. Le fichier docker-compose.yml orchestre l'ensemble des services : application Next.js, base de données PostgreSQL, cache Redis, service Socket.io, et reverse proxy Nginx.</w:t>
      </w:r>
    </w:p>
    <w:p>
      <w:pPr>
        <w:spacing w:after="200" w:line="312"/>
      </w:pPr>
      <w:r>
        <w:rPr>
          <w:rFonts w:ascii="Times New Roman" w:cs="Times New Roman" w:eastAsia="Times New Roman" w:hAnsi="Times New Roman"/>
        </w:rPr>
        <w:t xml:space="preserve">Le monitoring production est assuré par Sentry avec des configurations dédiées pour le client, le serveur et les edge functions. Cette instrumentation permet le tracking automatique des erreurs, le monitoring des performances avec les transactions distributed tracing, et les alertes proactives. Les tests automatisés combinent Vitest pour les tests unitaires et Playwright pour les tests end-to-end, assurant une qualité de code constante.</w:t>
      </w:r>
    </w:p>
    <w:p>
      <w:pPr>
        <w:pStyle w:val="Heading1"/>
      </w:pPr>
      <w:r>
        <w:rPr>
          <w:rFonts w:ascii="Times New Roman" w:cs="Times New Roman" w:eastAsia="Times New Roman" w:hAnsi="Times New Roman"/>
        </w:rPr>
        <w:t xml:space="preserve">3. Analyse SWOT</w:t>
      </w:r>
    </w:p>
    <w:p>
      <w:pPr>
        <w:spacing w:after="200" w:line="312"/>
      </w:pPr>
      <w:r>
        <w:rPr>
          <w:rFonts w:ascii="Times New Roman" w:cs="Times New Roman" w:eastAsia="Times New Roman" w:hAnsi="Times New Roman"/>
        </w:rPr>
        <w:t xml:space="preserve">L'analyse SWOT permet d'évaluer la position concurrentielle de Restaurant OS sur le marché africain de la restauration. Cette étude identifie les forces à valoriser, les faiblesses à corriger, les opportunités à saisir et les menaces à anticiper pour élaborer une stratégie de commercialisation efficace et réaliste.</w:t>
      </w:r>
    </w:p>
    <w:p>
      <w:pPr>
        <w:spacing w:after="200" w:before="300"/>
        <w:jc w:val="center"/>
      </w:pPr>
      <w:r>
        <w:rPr>
          <w:rFonts w:ascii="Times New Roman" w:cs="Times New Roman" w:eastAsia="Times New Roman" w:hAnsi="Times New Roman"/>
          <w:b/>
          <w:bCs/>
          <w:color w:val="64748B"/>
          <w:sz w:val="20"/>
          <w:szCs w:val="20"/>
        </w:rPr>
        <w:t xml:space="preserve">Tableau 4 : Analyse SWOT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500"/>
        <w:gridCol w:w="4500"/>
      </w:tblGrid>
      <w:tr>
        <w:tc>
          <w:tcPr>
            <w:tcW w:type="dxa" w:w="4500"/>
            <w:tcBorders>
              <w:top w:val="single" w:color="CBD5E1" w:sz="1"/>
              <w:left w:val="single" w:color="CBD5E1" w:sz="1"/>
              <w:bottom w:val="single" w:color="CBD5E1" w:sz="1"/>
              <w:right w:val="single" w:color="CBD5E1" w:sz="1"/>
            </w:tcBorders>
            <w:shd w:fill="DCFCE7" w:val="clear"/>
            <w:vAlign w:val="center"/>
          </w:tcPr>
          <w:p>
            <w:pPr>
              <w:jc w:val="center"/>
            </w:pPr>
            <w:r>
              <w:rPr>
                <w:rFonts w:ascii="Times New Roman" w:cs="Times New Roman" w:eastAsia="Times New Roman" w:hAnsi="Times New Roman"/>
                <w:b/>
                <w:bCs/>
                <w:color w:val="166534"/>
                <w:sz w:val="24"/>
                <w:szCs w:val="24"/>
              </w:rPr>
              <w:t xml:space="preserve">FORCES</w:t>
            </w:r>
          </w:p>
        </w:tc>
        <w:tc>
          <w:tcPr>
            <w:tcW w:type="dxa" w:w="4500"/>
            <w:tcBorders>
              <w:top w:val="single" w:color="CBD5E1" w:sz="1"/>
              <w:left w:val="single" w:color="CBD5E1" w:sz="1"/>
              <w:bottom w:val="single" w:color="CBD5E1" w:sz="1"/>
              <w:right w:val="single" w:color="CBD5E1" w:sz="1"/>
            </w:tcBorders>
            <w:shd w:fill="FEE2E2" w:val="clear"/>
            <w:vAlign w:val="center"/>
          </w:tcPr>
          <w:p>
            <w:pPr>
              <w:jc w:val="center"/>
            </w:pPr>
            <w:r>
              <w:rPr>
                <w:rFonts w:ascii="Times New Roman" w:cs="Times New Roman" w:eastAsia="Times New Roman" w:hAnsi="Times New Roman"/>
                <w:b/>
                <w:bCs/>
                <w:color w:val="991B1B"/>
                <w:sz w:val="24"/>
                <w:szCs w:val="24"/>
              </w:rPr>
              <w:t xml:space="preserve">FAIBLESSES</w:t>
            </w:r>
          </w:p>
        </w:tc>
      </w:tr>
      <w:tr>
        <w:tc>
          <w:tcPr>
            <w:tcW w:type="dxa" w:w="4500"/>
            <w:tcBorders>
              <w:top w:val="single" w:color="CBD5E1" w:sz="1"/>
              <w:left w:val="single" w:color="CBD5E1" w:sz="1"/>
              <w:bottom w:val="single" w:color="CBD5E1" w:sz="1"/>
              <w:right w:val="single" w:color="CBD5E1" w:sz="1"/>
            </w:tcBorders>
            <w:vAlign w:val="top"/>
          </w:tcPr>
          <w:p>
            <w:pPr>
              <w:spacing w:after="80"/>
            </w:pPr>
            <w:r>
              <w:rPr>
                <w:rFonts w:ascii="Times New Roman" w:cs="Times New Roman" w:eastAsia="Times New Roman" w:hAnsi="Times New Roman"/>
                <w:sz w:val="20"/>
                <w:szCs w:val="20"/>
              </w:rPr>
              <w:t xml:space="preserve">• Mobile Money natif (4 opérateurs)</w:t>
            </w:r>
          </w:p>
          <w:p>
            <w:pPr>
              <w:spacing w:after="80"/>
            </w:pPr>
            <w:r>
              <w:rPr>
                <w:rFonts w:ascii="Times New Roman" w:cs="Times New Roman" w:eastAsia="Times New Roman" w:hAnsi="Times New Roman"/>
                <w:sz w:val="20"/>
                <w:szCs w:val="20"/>
              </w:rPr>
              <w:t xml:space="preserve">• Architecture multi-tenant moderne</w:t>
            </w:r>
          </w:p>
          <w:p>
            <w:pPr>
              <w:spacing w:after="80"/>
            </w:pPr>
            <w:r>
              <w:rPr>
                <w:rFonts w:ascii="Times New Roman" w:cs="Times New Roman" w:eastAsia="Times New Roman" w:hAnsi="Times New Roman"/>
                <w:sz w:val="20"/>
                <w:szCs w:val="20"/>
              </w:rPr>
              <w:t xml:space="preserve">• KDS et suivi livraison temps réel</w:t>
            </w:r>
          </w:p>
          <w:p>
            <w:pPr>
              <w:spacing w:after="80"/>
            </w:pPr>
            <w:r>
              <w:rPr>
                <w:rFonts w:ascii="Times New Roman" w:cs="Times New Roman" w:eastAsia="Times New Roman" w:hAnsi="Times New Roman"/>
                <w:sz w:val="20"/>
                <w:szCs w:val="20"/>
              </w:rPr>
              <w:t xml:space="preserve">• 50+ modèles fonctionnels complets</w:t>
            </w:r>
          </w:p>
          <w:p>
            <w:pPr>
              <w:spacing w:after="80"/>
            </w:pPr>
            <w:r>
              <w:rPr>
                <w:rFonts w:ascii="Times New Roman" w:cs="Times New Roman" w:eastAsia="Times New Roman" w:hAnsi="Times New Roman"/>
                <w:sz w:val="20"/>
                <w:szCs w:val="20"/>
              </w:rPr>
              <w:t xml:space="preserve">• PWA offline-first pour zones rurales</w:t>
            </w:r>
          </w:p>
          <w:p>
            <w:r>
              <w:rPr>
                <w:rFonts w:ascii="Times New Roman" w:cs="Times New Roman" w:eastAsia="Times New Roman" w:hAnsi="Times New Roman"/>
                <w:sz w:val="20"/>
                <w:szCs w:val="20"/>
              </w:rPr>
              <w:t xml:space="preserve">• Stack technique moderne (Next.js 16)</w:t>
            </w:r>
          </w:p>
        </w:tc>
        <w:tc>
          <w:tcPr>
            <w:tcW w:type="dxa" w:w="4500"/>
            <w:tcBorders>
              <w:top w:val="single" w:color="CBD5E1" w:sz="1"/>
              <w:left w:val="single" w:color="CBD5E1" w:sz="1"/>
              <w:bottom w:val="single" w:color="CBD5E1" w:sz="1"/>
              <w:right w:val="single" w:color="CBD5E1" w:sz="1"/>
            </w:tcBorders>
            <w:vAlign w:val="top"/>
          </w:tcPr>
          <w:p>
            <w:pPr>
              <w:spacing w:after="80"/>
            </w:pPr>
            <w:r>
              <w:rPr>
                <w:rFonts w:ascii="Times New Roman" w:cs="Times New Roman" w:eastAsia="Times New Roman" w:hAnsi="Times New Roman"/>
                <w:sz w:val="20"/>
                <w:szCs w:val="20"/>
              </w:rPr>
              <w:t xml:space="preserve">• Pas de reconnaissance de marque</w:t>
            </w:r>
          </w:p>
          <w:p>
            <w:pPr>
              <w:spacing w:after="80"/>
            </w:pPr>
            <w:r>
              <w:rPr>
                <w:rFonts w:ascii="Times New Roman" w:cs="Times New Roman" w:eastAsia="Times New Roman" w:hAnsi="Times New Roman"/>
                <w:sz w:val="20"/>
                <w:szCs w:val="20"/>
              </w:rPr>
              <w:t xml:space="preserve">• Documentation utilisateur incomplète</w:t>
            </w:r>
          </w:p>
          <w:p>
            <w:pPr>
              <w:spacing w:after="80"/>
            </w:pPr>
            <w:r>
              <w:rPr>
                <w:rFonts w:ascii="Times New Roman" w:cs="Times New Roman" w:eastAsia="Times New Roman" w:hAnsi="Times New Roman"/>
                <w:sz w:val="20"/>
                <w:szCs w:val="20"/>
              </w:rPr>
              <w:t xml:space="preserve">• Absence d'application mobile native</w:t>
            </w:r>
          </w:p>
          <w:p>
            <w:pPr>
              <w:spacing w:after="80"/>
            </w:pPr>
            <w:r>
              <w:rPr>
                <w:rFonts w:ascii="Times New Roman" w:cs="Times New Roman" w:eastAsia="Times New Roman" w:hAnsi="Times New Roman"/>
                <w:sz w:val="20"/>
                <w:szCs w:val="20"/>
              </w:rPr>
              <w:t xml:space="preserve">• Tests E2E à compléter</w:t>
            </w:r>
          </w:p>
          <w:p>
            <w:pPr>
              <w:spacing w:after="80"/>
            </w:pPr>
            <w:r>
              <w:rPr>
                <w:rFonts w:ascii="Times New Roman" w:cs="Times New Roman" w:eastAsia="Times New Roman" w:hAnsi="Times New Roman"/>
                <w:sz w:val="20"/>
                <w:szCs w:val="20"/>
              </w:rPr>
              <w:t xml:space="preserve">• Support client non structuré</w:t>
            </w:r>
          </w:p>
          <w:p>
            <w:r>
              <w:rPr>
                <w:rFonts w:ascii="Times New Roman" w:cs="Times New Roman" w:eastAsia="Times New Roman" w:hAnsi="Times New Roman"/>
                <w:sz w:val="20"/>
                <w:szCs w:val="20"/>
              </w:rPr>
              <w:t xml:space="preserve">• Pas de références clients</w:t>
            </w:r>
          </w:p>
        </w:tc>
      </w:tr>
      <w:tr>
        <w:tc>
          <w:tcPr>
            <w:tcW w:type="dxa" w:w="4500"/>
            <w:tcBorders>
              <w:top w:val="single" w:color="CBD5E1" w:sz="1"/>
              <w:left w:val="single" w:color="CBD5E1" w:sz="1"/>
              <w:bottom w:val="single" w:color="CBD5E1" w:sz="1"/>
              <w:right w:val="single" w:color="CBD5E1" w:sz="1"/>
            </w:tcBorders>
            <w:shd w:fill="DBEAFE" w:val="clear"/>
            <w:vAlign w:val="center"/>
          </w:tcPr>
          <w:p>
            <w:pPr>
              <w:jc w:val="center"/>
            </w:pPr>
            <w:r>
              <w:rPr>
                <w:rFonts w:ascii="Times New Roman" w:cs="Times New Roman" w:eastAsia="Times New Roman" w:hAnsi="Times New Roman"/>
                <w:b/>
                <w:bCs/>
                <w:color w:val="1E40AF"/>
                <w:sz w:val="24"/>
                <w:szCs w:val="24"/>
              </w:rPr>
              <w:t xml:space="preserve">OPPORTUNITÉS</w:t>
            </w:r>
          </w:p>
        </w:tc>
        <w:tc>
          <w:tcPr>
            <w:tcW w:type="dxa" w:w="4500"/>
            <w:tcBorders>
              <w:top w:val="single" w:color="CBD5E1" w:sz="1"/>
              <w:left w:val="single" w:color="CBD5E1" w:sz="1"/>
              <w:bottom w:val="single" w:color="CBD5E1" w:sz="1"/>
              <w:right w:val="single" w:color="CBD5E1" w:sz="1"/>
            </w:tcBorders>
            <w:shd w:fill="FEF3C7" w:val="clear"/>
            <w:vAlign w:val="center"/>
          </w:tcPr>
          <w:p>
            <w:pPr>
              <w:jc w:val="center"/>
            </w:pPr>
            <w:r>
              <w:rPr>
                <w:rFonts w:ascii="Times New Roman" w:cs="Times New Roman" w:eastAsia="Times New Roman" w:hAnsi="Times New Roman"/>
                <w:b/>
                <w:bCs/>
                <w:color w:val="92400E"/>
                <w:sz w:val="24"/>
                <w:szCs w:val="24"/>
              </w:rPr>
              <w:t xml:space="preserve">MENACES</w:t>
            </w:r>
          </w:p>
        </w:tc>
      </w:tr>
      <w:tr>
        <w:tc>
          <w:tcPr>
            <w:tcW w:type="dxa" w:w="4500"/>
            <w:tcBorders>
              <w:top w:val="single" w:color="CBD5E1" w:sz="1"/>
              <w:left w:val="single" w:color="CBD5E1" w:sz="1"/>
              <w:bottom w:val="single" w:color="CBD5E1" w:sz="1"/>
              <w:right w:val="single" w:color="CBD5E1" w:sz="1"/>
            </w:tcBorders>
            <w:vAlign w:val="top"/>
          </w:tcPr>
          <w:p>
            <w:pPr>
              <w:spacing w:after="80"/>
            </w:pPr>
            <w:r>
              <w:rPr>
                <w:rFonts w:ascii="Times New Roman" w:cs="Times New Roman" w:eastAsia="Times New Roman" w:hAnsi="Times New Roman"/>
                <w:sz w:val="20"/>
                <w:szCs w:val="20"/>
              </w:rPr>
              <w:t xml:space="preserve">• Marché africain en croissance 15%/an</w:t>
            </w:r>
          </w:p>
          <w:p>
            <w:pPr>
              <w:spacing w:after="80"/>
            </w:pPr>
            <w:r>
              <w:rPr>
                <w:rFonts w:ascii="Times New Roman" w:cs="Times New Roman" w:eastAsia="Times New Roman" w:hAnsi="Times New Roman"/>
                <w:sz w:val="20"/>
                <w:szCs w:val="20"/>
              </w:rPr>
              <w:t xml:space="preserve">• Digitalisation post-COVID accélérée</w:t>
            </w:r>
          </w:p>
          <w:p>
            <w:pPr>
              <w:spacing w:after="80"/>
            </w:pPr>
            <w:r>
              <w:rPr>
                <w:rFonts w:ascii="Times New Roman" w:cs="Times New Roman" w:eastAsia="Times New Roman" w:hAnsi="Times New Roman"/>
                <w:sz w:val="20"/>
                <w:szCs w:val="20"/>
              </w:rPr>
              <w:t xml:space="preserve">• Concurrence internationale inadaptée</w:t>
            </w:r>
          </w:p>
          <w:p>
            <w:pPr>
              <w:spacing w:after="80"/>
            </w:pPr>
            <w:r>
              <w:rPr>
                <w:rFonts w:ascii="Times New Roman" w:cs="Times New Roman" w:eastAsia="Times New Roman" w:hAnsi="Times New Roman"/>
                <w:sz w:val="20"/>
                <w:szCs w:val="20"/>
              </w:rPr>
              <w:t xml:space="preserve">• Partenariats télécoms possibles</w:t>
            </w:r>
          </w:p>
          <w:p>
            <w:pPr>
              <w:spacing w:after="80"/>
            </w:pPr>
            <w:r>
              <w:rPr>
                <w:rFonts w:ascii="Times New Roman" w:cs="Times New Roman" w:eastAsia="Times New Roman" w:hAnsi="Times New Roman"/>
                <w:sz w:val="20"/>
                <w:szCs w:val="20"/>
              </w:rPr>
              <w:t xml:space="preserve">• Pénurie de solutions localisées</w:t>
            </w:r>
          </w:p>
          <w:p>
            <w:r>
              <w:rPr>
                <w:rFonts w:ascii="Times New Roman" w:cs="Times New Roman" w:eastAsia="Times New Roman" w:hAnsi="Times New Roman"/>
                <w:sz w:val="20"/>
                <w:szCs w:val="20"/>
              </w:rPr>
              <w:t xml:space="preserve">• Émergence classes moyennes urbaines</w:t>
            </w:r>
          </w:p>
        </w:tc>
        <w:tc>
          <w:tcPr>
            <w:tcW w:type="dxa" w:w="4500"/>
            <w:tcBorders>
              <w:top w:val="single" w:color="CBD5E1" w:sz="1"/>
              <w:left w:val="single" w:color="CBD5E1" w:sz="1"/>
              <w:bottom w:val="single" w:color="CBD5E1" w:sz="1"/>
              <w:right w:val="single" w:color="CBD5E1" w:sz="1"/>
            </w:tcBorders>
            <w:vAlign w:val="top"/>
          </w:tcPr>
          <w:p>
            <w:pPr>
              <w:spacing w:after="80"/>
            </w:pPr>
            <w:r>
              <w:rPr>
                <w:rFonts w:ascii="Times New Roman" w:cs="Times New Roman" w:eastAsia="Times New Roman" w:hAnsi="Times New Roman"/>
                <w:sz w:val="20"/>
                <w:szCs w:val="20"/>
              </w:rPr>
              <w:t xml:space="preserve">• Arrivée d'acteurs internationaux</w:t>
            </w:r>
          </w:p>
          <w:p>
            <w:pPr>
              <w:spacing w:after="80"/>
            </w:pPr>
            <w:r>
              <w:rPr>
                <w:rFonts w:ascii="Times New Roman" w:cs="Times New Roman" w:eastAsia="Times New Roman" w:hAnsi="Times New Roman"/>
                <w:sz w:val="20"/>
                <w:szCs w:val="20"/>
              </w:rPr>
              <w:t xml:space="preserve">• Solutions gratuites ou freemium</w:t>
            </w:r>
          </w:p>
          <w:p>
            <w:pPr>
              <w:spacing w:after="80"/>
            </w:pPr>
            <w:r>
              <w:rPr>
                <w:rFonts w:ascii="Times New Roman" w:cs="Times New Roman" w:eastAsia="Times New Roman" w:hAnsi="Times New Roman"/>
                <w:sz w:val="20"/>
                <w:szCs w:val="20"/>
              </w:rPr>
              <w:t xml:space="preserve">• Instabilité économique locale</w:t>
            </w:r>
          </w:p>
          <w:p>
            <w:pPr>
              <w:spacing w:after="80"/>
            </w:pPr>
            <w:r>
              <w:rPr>
                <w:rFonts w:ascii="Times New Roman" w:cs="Times New Roman" w:eastAsia="Times New Roman" w:hAnsi="Times New Roman"/>
                <w:sz w:val="20"/>
                <w:szCs w:val="20"/>
              </w:rPr>
              <w:t xml:space="preserve">• Infrastructures internet limitées</w:t>
            </w:r>
          </w:p>
          <w:p>
            <w:pPr>
              <w:spacing w:after="80"/>
            </w:pPr>
            <w:r>
              <w:rPr>
                <w:rFonts w:ascii="Times New Roman" w:cs="Times New Roman" w:eastAsia="Times New Roman" w:hAnsi="Times New Roman"/>
                <w:sz w:val="20"/>
                <w:szCs w:val="20"/>
              </w:rPr>
              <w:t xml:space="preserve">• Réticence au changement digital</w:t>
            </w:r>
          </w:p>
          <w:p>
            <w:r>
              <w:rPr>
                <w:rFonts w:ascii="Times New Roman" w:cs="Times New Roman" w:eastAsia="Times New Roman" w:hAnsi="Times New Roman"/>
                <w:sz w:val="20"/>
                <w:szCs w:val="20"/>
              </w:rPr>
              <w:t xml:space="preserve">• Réglementations changeantes</w:t>
            </w:r>
          </w:p>
        </w:tc>
      </w:tr>
    </w:tbl>
    <w:p>
      <w:pPr>
        <w:pStyle w:val="Heading1"/>
      </w:pPr>
      <w:r>
        <w:rPr>
          <w:rFonts w:ascii="Times New Roman" w:cs="Times New Roman" w:eastAsia="Times New Roman" w:hAnsi="Times New Roman"/>
        </w:rPr>
        <w:t xml:space="preserve">4. Plan de Commercialisation</w:t>
      </w:r>
    </w:p>
    <w:p>
      <w:pPr>
        <w:pStyle w:val="Heading2"/>
      </w:pPr>
      <w:r>
        <w:rPr>
          <w:rFonts w:ascii="Times New Roman" w:cs="Times New Roman" w:eastAsia="Times New Roman" w:hAnsi="Times New Roman"/>
        </w:rPr>
        <w:t xml:space="preserve">4.1 Stratégie de Pricing</w:t>
      </w:r>
    </w:p>
    <w:p>
      <w:pPr>
        <w:spacing w:after="200" w:line="312"/>
      </w:pPr>
      <w:r>
        <w:rPr>
          <w:rFonts w:ascii="Times New Roman" w:cs="Times New Roman" w:eastAsia="Times New Roman" w:hAnsi="Times New Roman"/>
        </w:rPr>
        <w:t xml:space="preserve">La stratégie tarifaire adopte une approche de pricing value-based adaptée au pouvoir d'achat local. Les prix sont calculés en USD pour la stabilité mais peuvent être convertis en devises locales au taux du jour. Cette approche garantit une cohérence tarifaire régionale tout en restant accessible aux restaurateurs africains. Le modèle freemium permet aux restaurants de tester la plateforme sans engagement financier initial, facilitant l'adoption par des acteurs souvent réticents aux investissements technologiques.</w:t>
      </w:r>
    </w:p>
    <w:p>
      <w:pPr>
        <w:spacing w:after="200" w:before="300"/>
        <w:jc w:val="center"/>
      </w:pPr>
      <w:r>
        <w:rPr>
          <w:rFonts w:ascii="Times New Roman" w:cs="Times New Roman" w:eastAsia="Times New Roman" w:hAnsi="Times New Roman"/>
          <w:b/>
          <w:bCs/>
          <w:color w:val="64748B"/>
          <w:sz w:val="20"/>
          <w:szCs w:val="20"/>
        </w:rPr>
        <w:t xml:space="preserve">Tableau 5 : Grille Tarifaire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1800"/>
        <w:gridCol w:w="1800"/>
        <w:gridCol w:w="1800"/>
        <w:gridCol w:w="1800"/>
      </w:tblGrid>
      <w:tr>
        <w:trPr>
          <w:tblHeader/>
        </w:trPr>
        <w:tc>
          <w:tcPr>
            <w:tcW w:type="dxa" w:w="1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Plan</w:t>
            </w:r>
          </w:p>
        </w:tc>
        <w:tc>
          <w:tcPr>
            <w:tcW w:type="dxa" w:w="1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Prix/mois</w:t>
            </w:r>
          </w:p>
        </w:tc>
        <w:tc>
          <w:tcPr>
            <w:tcW w:type="dxa" w:w="1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Restaurants</w:t>
            </w:r>
          </w:p>
        </w:tc>
        <w:tc>
          <w:tcPr>
            <w:tcW w:type="dxa" w:w="1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Utilisateurs</w:t>
            </w:r>
          </w:p>
        </w:tc>
        <w:tc>
          <w:tcPr>
            <w:tcW w:type="dxa" w:w="1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Fonctions</w:t>
            </w:r>
          </w:p>
        </w:tc>
      </w:tr>
      <w:tr>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b/>
                <w:bCs/>
                <w:sz w:val="20"/>
                <w:szCs w:val="20"/>
              </w:rPr>
              <w:t xml:space="preserve">FREE</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$0</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1</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2</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Basiques</w:t>
            </w:r>
          </w:p>
        </w:tc>
      </w:tr>
      <w:tr>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b w:val="false"/>
                <w:bCs w:val="false"/>
                <w:sz w:val="20"/>
                <w:szCs w:val="20"/>
              </w:rPr>
              <w:t xml:space="preserve">STARTER</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$29</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1</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5</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Standard</w:t>
            </w:r>
          </w:p>
        </w:tc>
      </w:tr>
      <w:tr>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b w:val="false"/>
                <w:bCs w:val="false"/>
                <w:sz w:val="20"/>
                <w:szCs w:val="20"/>
              </w:rPr>
              <w:t xml:space="preserve">PRO</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$79</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3</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15</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Avancées</w:t>
            </w:r>
          </w:p>
        </w:tc>
      </w:tr>
      <w:tr>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b w:val="false"/>
                <w:bCs w:val="false"/>
                <w:sz w:val="20"/>
                <w:szCs w:val="20"/>
              </w:rPr>
              <w:t xml:space="preserve">BUSINESS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$199</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10</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50</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Complètes</w:t>
            </w:r>
          </w:p>
        </w:tc>
      </w:tr>
      <w:tr>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b w:val="false"/>
                <w:bCs w:val="false"/>
                <w:sz w:val="20"/>
                <w:szCs w:val="20"/>
              </w:rPr>
              <w:t xml:space="preserve">ENTERPRISE</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Sur devis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Illimité</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Illimité</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Toutes + Custom</w:t>
            </w:r>
          </w:p>
        </w:tc>
      </w:tr>
    </w:tbl>
    <w:p>
      <w:pPr>
        <w:spacing w:after="200" w:before="150" w:line="312"/>
        <w:jc w:val="center"/>
      </w:pPr>
      <w:r>
        <w:rPr>
          <w:rFonts w:ascii="Times New Roman" w:cs="Times New Roman" w:eastAsia="Times New Roman" w:hAnsi="Times New Roman"/>
          <w:i/>
          <w:iCs/>
          <w:color w:val="64748B"/>
          <w:sz w:val="18"/>
          <w:szCs w:val="18"/>
        </w:rPr>
        <w:t xml:space="preserve">Note : Les prix sont indicatifs et ajustables selon les marchés locaux</w:t>
      </w:r>
    </w:p>
    <w:p>
      <w:pPr>
        <w:pStyle w:val="Heading2"/>
      </w:pPr>
      <w:r>
        <w:rPr>
          <w:rFonts w:ascii="Times New Roman" w:cs="Times New Roman" w:eastAsia="Times New Roman" w:hAnsi="Times New Roman"/>
        </w:rPr>
        <w:t xml:space="preserve">4.2 Segmentation Cible</w:t>
      </w:r>
    </w:p>
    <w:p>
      <w:pPr>
        <w:spacing w:after="200" w:line="312"/>
      </w:pPr>
      <w:r>
        <w:rPr>
          <w:rFonts w:ascii="Times New Roman" w:cs="Times New Roman" w:eastAsia="Times New Roman" w:hAnsi="Times New Roman"/>
        </w:rPr>
        <w:t xml:space="preserve">La stratégie de segmentation identifie trois cibles principales correspondant à des profils d'utilisateurs distincts avec des besoins et des capacités financières différents. Cette approche permet d'adapter le discours commercial et les fonctionnalités proposées à chaque segment, maximisant ainsi les taux de conversion et la satisfaction client.</w:t>
      </w:r>
    </w:p>
    <w:p>
      <w:pPr>
        <w:spacing w:after="100" w:line="312"/>
      </w:pPr>
      <w:r>
        <w:rPr>
          <w:rFonts w:ascii="Times New Roman" w:cs="Times New Roman" w:eastAsia="Times New Roman" w:hAnsi="Times New Roman"/>
          <w:b/>
          <w:bCs/>
        </w:rPr>
        <w:t xml:space="preserve">Segment 1 - Restaurants Indépendants : </w:t>
      </w:r>
      <w:r>
        <w:rPr>
          <w:rFonts w:ascii="Times New Roman" w:cs="Times New Roman" w:eastAsia="Times New Roman" w:hAnsi="Times New Roman"/>
        </w:rPr>
        <w:t xml:space="preserve">Petits restaurants familiaux, snacks et street food représentent la majorité du marché africain. Ces acteurs recherchent une solution simple, abordable et rapide à déployer. Le plan FREE puis STARTER constitue le parcours idéal, avec un discours axé sur la simplification des opérations quotidiennes et l'augmentation du chiffre d'affaires.</w:t>
      </w:r>
    </w:p>
    <w:p>
      <w:pPr>
        <w:spacing w:after="100" w:line="312"/>
      </w:pPr>
      <w:r>
        <w:rPr>
          <w:rFonts w:ascii="Times New Roman" w:cs="Times New Roman" w:eastAsia="Times New Roman" w:hAnsi="Times New Roman"/>
          <w:b/>
          <w:bCs/>
        </w:rPr>
        <w:t xml:space="preserve">Segment 2 - Chaînes et Franchises : </w:t>
      </w:r>
      <w:r>
        <w:rPr>
          <w:rFonts w:ascii="Times New Roman" w:cs="Times New Roman" w:eastAsia="Times New Roman" w:hAnsi="Times New Roman"/>
        </w:rPr>
        <w:t xml:space="preserve">Les chaînes de fast-food, restaurants de quartier en expansion et franchises internationales représentent des clients à forte valeur. Ces structures nécessitent des fonctionnalités avancées : gestion multi-sites, reporting consolidé, intégration comptable. Les plans PRO et BUSINESS répondent à leurs besoins avec un accompagnement personnalisé.</w:t>
      </w:r>
    </w:p>
    <w:p>
      <w:pPr>
        <w:spacing w:after="200" w:line="312"/>
      </w:pPr>
      <w:r>
        <w:rPr>
          <w:rFonts w:ascii="Times New Roman" w:cs="Times New Roman" w:eastAsia="Times New Roman" w:hAnsi="Times New Roman"/>
          <w:b/>
          <w:bCs/>
        </w:rPr>
        <w:t xml:space="preserve">Segment 3 - Grands Groupes : </w:t>
      </w:r>
      <w:r>
        <w:rPr>
          <w:rFonts w:ascii="Times New Roman" w:cs="Times New Roman" w:eastAsia="Times New Roman" w:hAnsi="Times New Roman"/>
        </w:rPr>
        <w:t xml:space="preserve">Les groupes hôteliers, grandes chaînes internationales et entreprises de restauration collective nécessitent des solutions sur mesure. Le plan ENTERPRISE offre un accompagnement dédié, des développements personnalisés, un SLA garanti et une intégration avec leurs systèmes existants (ERP, CRM). Ces contrats représentent des revenus significatifs et une validation marché importante.</w:t>
      </w:r>
    </w:p>
    <w:p>
      <w:pPr>
        <w:pStyle w:val="Heading2"/>
      </w:pPr>
      <w:r>
        <w:rPr>
          <w:rFonts w:ascii="Times New Roman" w:cs="Times New Roman" w:eastAsia="Times New Roman" w:hAnsi="Times New Roman"/>
        </w:rPr>
        <w:t xml:space="preserve">4.3 Canaux de Distribution</w:t>
      </w:r>
    </w:p>
    <w:p>
      <w:pPr>
        <w:spacing w:after="200" w:line="312"/>
      </w:pPr>
      <w:r>
        <w:rPr>
          <w:rFonts w:ascii="Times New Roman" w:cs="Times New Roman" w:eastAsia="Times New Roman" w:hAnsi="Times New Roman"/>
        </w:rPr>
        <w:t xml:space="preserve">La stratégie de distribution combine canaux digitaux et physiques pour maximiser la couverture du marché africain. La diversification des canaux permet de toucher différents profils de décideurs et de s'adapter aux pratiques commerciales locales où le relationnel reste prépondérant.</w:t>
      </w:r>
    </w:p>
    <w:p>
      <w:pPr>
        <w:pStyle w:val="Heading3"/>
      </w:pPr>
      <w:r>
        <w:rPr>
          <w:rFonts w:ascii="Times New Roman" w:cs="Times New Roman" w:eastAsia="Times New Roman" w:hAnsi="Times New Roman"/>
        </w:rPr>
        <w:t xml:space="preserve">Canaux Digitaux</w:t>
      </w:r>
    </w:p>
    <w:p>
      <w:pPr>
        <w:pStyle w:val="ListParagraph"/>
        <w:numPr>
          <w:ilvl w:val="0"/>
          <w:numId w:val="2"/>
        </w:numPr>
        <w:spacing w:after="80" w:line="312"/>
      </w:pPr>
      <w:r>
        <w:rPr>
          <w:rFonts w:ascii="Times New Roman" w:cs="Times New Roman" w:eastAsia="Times New Roman" w:hAnsi="Times New Roman"/>
        </w:rPr>
        <w:t xml:space="preserve">Site web optimisé SEO avec landing pages par pays et démo interactive permettant aux prospects de tester l'interface avant engagement.</w:t>
      </w:r>
    </w:p>
    <w:p>
      <w:pPr>
        <w:pStyle w:val="ListParagraph"/>
        <w:numPr>
          <w:ilvl w:val="0"/>
          <w:numId w:val="2"/>
        </w:numPr>
        <w:spacing w:after="80" w:line="312"/>
      </w:pPr>
      <w:r>
        <w:rPr>
          <w:rFonts w:ascii="Times New Roman" w:cs="Times New Roman" w:eastAsia="Times New Roman" w:hAnsi="Times New Roman"/>
        </w:rPr>
        <w:t xml:space="preserve">Marketing de contenu avec blog technique, cas clients, et guides pratiques sur la gestion restauratrice africaine pour établir l'autorité.</w:t>
      </w:r>
    </w:p>
    <w:p>
      <w:pPr>
        <w:pStyle w:val="ListParagraph"/>
        <w:numPr>
          <w:ilvl w:val="0"/>
          <w:numId w:val="2"/>
        </w:numPr>
        <w:spacing w:after="80" w:line="312"/>
      </w:pPr>
      <w:r>
        <w:rPr>
          <w:rFonts w:ascii="Times New Roman" w:cs="Times New Roman" w:eastAsia="Times New Roman" w:hAnsi="Times New Roman"/>
        </w:rPr>
        <w:t xml:space="preserve">Publicité digitale ciblée sur Google Ads et réseaux sociaux (Facebook, LinkedIn) avec géolocalisation sur les zones urbaines africaines.</w:t>
      </w:r>
    </w:p>
    <w:p>
      <w:pPr>
        <w:pStyle w:val="ListParagraph"/>
        <w:numPr>
          <w:ilvl w:val="0"/>
          <w:numId w:val="2"/>
        </w:numPr>
        <w:spacing w:after="200" w:line="312"/>
      </w:pPr>
      <w:r>
        <w:rPr>
          <w:rFonts w:ascii="Times New Roman" w:cs="Times New Roman" w:eastAsia="Times New Roman" w:hAnsi="Times New Roman"/>
        </w:rPr>
        <w:t xml:space="preserve">Marketplaces B2B africaines comme Jiji, Jumia Business, et les annuaires professionnels locaux pour une visibilité accrue.</w:t>
      </w:r>
    </w:p>
    <w:p>
      <w:pPr>
        <w:pStyle w:val="Heading3"/>
      </w:pPr>
      <w:r>
        <w:rPr>
          <w:rFonts w:ascii="Times New Roman" w:cs="Times New Roman" w:eastAsia="Times New Roman" w:hAnsi="Times New Roman"/>
        </w:rPr>
        <w:t xml:space="preserve">Canaux Physiques</w:t>
      </w:r>
    </w:p>
    <w:p>
      <w:pPr>
        <w:pStyle w:val="ListParagraph"/>
        <w:numPr>
          <w:ilvl w:val="0"/>
          <w:numId w:val="3"/>
        </w:numPr>
        <w:spacing w:after="80" w:line="312"/>
      </w:pPr>
      <w:r>
        <w:rPr>
          <w:rFonts w:ascii="Times New Roman" w:cs="Times New Roman" w:eastAsia="Times New Roman" w:hAnsi="Times New Roman"/>
        </w:rPr>
        <w:t xml:space="preserve">Partenariats avec les opérateurs télécoms (Orange, MTN) pour un co-marketing autour du Mobile Money et de la digitalisation des PME.</w:t>
      </w:r>
    </w:p>
    <w:p>
      <w:pPr>
        <w:pStyle w:val="ListParagraph"/>
        <w:numPr>
          <w:ilvl w:val="0"/>
          <w:numId w:val="3"/>
        </w:numPr>
        <w:spacing w:after="80" w:line="312"/>
      </w:pPr>
      <w:r>
        <w:rPr>
          <w:rFonts w:ascii="Times New Roman" w:cs="Times New Roman" w:eastAsia="Times New Roman" w:hAnsi="Times New Roman"/>
        </w:rPr>
        <w:t xml:space="preserve">Réseau de revendeurs locaux dans chaque pays cible, offrant formation, installation et support de première ligne aux clients.</w:t>
      </w:r>
    </w:p>
    <w:p>
      <w:pPr>
        <w:pStyle w:val="ListParagraph"/>
        <w:numPr>
          <w:ilvl w:val="0"/>
          <w:numId w:val="3"/>
        </w:numPr>
        <w:spacing w:after="80" w:line="312"/>
      </w:pPr>
      <w:r>
        <w:rPr>
          <w:rFonts w:ascii="Times New Roman" w:cs="Times New Roman" w:eastAsia="Times New Roman" w:hAnsi="Times New Roman"/>
        </w:rPr>
        <w:t xml:space="preserve">Présence aux salons professionnels : SIAL Paris, Food Africa Cairo, AFIA Abidjan, et autres événements sectoriels majeurs.</w:t>
      </w:r>
    </w:p>
    <w:p>
      <w:pPr>
        <w:pStyle w:val="ListParagraph"/>
        <w:numPr>
          <w:ilvl w:val="0"/>
          <w:numId w:val="3"/>
        </w:numPr>
        <w:spacing w:after="200" w:line="312"/>
      </w:pPr>
      <w:r>
        <w:rPr>
          <w:rFonts w:ascii="Times New Roman" w:cs="Times New Roman" w:eastAsia="Times New Roman" w:hAnsi="Times New Roman"/>
        </w:rPr>
        <w:t xml:space="preserve">Programme de parrainage avec commission pour les clients existants qui recommandent la plateforme à d'autres restaurateurs.</w:t>
      </w:r>
    </w:p>
    <w:p>
      <w:pPr>
        <w:pStyle w:val="Heading2"/>
      </w:pPr>
      <w:r>
        <w:rPr>
          <w:rFonts w:ascii="Times New Roman" w:cs="Times New Roman" w:eastAsia="Times New Roman" w:hAnsi="Times New Roman"/>
        </w:rPr>
        <w:t xml:space="preserve">4.4 Roadmap de Lancement</w:t>
      </w:r>
    </w:p>
    <w:p>
      <w:pPr>
        <w:spacing w:after="200" w:line="312"/>
      </w:pPr>
      <w:r>
        <w:rPr>
          <w:rFonts w:ascii="Times New Roman" w:cs="Times New Roman" w:eastAsia="Times New Roman" w:hAnsi="Times New Roman"/>
        </w:rPr>
        <w:t xml:space="preserve">La stratégie de lancement suit une approche progressive par marché pilote avant expansion régionale. Cette méthodologie permet de valider le product-market fit, d'affiner l'offre et de construire des références clients solides avant d'investir massivement dans l'acquisition.</w:t>
      </w:r>
    </w:p>
    <w:p>
      <w:pPr>
        <w:spacing w:after="200" w:before="300"/>
        <w:jc w:val="center"/>
      </w:pPr>
      <w:r>
        <w:rPr>
          <w:rFonts w:ascii="Times New Roman" w:cs="Times New Roman" w:eastAsia="Times New Roman" w:hAnsi="Times New Roman"/>
          <w:b/>
          <w:bCs/>
          <w:color w:val="64748B"/>
          <w:sz w:val="20"/>
          <w:szCs w:val="20"/>
        </w:rPr>
        <w:t xml:space="preserve">Tableau 6 : Roadmap de Lancement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3000"/>
        <w:gridCol w:w="4000"/>
      </w:tblGrid>
      <w:tr>
        <w:trPr>
          <w:tblHeader/>
        </w:trPr>
        <w:tc>
          <w:tcPr>
            <w:tcW w:type="dxa" w:w="20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Phase</w:t>
            </w:r>
          </w:p>
        </w:tc>
        <w:tc>
          <w:tcPr>
            <w:tcW w:type="dxa" w:w="30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Période</w:t>
            </w:r>
          </w:p>
        </w:tc>
        <w:tc>
          <w:tcPr>
            <w:tcW w:type="dxa" w:w="40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Objectifs</w:t>
            </w:r>
          </w:p>
        </w:tc>
      </w:tr>
      <w:tr>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Phase 1</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Avril - Juin 2026</w:t>
            </w:r>
          </w:p>
        </w:tc>
        <w:tc>
          <w:tcPr>
            <w:tcW w:type="dxa" w:w="4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Lancement Côte d'Ivoire, 50 clients pilotes</w:t>
            </w:r>
          </w:p>
        </w:tc>
      </w:tr>
      <w:tr>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Phase 2</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Juillet - Sept 2026</w:t>
            </w:r>
          </w:p>
        </w:tc>
        <w:tc>
          <w:tcPr>
            <w:tcW w:type="dxa" w:w="4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Expansion Sénégal, Cameroun, 200 clients</w:t>
            </w:r>
          </w:p>
        </w:tc>
      </w:tr>
      <w:tr>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Phase 3</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Oct - Déc 2026</w:t>
            </w:r>
          </w:p>
        </w:tc>
        <w:tc>
          <w:tcPr>
            <w:tcW w:type="dxa" w:w="4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Ghana, Kenya, Nigeria, 500 clients</w:t>
            </w:r>
          </w:p>
        </w:tc>
      </w:tr>
      <w:tr>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Phase 4</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Jan - Mars 2027</w:t>
            </w:r>
          </w:p>
        </w:tc>
        <w:tc>
          <w:tcPr>
            <w:tcW w:type="dxa" w:w="4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Application mobile native, 1000 clients</w:t>
            </w:r>
          </w:p>
        </w:tc>
      </w:tr>
      <w:tr>
        <w:tc>
          <w:tcPr>
            <w:tcW w:type="dxa" w:w="2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Phase 5</w:t>
            </w:r>
          </w:p>
        </w:tc>
        <w:tc>
          <w:tcPr>
            <w:tcW w:type="dxa" w:w="3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Avril - Déc 2027</w:t>
            </w:r>
          </w:p>
        </w:tc>
        <w:tc>
          <w:tcPr>
            <w:tcW w:type="dxa" w:w="40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Expansion panafricaine, 5000+ clients</w:t>
            </w:r>
          </w:p>
        </w:tc>
      </w:tr>
    </w:tbl>
    <w:p>
      <w:pPr>
        <w:pStyle w:val="Heading2"/>
      </w:pPr>
      <w:r>
        <w:rPr>
          <w:rFonts w:ascii="Times New Roman" w:cs="Times New Roman" w:eastAsia="Times New Roman" w:hAnsi="Times New Roman"/>
        </w:rPr>
        <w:t xml:space="preserve">4.5 Budget Marketing Prévisionnel</w:t>
      </w:r>
    </w:p>
    <w:p>
      <w:pPr>
        <w:spacing w:after="200" w:line="312"/>
      </w:pPr>
      <w:r>
        <w:rPr>
          <w:rFonts w:ascii="Times New Roman" w:cs="Times New Roman" w:eastAsia="Times New Roman" w:hAnsi="Times New Roman"/>
        </w:rPr>
        <w:t xml:space="preserve">Le budget marketing est structuré pour optimiser le retour sur investissement avec une priorité donnée aux canaux les plus efficaces pour le marché africain. L'allocation évolue au fil des phases avec une augmentation proportionnelle à l'expansion géographique et l'acquisition de clients.</w:t>
      </w:r>
    </w:p>
    <w:p>
      <w:pPr>
        <w:spacing w:after="200" w:before="300"/>
        <w:jc w:val="center"/>
      </w:pPr>
      <w:r>
        <w:rPr>
          <w:rFonts w:ascii="Times New Roman" w:cs="Times New Roman" w:eastAsia="Times New Roman" w:hAnsi="Times New Roman"/>
          <w:b/>
          <w:bCs/>
          <w:color w:val="64748B"/>
          <w:sz w:val="20"/>
          <w:szCs w:val="20"/>
        </w:rPr>
        <w:t xml:space="preserve">Tableau 7 : Budget Marketing Année 1</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500"/>
        <w:gridCol w:w="2250"/>
        <w:gridCol w:w="2250"/>
      </w:tblGrid>
      <w:tr>
        <w:trPr>
          <w:tblHeader/>
        </w:trPr>
        <w:tc>
          <w:tcPr>
            <w:tcW w:type="dxa" w:w="4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Poste</w:t>
            </w:r>
          </w:p>
        </w:tc>
        <w:tc>
          <w:tcPr>
            <w:tcW w:type="dxa" w:w="225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Montant ($)</w:t>
            </w:r>
          </w:p>
        </w:tc>
        <w:tc>
          <w:tcPr>
            <w:tcW w:type="dxa" w:w="225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 Budget</w:t>
            </w:r>
          </w:p>
        </w:tc>
      </w:tr>
      <w:tr>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Publicité digitale (Ads, Social)</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25,000</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33%</w:t>
            </w:r>
          </w:p>
        </w:tc>
      </w:tr>
      <w:tr>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Partenariats télécoms</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15,000</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20%</w:t>
            </w:r>
          </w:p>
        </w:tc>
      </w:tr>
      <w:tr>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Salons et événements</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12,000</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16%</w:t>
            </w:r>
          </w:p>
        </w:tc>
      </w:tr>
      <w:tr>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Marketing de contenu</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8,000</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11%</w:t>
            </w:r>
          </w:p>
        </w:tc>
      </w:tr>
      <w:tr>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Réseau de revendeurs</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10,000</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13%</w:t>
            </w:r>
          </w:p>
        </w:tc>
      </w:tr>
      <w:tr>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Divers et imprévus</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5,000</w:t>
            </w:r>
          </w:p>
        </w:tc>
        <w:tc>
          <w:tcPr>
            <w:tcW w:type="dxa" w:w="225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2"/>
                <w:szCs w:val="22"/>
              </w:rPr>
              <w:t xml:space="preserve">7%</w:t>
            </w:r>
          </w:p>
        </w:tc>
      </w:tr>
      <w:tr>
        <w:tc>
          <w:tcPr>
            <w:tcW w:type="dxa" w:w="4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TOTAL</w:t>
            </w:r>
          </w:p>
        </w:tc>
        <w:tc>
          <w:tcPr>
            <w:tcW w:type="dxa" w:w="225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75,000</w:t>
            </w:r>
          </w:p>
        </w:tc>
        <w:tc>
          <w:tcPr>
            <w:tcW w:type="dxa" w:w="225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100%</w:t>
            </w:r>
          </w:p>
        </w:tc>
      </w:tr>
    </w:tbl>
    <w:p>
      <w:pPr>
        <w:pStyle w:val="Heading2"/>
      </w:pPr>
      <w:r>
        <w:rPr>
          <w:rFonts w:ascii="Times New Roman" w:cs="Times New Roman" w:eastAsia="Times New Roman" w:hAnsi="Times New Roman"/>
        </w:rPr>
        <w:t xml:space="preserve">4.6 Indicateurs de Performance (KPIs)</w:t>
      </w:r>
    </w:p>
    <w:p>
      <w:pPr>
        <w:spacing w:after="200" w:line="312"/>
      </w:pPr>
      <w:r>
        <w:rPr>
          <w:rFonts w:ascii="Times New Roman" w:cs="Times New Roman" w:eastAsia="Times New Roman" w:hAnsi="Times New Roman"/>
        </w:rPr>
        <w:t xml:space="preserve">Le suivi des performances repose sur un tableau de bord d'indicateurs clés couvrant l'acquisition, la rétention et la satisfaction client. Ces métriques permettent d'ajuster la stratégie en temps réel et de mesurer le succès de la commercialisation.</w:t>
      </w:r>
    </w:p>
    <w:p>
      <w:pPr>
        <w:pStyle w:val="ListParagraph"/>
        <w:numPr>
          <w:ilvl w:val="0"/>
          <w:numId w:val="4"/>
        </w:numPr>
        <w:spacing w:after="80" w:line="312"/>
      </w:pPr>
      <w:r>
        <w:rPr>
          <w:rFonts w:ascii="Times New Roman" w:cs="Times New Roman" w:eastAsia="Times New Roman" w:hAnsi="Times New Roman"/>
        </w:rPr>
        <w:t xml:space="preserve">Coût d'Acquisition Client (CAC) : objectif &lt; $50 par client acquis, avec optimisation continue des canaux.</w:t>
      </w:r>
    </w:p>
    <w:p>
      <w:pPr>
        <w:pStyle w:val="ListParagraph"/>
        <w:numPr>
          <w:ilvl w:val="0"/>
          <w:numId w:val="4"/>
        </w:numPr>
        <w:spacing w:after="80" w:line="312"/>
      </w:pPr>
      <w:r>
        <w:rPr>
          <w:rFonts w:ascii="Times New Roman" w:cs="Times New Roman" w:eastAsia="Times New Roman" w:hAnsi="Times New Roman"/>
        </w:rPr>
        <w:t xml:space="preserve">Valeur Vie Client (LTV) : objectif &gt; $500 sur 24 mois, assurant un ratio LTV/CAC supérieur à 10.</w:t>
      </w:r>
    </w:p>
    <w:p>
      <w:pPr>
        <w:pStyle w:val="ListParagraph"/>
        <w:numPr>
          <w:ilvl w:val="0"/>
          <w:numId w:val="4"/>
        </w:numPr>
        <w:spacing w:after="80" w:line="312"/>
      </w:pPr>
      <w:r>
        <w:rPr>
          <w:rFonts w:ascii="Times New Roman" w:cs="Times New Roman" w:eastAsia="Times New Roman" w:hAnsi="Times New Roman"/>
        </w:rPr>
        <w:t xml:space="preserve">Taux de Churn mensuel : objectif &lt; 3%, indicateur clé de la satisfaction et de la valeur perçue.</w:t>
      </w:r>
    </w:p>
    <w:p>
      <w:pPr>
        <w:pStyle w:val="ListParagraph"/>
        <w:numPr>
          <w:ilvl w:val="0"/>
          <w:numId w:val="4"/>
        </w:numPr>
        <w:spacing w:after="80" w:line="312"/>
      </w:pPr>
      <w:r>
        <w:rPr>
          <w:rFonts w:ascii="Times New Roman" w:cs="Times New Roman" w:eastAsia="Times New Roman" w:hAnsi="Times New Roman"/>
        </w:rPr>
        <w:t xml:space="preserve">Net Promoter Score (NPS) : objectif &gt; 40, mesurant la propension à recommander la solution.</w:t>
      </w:r>
    </w:p>
    <w:p>
      <w:pPr>
        <w:pStyle w:val="ListParagraph"/>
        <w:numPr>
          <w:ilvl w:val="0"/>
          <w:numId w:val="4"/>
        </w:numPr>
        <w:spacing w:after="80" w:line="312"/>
      </w:pPr>
      <w:r>
        <w:rPr>
          <w:rFonts w:ascii="Times New Roman" w:cs="Times New Roman" w:eastAsia="Times New Roman" w:hAnsi="Times New Roman"/>
        </w:rPr>
        <w:t xml:space="preserve">Taux de conversion Free → Payant : objectif &gt; 15% après 30 jours d'essai.</w:t>
      </w:r>
    </w:p>
    <w:p>
      <w:pPr>
        <w:pStyle w:val="ListParagraph"/>
        <w:numPr>
          <w:ilvl w:val="0"/>
          <w:numId w:val="4"/>
        </w:numPr>
        <w:spacing w:after="200" w:line="312"/>
      </w:pPr>
      <w:r>
        <w:rPr>
          <w:rFonts w:ascii="Times New Roman" w:cs="Times New Roman" w:eastAsia="Times New Roman" w:hAnsi="Times New Roman"/>
        </w:rPr>
        <w:t xml:space="preserve">Monthly Recurring Revenue (MRR) : objectif $50,000 à la fin de l'année 1.</w:t>
      </w:r>
    </w:p>
    <w:p>
      <w:pPr>
        <w:pStyle w:val="Heading1"/>
      </w:pPr>
      <w:r>
        <w:rPr>
          <w:rFonts w:ascii="Times New Roman" w:cs="Times New Roman" w:eastAsia="Times New Roman" w:hAnsi="Times New Roman"/>
        </w:rPr>
        <w:t xml:space="preserve">5. Actions Prioritaires Immédiates</w:t>
      </w:r>
    </w:p>
    <w:p>
      <w:pPr>
        <w:spacing w:after="200" w:line="312"/>
      </w:pPr>
      <w:r>
        <w:rPr>
          <w:rFonts w:ascii="Times New Roman" w:cs="Times New Roman" w:eastAsia="Times New Roman" w:hAnsi="Times New Roman"/>
        </w:rPr>
        <w:t xml:space="preserve">Pour préparer le lancement commercial, plusieurs actions techniques et marketing doivent être réalisées en priorité. Ces actions sont classées par ordre d'importance et d'impact sur la capacité à commercialiser le produit.</w:t>
      </w:r>
    </w:p>
    <w:p>
      <w:pPr>
        <w:spacing w:after="200" w:before="300"/>
        <w:jc w:val="center"/>
      </w:pPr>
      <w:r>
        <w:rPr>
          <w:rFonts w:ascii="Times New Roman" w:cs="Times New Roman" w:eastAsia="Times New Roman" w:hAnsi="Times New Roman"/>
          <w:b/>
          <w:bCs/>
          <w:color w:val="64748B"/>
          <w:sz w:val="20"/>
          <w:szCs w:val="20"/>
        </w:rPr>
        <w:t xml:space="preserve">Tableau 8 : Actions Prioritaires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4500"/>
        <w:gridCol w:w="1500"/>
        <w:gridCol w:w="1800"/>
      </w:tblGrid>
      <w:tr>
        <w:trPr>
          <w:tblHeader/>
        </w:trPr>
        <w:tc>
          <w:tcPr>
            <w:tcW w:type="dxa" w:w="12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Priorité</w:t>
            </w:r>
          </w:p>
        </w:tc>
        <w:tc>
          <w:tcPr>
            <w:tcW w:type="dxa" w:w="4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Action</w:t>
            </w:r>
          </w:p>
        </w:tc>
        <w:tc>
          <w:tcPr>
            <w:tcW w:type="dxa" w:w="15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Délai</w:t>
            </w:r>
          </w:p>
        </w:tc>
        <w:tc>
          <w:tcPr>
            <w:tcW w:type="dxa" w:w="1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b/>
                <w:bCs/>
                <w:sz w:val="22"/>
                <w:szCs w:val="22"/>
              </w:rPr>
              <w:t xml:space="preserve">Impact</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Haute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Finaliser tests E2E Playwright</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2 semaines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Critique</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Haute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Documentation API Swagger UI</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1 semaine</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Critique</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Haute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Créer logo et charte graphique</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2 semaines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Important</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Haute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Site vitrine avec démo interactive</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3 semaines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Critique</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Moyenne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Configurer monitoring production</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1 semaine</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Important</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Moyenne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Setup CI/CD déploiement auto</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2 semaines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Important</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Moyenne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Former équipe support client</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2 semaines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Important</w:t>
            </w:r>
          </w:p>
        </w:tc>
      </w:tr>
      <w:tr>
        <w:tc>
          <w:tcPr>
            <w:tcW w:type="dxa" w:w="12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 Basse</w:t>
            </w:r>
          </w:p>
        </w:tc>
        <w:tc>
          <w:tcPr>
            <w:tcW w:type="dxa" w:w="4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Développer app mobile native</w:t>
            </w:r>
          </w:p>
        </w:tc>
        <w:tc>
          <w:tcPr>
            <w:tcW w:type="dxa" w:w="15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3 mois</w:t>
            </w:r>
          </w:p>
        </w:tc>
        <w:tc>
          <w:tcPr>
            <w:tcW w:type="dxa" w:w="1800"/>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Stratégique</w:t>
            </w:r>
          </w:p>
        </w:tc>
      </w:tr>
    </w:tbl>
    <w:p>
      <w:pPr>
        <w:pStyle w:val="Heading1"/>
      </w:pPr>
      <w:r>
        <w:rPr>
          <w:rFonts w:ascii="Times New Roman" w:cs="Times New Roman" w:eastAsia="Times New Roman" w:hAnsi="Times New Roman"/>
        </w:rPr>
        <w:t xml:space="preserve">6. Synthèse et Recommandations</w:t>
      </w:r>
    </w:p>
    <w:p>
      <w:pPr>
        <w:spacing w:after="200" w:line="312"/>
      </w:pPr>
      <w:r>
        <w:rPr>
          <w:rFonts w:ascii="Times New Roman" w:cs="Times New Roman" w:eastAsia="Times New Roman" w:hAnsi="Times New Roman"/>
        </w:rPr>
        <w:t xml:space="preserve">Restaurant OS représente une opportunité significative sur le marché africain de la restauration en pleine digitalisation. Le projet dispose d'atouts majeurs : une architecture technique moderne et évolutive, une couverture fonctionnelle complète avec plus de 50 modèles de données, et surtout une adaptation native aux spécificités africaines (Mobile Money, livraison moto, offline-first). Ces différenciateurs constituent un avantage concurrentiel décisif face aux solutions internationales souvent inadaptées.</w:t>
      </w:r>
    </w:p>
    <w:p>
      <w:pPr>
        <w:spacing w:after="200" w:line="312"/>
      </w:pPr>
      <w:r>
        <w:rPr>
          <w:rFonts w:ascii="Times New Roman" w:cs="Times New Roman" w:eastAsia="Times New Roman" w:hAnsi="Times New Roman"/>
        </w:rPr>
        <w:t xml:space="preserve">Le plan de commercialisation propose une approche pragmatique avec un lancement progressif par marché pilote, une stratégie tarifaire adaptée au pouvoir d'achat local, et une combinaison de canaux digitaux et physiques. Les premières actions à mener concernent la finalisation des tests automatisés, la création de la documentation et l'établissement de l'identité visuelle. Le délai estimé avant le lancement commercial est de 6 à 8 semaines.</w:t>
      </w:r>
    </w:p>
    <w:p>
      <w:pPr>
        <w:spacing w:after="200" w:line="312"/>
      </w:pPr>
      <w:r>
        <w:rPr>
          <w:rFonts w:ascii="Times New Roman" w:cs="Times New Roman" w:eastAsia="Times New Roman" w:hAnsi="Times New Roman"/>
        </w:rPr>
        <w:t xml:space="preserve">Les facteurs clés de succès identifiés sont : la qualité du support client, la capacité à obtenir des références clients rapidement, et le développement de partenariats stratégiques avec les opérateurs télécoms. L'investissement dans une équipe commerciale locale dans chaque pays cible sera également déterminant pour conquérir le marché africain de la restauration numérique.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Restaurant OS - Document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2026-03-26T06:19:58.512Z</dcterms:created>
  <dcterms:modified xsi:type="dcterms:W3CDTF">2026-03-26T06:19:58.512Z</dcterms:modified>
</cp:coreProperties>
</file>

<file path=docProps/custom.xml><?xml version="1.0" encoding="utf-8"?>
<Properties xmlns="http://schemas.openxmlformats.org/officeDocument/2006/custom-properties" xmlns:vt="http://schemas.openxmlformats.org/officeDocument/2006/docPropsVTypes"/>
</file>