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left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Приклад оформлення Тест-кейсу</w:t>
      </w:r>
      <w:r w:rsidDel="00000000" w:rsidR="00000000" w:rsidRPr="00000000">
        <w:rPr/>
        <w:drawing>
          <wp:inline distB="114300" distT="114300" distL="114300" distR="114300">
            <wp:extent cx="7111950" cy="93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95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color w:val="1d1d1d"/>
          <w:sz w:val="24"/>
          <w:szCs w:val="24"/>
          <w:shd w:fill="f0fff6" w:val="clear"/>
          <w:rtl w:val="0"/>
        </w:rPr>
        <w:t xml:space="preserve">Тест-кейс 1.1 — позитивний</w:t>
      </w:r>
      <w:r w:rsidDel="00000000" w:rsidR="00000000" w:rsidRPr="00000000">
        <w:rPr>
          <w:rtl w:val="0"/>
        </w:rPr>
      </w:r>
    </w:p>
    <w:tbl>
      <w:tblPr>
        <w:tblStyle w:val="Table1"/>
        <w:tblW w:w="112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00.5"/>
        <w:gridCol w:w="5600.5"/>
        <w:tblGridChange w:id="0">
          <w:tblGrid>
            <w:gridCol w:w="5600.5"/>
            <w:gridCol w:w="5600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 (title, summary)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Перевірити розміщення кнопки “Безкоштовна консультація” та відкриття форми при натисканні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З назви тест-кейсу повинно бути чітко зрозуміло, що буде перевірятись. Гарна практика починати назву тест-кейсу зі слова “перевірити”, але це не обовʼязково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Передумови (preconditions)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Відкрити сторінку сайту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https://ba-international-4c2f6d8615c5a4e3cdaf00.webflow.io/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Розгорнути спадний список “Академія”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Натиснути на пункт “About us”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 передумовах описується, як підготувати систему до подальшого проходження безпосередньо перевірки функціонала. В даному прикладі, ми вказали, як потрапити на необхідну для тестування сторінку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Кроки (steps)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Знайти в заголовку (header) сайту кнопку “Безкоштовна консультація”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Натиснути на кнопку “Безкоштовна консультація”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 кроках детально описуються дії, які потрібні для того, щоб перевірити коректність роботи функціонала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Очікуваний результат (expected result)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Кнопка “Безкоштовна консультація” розміщена в заголовку (header) сайту на сторінці “About us” у спадному списку “Академія” та при натисканні відкриває форму для заповнення даних для консультації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 очікуваному результаті повинна бути описана поведінка системи згідно з заданими вимогами. Очікуваний результат може бути лише один для всього тест-кейсу!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Пріоритет (priority)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Високий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Зазвичай, пріоритет тест-кейсу базується на пріоритеті вимог. Наприклад, якщо вимога високого пріоритету, то і тест-кейс, який її перевіряє, також бути мати високий пріоритет (якщо це основний позитивний тест-кейс)</w:t>
            </w:r>
          </w:p>
        </w:tc>
      </w:tr>
    </w:tbl>
    <w:p w:rsidR="00000000" w:rsidDel="00000000" w:rsidP="00000000" w:rsidRDefault="00000000" w:rsidRPr="00000000" w14:paraId="0000001D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color w:val="1d1d1d"/>
          <w:sz w:val="24"/>
          <w:szCs w:val="24"/>
          <w:shd w:fill="f0fff6" w:val="clear"/>
          <w:rtl w:val="0"/>
        </w:rPr>
        <w:t xml:space="preserve">Тест-кейс 1.2 — негативний</w:t>
      </w:r>
    </w:p>
    <w:p w:rsidR="00000000" w:rsidDel="00000000" w:rsidP="00000000" w:rsidRDefault="00000000" w:rsidRPr="00000000" w14:paraId="00000020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2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00.5"/>
        <w:gridCol w:w="5600.5"/>
        <w:tblGridChange w:id="0">
          <w:tblGrid>
            <w:gridCol w:w="5600.5"/>
            <w:gridCol w:w="5600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 (title, summary)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Перевірити відображення кнопки “Безкоштовна консультація” при зменшенні розміру вікна браузера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 цьому випадку створюємо нестандартну ситуацію, щоб перевірити ту ж саму вимогу. Наприклад, багато користувачів може відкривати дану сторінку зі смартфона, де буде маленький екран, або деякі користувачі звикли працювати з маленькими вікнами на компʼютері. Це один із варіантів негативної перевірки, але не єдиний (тут потрібно мислити нестандартно та вмикати уяву, як ще можна “зламати” систему)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Передумови (preconditions)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Відкрити сторінку сайту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https://ba-international-4c2f6d8615c5a4e3cdaf00.webflow.io/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Розгорнути спадний список “Академія”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Натиснути на пункт “About us”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Кроки (steps)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Знайти в заголовку (header) сайту кнопку “Безкоштовна консультація”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Зменшити вікно браузера до мінімально допустимого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Спостерігати за кнопкою “Безкоштовна консультація”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Очікуваний результат (expected result)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Кнопка “Безкоштовна консультація” розміщена в заголовку (header) сайту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Пріоритет (priority)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Високий</w:t>
            </w:r>
          </w:p>
        </w:tc>
      </w:tr>
    </w:tbl>
    <w:p w:rsidR="00000000" w:rsidDel="00000000" w:rsidP="00000000" w:rsidRDefault="00000000" w:rsidRPr="00000000" w14:paraId="00000032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6465"/>
        <w:gridCol w:w="2460"/>
        <w:tblGridChange w:id="0">
          <w:tblGrid>
            <w:gridCol w:w="1500"/>
            <w:gridCol w:w="6465"/>
            <w:gridCol w:w="2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  <w:shd w:fill="f4cccc" w:val="clear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  <w:shd w:fill="f4cccc" w:val="clear"/>
                <w:rtl w:val="0"/>
              </w:rPr>
              <w:t xml:space="preserve">Вимога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  <w:shd w:fill="f4cccc" w:val="clear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  <w:shd w:fill="f4cccc" w:val="clear"/>
                <w:rtl w:val="0"/>
              </w:rPr>
              <w:t xml:space="preserve">У перемикачі мов на сторінці можна обрати українську, англійську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  <w:shd w:fill="f4cccc" w:val="clear"/>
                <w:rtl w:val="0"/>
              </w:rPr>
              <w:t xml:space="preserve">та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  <w:shd w:fill="f4cccc" w:val="clear"/>
                <w:rtl w:val="0"/>
              </w:rPr>
              <w:t xml:space="preserve"> німецьку.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  <w:shd w:fill="f4cccc" w:val="clear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  <w:shd w:fill="f4cccc" w:val="clear"/>
                <w:rtl w:val="0"/>
              </w:rPr>
              <w:t xml:space="preserve">Високий пріоритет</w:t>
            </w:r>
          </w:p>
        </w:tc>
      </w:tr>
    </w:tbl>
    <w:p w:rsidR="00000000" w:rsidDel="00000000" w:rsidP="00000000" w:rsidRDefault="00000000" w:rsidRPr="00000000" w14:paraId="00000049">
      <w:pPr>
        <w:jc w:val="left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95"/>
        <w:gridCol w:w="5565"/>
        <w:tblGridChange w:id="0">
          <w:tblGrid>
            <w:gridCol w:w="5595"/>
            <w:gridCol w:w="55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Назва (title, summary)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“Перевірити наявність української, англійської та німецької у перемикачі мов”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rtl w:val="0"/>
              </w:rPr>
              <w:t xml:space="preserve">З назви тест-кейсу повинно бути чітко зрозуміло, що буде перевірятись. Гарна практика починати назву тест-кейсу зі слова “перевірити”, але це не обовʼязково.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Передумови (preconditions)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“1. </w:t>
            </w:r>
            <w:r w:rsidDel="00000000" w:rsidR="00000000" w:rsidRPr="00000000">
              <w:rPr>
                <w:rtl w:val="0"/>
              </w:rPr>
              <w:t xml:space="preserve">Відкрити сторінку сайту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hyperlink r:id="rId9">
              <w:r w:rsidDel="00000000" w:rsidR="00000000" w:rsidRPr="00000000">
                <w:rPr>
                  <w:rFonts w:ascii="Nunito Sans" w:cs="Nunito Sans" w:eastAsia="Nunito Sans" w:hAnsi="Nunito Sans"/>
                  <w:color w:val="1155cc"/>
                  <w:u w:val="single"/>
                  <w:rtl w:val="0"/>
                </w:rPr>
                <w:t xml:space="preserve">https://ba-international-4c2f6d8615c5a4e3cdaf00.webflow.io/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2. Натиснути перемикач мов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3.  </w:t>
            </w: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rtl w:val="0"/>
              </w:rPr>
              <w:t xml:space="preserve">В передумовах описується, як підготувати систему до подальшого проходження безпосередньо перевірки функціонала (відкрити сторінку, знайти відповідну кнопку тощо).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Кроки (steps)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“...”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rtl w:val="0"/>
              </w:rPr>
              <w:t xml:space="preserve">В кроках детально описуються дії, які потрібні для того, щоб перевірити коректність роботи функціонала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Очікуваний результат (expected result)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“...”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rtl w:val="0"/>
              </w:rPr>
              <w:t xml:space="preserve">Тут повинна бути описана поведінка системи згідно з заданими вимогами. Очікуваний результат може бути лише один для всього тест-кейсу!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Пріоритет (priority)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“...”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rtl w:val="0"/>
              </w:rPr>
              <w:t xml:space="preserve">Зазвичай, пріоритет тест-кейсу базується на пріоритеті вимог. Наприклад, якщо вимога високого пріоритету, то і тест-кейс, який її перевіряє, також бути мати високий пріоритет (якщо це основний позитивний тест-кейс)</w:t>
            </w:r>
          </w:p>
        </w:tc>
      </w:tr>
    </w:tbl>
    <w:p w:rsidR="00000000" w:rsidDel="00000000" w:rsidP="00000000" w:rsidRDefault="00000000" w:rsidRPr="00000000" w14:paraId="00000062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6870"/>
        <w:gridCol w:w="2610"/>
        <w:tblGridChange w:id="0">
          <w:tblGrid>
            <w:gridCol w:w="1605"/>
            <w:gridCol w:w="6870"/>
            <w:gridCol w:w="2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shd w:fill="f4cccc" w:val="clear"/>
                <w:rtl w:val="0"/>
              </w:rPr>
              <w:t xml:space="preserve">Вимога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shd w:fill="f4cccc" w:val="clear"/>
                <w:rtl w:val="0"/>
              </w:rPr>
              <w:t xml:space="preserve">На сторінці відображаються дві картинки з текстом “Місія: Допомагати людям будувати успішні кар'єри в цифровій економіці.” та “Бачення: Побудувати компанію світового класу в галузі технічної освіти, яка пропонує можливості, що змінюють життя людей по всьому світу.”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shd w:fill="f4cccc" w:val="clear"/>
                <w:rtl w:val="0"/>
              </w:rPr>
              <w:t xml:space="preserve">Середній пріоритет</w:t>
            </w:r>
          </w:p>
        </w:tc>
      </w:tr>
    </w:tbl>
    <w:p w:rsidR="00000000" w:rsidDel="00000000" w:rsidP="00000000" w:rsidRDefault="00000000" w:rsidRPr="00000000" w14:paraId="0000006E">
      <w:pPr>
        <w:jc w:val="left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2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00.5"/>
        <w:gridCol w:w="5600.5"/>
        <w:tblGridChange w:id="0">
          <w:tblGrid>
            <w:gridCol w:w="5600.5"/>
            <w:gridCol w:w="5600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Назва (title, summary)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“…”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rtl w:val="0"/>
              </w:rPr>
              <w:t xml:space="preserve">З назви тест-кейсу повинно бути чітко зрозуміло, що буде перевірятись. Гарна практика починати назву тест-кейсу зі слова “перевірити”, але це не обовʼязково.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Передумови (preconditions)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“...”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rtl w:val="0"/>
              </w:rPr>
              <w:t xml:space="preserve">В передумовах описується, як підготувати систему до подальшого проходження безпосередньо перевірки функціонала (відкрити сторінку, знайти відповідну кнопку тощо).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Кроки (steps)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“...”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rtl w:val="0"/>
              </w:rPr>
              <w:t xml:space="preserve">В кроках детально описуються дії, які потрібні для того, щоб перевірити коректність роботи функціонала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Очікуваний результат (expected result)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“...”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rtl w:val="0"/>
              </w:rPr>
              <w:t xml:space="preserve">Тут повинна бути описана поведінка системи згідно з заданими вимогами. Очікуваний результат може бути лише один для всього тест-кейсу!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Пріоритет (priority)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“...”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rtl w:val="0"/>
              </w:rPr>
              <w:t xml:space="preserve">Зазвичай, пріоритет тест-кейсу базується на пріоритеті вимог. Наприклад, якщо вимога високого пріоритету, то і тест-кейс, який її перевіряє, також бути мати високий пріоритет (якщо це основний позитивний тест-кейс)</w:t>
            </w:r>
          </w:p>
        </w:tc>
      </w:tr>
    </w:tbl>
    <w:p w:rsidR="00000000" w:rsidDel="00000000" w:rsidP="00000000" w:rsidRDefault="00000000" w:rsidRPr="00000000" w14:paraId="00000084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2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6990"/>
        <w:gridCol w:w="2655"/>
        <w:tblGridChange w:id="0">
          <w:tblGrid>
            <w:gridCol w:w="1620"/>
            <w:gridCol w:w="6990"/>
            <w:gridCol w:w="26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  <w:sz w:val="26"/>
                <w:szCs w:val="26"/>
                <w:shd w:fill="e6b8af" w:val="clear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6"/>
                <w:szCs w:val="26"/>
                <w:shd w:fill="e6b8af" w:val="clear"/>
                <w:rtl w:val="0"/>
              </w:rPr>
              <w:t xml:space="preserve">Вимога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Nunito Sans" w:cs="Nunito Sans" w:eastAsia="Nunito Sans" w:hAnsi="Nunito Sans"/>
                <w:b w:val="1"/>
                <w:bCs w:val="1"/>
                <w:sz w:val="26"/>
                <w:szCs w:val="26"/>
                <w:shd w:fill="e6b8af" w:val="clear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6"/>
                <w:szCs w:val="26"/>
                <w:shd w:fill="e6b8af" w:val="clear"/>
                <w:rtl w:val="0"/>
              </w:rPr>
              <w:t xml:space="preserve">Кнопка “Відкрити звіт” розміщена у блоці “Звіт про соціальний вплив за 2021 рік”. Натискання на неї відкриває файл формату .xlsx (Excel file) у новій вкладці браузера.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  <w:sz w:val="26"/>
                <w:szCs w:val="26"/>
                <w:shd w:fill="e6b8af" w:val="clear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6"/>
                <w:szCs w:val="26"/>
                <w:shd w:fill="e6b8af" w:val="clear"/>
                <w:rtl w:val="0"/>
              </w:rPr>
              <w:t xml:space="preserve">Середній пріоритет</w:t>
            </w:r>
          </w:p>
        </w:tc>
      </w:tr>
    </w:tbl>
    <w:p w:rsidR="00000000" w:rsidDel="00000000" w:rsidP="00000000" w:rsidRDefault="00000000" w:rsidRPr="00000000" w14:paraId="00000091">
      <w:pPr>
        <w:jc w:val="left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2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00.5"/>
        <w:gridCol w:w="5600.5"/>
        <w:tblGridChange w:id="0">
          <w:tblGrid>
            <w:gridCol w:w="5600.5"/>
            <w:gridCol w:w="5600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Назва (title, summary)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“…”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rtl w:val="0"/>
              </w:rPr>
              <w:t xml:space="preserve">З назви тест-кейсу повинно бути чітко зрозуміло, що буде перевірятись. Гарна практика починати назву тест-кейсу зі слова “перевірити”, але це не обовʼязково.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Передумови (preconditions)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“...”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rtl w:val="0"/>
              </w:rPr>
              <w:t xml:space="preserve">В передумовах описується, як підготувати систему до подальшого проходження безпосередньо перевірки функціонала (відкрити сторінку, знайти відповідну кнопку тощо).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Кроки (steps)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“...”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rtl w:val="0"/>
              </w:rPr>
              <w:t xml:space="preserve">В кроках детально описуються дії, які потрібні для того, щоб перевірити коректність роботи функціонала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Очікуваний результат (expected result)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“...”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rtl w:val="0"/>
              </w:rPr>
              <w:t xml:space="preserve">Тут повинна бути описана поведінка системи згідно з заданими вимогами. Очікуваний результат може бути лише один для всього тест-кейсу!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Пріоритет (priority)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“...”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rtl w:val="0"/>
              </w:rPr>
              <w:t xml:space="preserve">Зазвичай, пріоритет тест-кейсу базується на пріоритеті вимог. Наприклад, якщо вимога високого пріоритету, то і тест-кейс, який її перевіряє, також бути мати високий пріоритет (якщо це основний позитивний тест-кейс)</w:t>
            </w:r>
          </w:p>
        </w:tc>
      </w:tr>
    </w:tbl>
    <w:p w:rsidR="00000000" w:rsidDel="00000000" w:rsidP="00000000" w:rsidRDefault="00000000" w:rsidRPr="00000000" w14:paraId="000000A7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6690"/>
        <w:gridCol w:w="2535"/>
        <w:tblGridChange w:id="0">
          <w:tblGrid>
            <w:gridCol w:w="1560"/>
            <w:gridCol w:w="6690"/>
            <w:gridCol w:w="25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  <w:sz w:val="26"/>
                <w:szCs w:val="26"/>
                <w:shd w:fill="e6b8af" w:val="clear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6"/>
                <w:szCs w:val="26"/>
                <w:shd w:fill="e6b8af" w:val="clear"/>
                <w:rtl w:val="0"/>
              </w:rPr>
              <w:t xml:space="preserve">Вимога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Nunito Sans" w:cs="Nunito Sans" w:eastAsia="Nunito Sans" w:hAnsi="Nunito Sans"/>
                <w:b w:val="1"/>
                <w:bCs w:val="1"/>
                <w:sz w:val="26"/>
                <w:szCs w:val="26"/>
                <w:shd w:fill="e6b8af" w:val="clear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6"/>
                <w:szCs w:val="26"/>
                <w:shd w:fill="e6b8af" w:val="clear"/>
                <w:rtl w:val="0"/>
              </w:rPr>
              <w:t xml:space="preserve">В нижній частині сторінки (footer) розміщені посилання на соціальні мережі: Youtube, Instagram, LinkedIn, Facebook, TikTok.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  <w:sz w:val="26"/>
                <w:szCs w:val="26"/>
                <w:shd w:fill="e6b8af" w:val="clear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6"/>
                <w:szCs w:val="26"/>
                <w:shd w:fill="e6b8af" w:val="clear"/>
                <w:rtl w:val="0"/>
              </w:rPr>
              <w:t xml:space="preserve">Низький пріоритет</w:t>
            </w:r>
          </w:p>
        </w:tc>
      </w:tr>
    </w:tbl>
    <w:p w:rsidR="00000000" w:rsidDel="00000000" w:rsidP="00000000" w:rsidRDefault="00000000" w:rsidRPr="00000000" w14:paraId="000000B4">
      <w:pPr>
        <w:jc w:val="left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2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00.5"/>
        <w:gridCol w:w="5600.5"/>
        <w:tblGridChange w:id="0">
          <w:tblGrid>
            <w:gridCol w:w="5600.5"/>
            <w:gridCol w:w="5600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Назва (title, summary)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“…”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rtl w:val="0"/>
              </w:rPr>
              <w:t xml:space="preserve">З назви тест-кейсу повинно бути чітко зрозуміло, що буде перевірятись. Гарна практика починати назву тест-кейсу зі слова “перевірити”, але це не обовʼязково.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Передумови (preconditions)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“...”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rtl w:val="0"/>
              </w:rPr>
              <w:t xml:space="preserve">В передумовах описується, як підготувати систему до подальшого проходження безпосередньо перевірки функціонала (відкрити сторінку, знайти відповідну кнопку тощо).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Кроки (steps)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“...”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rtl w:val="0"/>
              </w:rPr>
              <w:t xml:space="preserve">В кроках детально описуються дії, які потрібні для того, щоб перевірити коректність роботи функціонала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Очікуваний результат (expected result)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“...”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rtl w:val="0"/>
              </w:rPr>
              <w:t xml:space="preserve">Тут повинна бути описана поведінка системи згідно з заданими вимогами. Очікуваний результат може бути лише один для всього тест-кейсу!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Пріоритет (priority)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“...”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rtl w:val="0"/>
              </w:rPr>
              <w:t xml:space="preserve">Зазвичай, пріоритет тест-кейсу базується на пріоритеті вимог. Наприклад, якщо вимога високого пріоритету, то і тест-кейс, який її перевіряє, також бути мати високий пріоритет (якщо це основний позитивний тест-кейс)</w:t>
            </w:r>
          </w:p>
        </w:tc>
      </w:tr>
    </w:tbl>
    <w:p w:rsidR="00000000" w:rsidDel="00000000" w:rsidP="00000000" w:rsidRDefault="00000000" w:rsidRPr="00000000" w14:paraId="000000CA">
      <w:pPr>
        <w:rPr>
          <w:color w:val="1d1d1d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38.1102362204729" w:top="0" w:left="566.9291338582677" w:right="473.149606299214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a-international-4c2f6d8615c5a4e3cdaf00.webflow.io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ba-international-4c2f6d8615c5a4e3cdaf00.webflow.io/" TargetMode="External"/><Relationship Id="rId8" Type="http://schemas.openxmlformats.org/officeDocument/2006/relationships/hyperlink" Target="https://ba-international-4c2f6d8615c5a4e3cdaf00.webflo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-regular.ttf"/><Relationship Id="rId2" Type="http://schemas.openxmlformats.org/officeDocument/2006/relationships/font" Target="fonts/NunitoSans-bold.ttf"/><Relationship Id="rId3" Type="http://schemas.openxmlformats.org/officeDocument/2006/relationships/font" Target="fonts/NunitoSans-italic.ttf"/><Relationship Id="rId4" Type="http://schemas.openxmlformats.org/officeDocument/2006/relationships/font" Target="fonts/Nuni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