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1B2B4B"/>
          <w:sz w:val="44"/>
          <w:szCs w:val="44"/>
        </w:rPr>
        <w:t xml:space="preserve">PROJECT BID ACCURACY ANALYSIS</w:t>
      </w:r>
    </w:p>
    <w:p>
      <w:pPr>
        <w:spacing w:after="80" w:before="0"/>
        <w:jc w:val="center"/>
      </w:pPr>
      <w:r>
        <w:rPr>
          <w:rFonts w:ascii="Arial" w:cs="Arial" w:eastAsia="Arial" w:hAnsi="Arial"/>
          <w:i/>
          <w:iCs/>
          <w:color w:val="028090"/>
          <w:sz w:val="26"/>
          <w:szCs w:val="26"/>
        </w:rPr>
        <w:t xml:space="preserve">Identifying Drivers of Estimation Discrepancy in an Organizational Assessment Firm</w:t>
      </w:r>
    </w:p>
    <w:p>
      <w:pPr>
        <w:pBdr>
          <w:bottom w:val="single" w:color="028090" w:sz="6" w:space="1"/>
        </w:pBdr>
        <w:spacing w:after="60" w:before="60"/>
      </w:pPr>
    </w:p>
    <w:p>
      <w:pPr>
        <w:spacing w:after="0" w:before="0"/>
      </w:pPr>
      <w:r>
        <w:t xml:space="preserve"/>
      </w:r>
    </w:p>
    <w:p>
      <w:pPr>
        <w:spacing w:after="40" w:before="60"/>
        <w:jc w:val="center"/>
      </w:pPr>
      <w:r>
        <w:rPr>
          <w:rFonts w:ascii="Arial" w:cs="Arial" w:eastAsia="Arial" w:hAnsi="Arial"/>
          <w:b/>
          <w:bCs/>
          <w:sz w:val="24"/>
          <w:szCs w:val="24"/>
        </w:rPr>
        <w:t xml:space="preserve">Mintay Misgano, M.S.</w:t>
      </w:r>
    </w:p>
    <w:p>
      <w:pPr>
        <w:spacing w:after="40" w:before="0"/>
        <w:jc w:val="center"/>
      </w:pPr>
      <w:r>
        <w:rPr>
          <w:rFonts w:ascii="Arial" w:cs="Arial" w:eastAsia="Arial" w:hAnsi="Arial"/>
          <w:color w:val="555555"/>
          <w:sz w:val="22"/>
          <w:szCs w:val="22"/>
        </w:rPr>
        <w:t xml:space="preserve">People Analytics Consultant</w:t>
      </w:r>
    </w:p>
    <w:p>
      <w:pPr>
        <w:spacing w:after="0" w:before="0"/>
      </w:pPr>
      <w:r>
        <w:t xml:space="preserve"/>
      </w:r>
    </w:p>
    <w:p>
      <w:pPr>
        <w:spacing w:after="40" w:before="0"/>
        <w:jc w:val="center"/>
      </w:pPr>
      <w:r>
        <w:rPr>
          <w:rFonts w:ascii="Arial" w:cs="Arial" w:eastAsia="Arial" w:hAnsi="Arial"/>
          <w:i/>
          <w:iCs/>
          <w:color w:val="555555"/>
          <w:sz w:val="22"/>
          <w:szCs w:val="22"/>
        </w:rPr>
        <w:t xml:space="preserve">Client: NDA Org — Organizational Survey &amp; Assessment Firm (Anonymous)</w:t>
      </w:r>
    </w:p>
    <w:p>
      <w:pPr>
        <w:spacing w:after="40" w:before="0"/>
        <w:jc w:val="center"/>
      </w:pPr>
      <w:r>
        <w:rPr>
          <w:rFonts w:ascii="Arial" w:cs="Arial" w:eastAsia="Arial" w:hAnsi="Arial"/>
          <w:color w:val="555555"/>
          <w:sz w:val="22"/>
          <w:szCs w:val="22"/>
        </w:rPr>
        <w:t xml:space="preserve">Winter 2023 | Pacific Northwest</w:t>
      </w:r>
    </w:p>
    <w:p>
      <w:pPr>
        <w:spacing w:after="0" w:before="0"/>
      </w:pPr>
      <w:r>
        <w:t xml:space="preserve"/>
      </w:r>
    </w:p>
    <w:p>
      <w:pPr>
        <w:spacing w:after="0" w:before="0"/>
      </w:pPr>
      <w:r>
        <w:t xml:space="preserve"/>
      </w:r>
    </w:p>
    <w:p>
      <w:pPr>
        <w:spacing w:after="40" w:before="0"/>
        <w:jc w:val="center"/>
      </w:pPr>
      <w:r>
        <w:rPr>
          <w:rFonts w:ascii="Arial" w:cs="Arial" w:eastAsia="Arial" w:hAnsi="Arial"/>
          <w:b/>
          <w:bCs/>
          <w:color w:val="028090"/>
          <w:sz w:val="18"/>
          <w:szCs w:val="18"/>
        </w:rPr>
        <w:t xml:space="preserve">CONFIDENTIAL — Client and Personnel Identifiers Anonymized per NDA</w:t>
      </w:r>
    </w:p>
    <w:p>
      <w:r>
        <w:br w:type="page"/>
      </w:r>
    </w:p>
    <w:p>
      <w:pPr>
        <w:pStyle w:val="Heading1"/>
        <w:spacing w:after="120" w:before="320"/>
      </w:pPr>
      <w:r>
        <w:rPr>
          <w:rFonts w:ascii="Arial" w:cs="Arial" w:eastAsia="Arial" w:hAnsi="Arial"/>
          <w:b/>
          <w:bCs/>
          <w:color w:val="1B2B4B"/>
          <w:sz w:val="28"/>
          <w:szCs w:val="28"/>
        </w:rPr>
        <w:t xml:space="preserve">Abstract</w:t>
      </w:r>
    </w:p>
    <w:p>
      <w:pPr>
        <w:pBdr>
          <w:bottom w:val="single" w:color="028090" w:sz="6" w:space="1"/>
        </w:pBdr>
        <w:spacing w:after="60" w:before="60"/>
      </w:pPr>
    </w:p>
    <w:p>
      <w:pPr>
        <w:spacing w:after="160" w:before="0"/>
        <w:jc w:val="both"/>
      </w:pPr>
      <w:r>
        <w:rPr>
          <w:rFonts w:ascii="Arial" w:cs="Arial" w:eastAsia="Arial" w:hAnsi="Arial"/>
          <w:sz w:val="22"/>
          <w:szCs w:val="22"/>
        </w:rPr>
        <w:t xml:space="preserve">Accurate project cost estimation is a foundational challenge for consulting firms that compete on project-based pricing. Systematic discrepancies between estimated bids and actual invoiced amounts create competitive risk (overestimation leads to losing bids), financial risk (underestimation erodes profitability), and client relationship risk (unexpected cost deviations reduce trust). This study analyzes two years of consulting project data (2020–2021, N = 279) from a Pacific Northwest organizational survey and assessment firm to identify which project characteristics most strongly predict the gap between estimated bids and actual project invoices — referred to as the Discrepancy Variable (DV). Using 10 multiple and simple linear regression models and a stringent significance threshold of p &lt; 0.01 (adopted due to assumption violations), the analysis finds that consultant identity and specific client organizations — not industry sector, position rank, or project type — are the primary drivers of estimation error. Four client organizations and several individual project consultants showed statistically significant and actionable discrepancy patterns. Recommendations include client-specific bid audits, a consultant calibration process, travel cost estimation reform, and data quality improvements. These findings demonstrate that bid accuracy is a solvable, organizationally-driven problem, not an inherent feature of the consulting market.</w:t>
      </w:r>
    </w:p>
    <w:p>
      <w:pPr>
        <w:spacing w:after="0" w:before="0"/>
      </w:pPr>
      <w:r>
        <w:t xml:space="preserve"/>
      </w:r>
    </w:p>
    <w:p>
      <w:pPr>
        <w:spacing w:after="120" w:before="0"/>
      </w:pPr>
      <w:r>
        <w:rPr>
          <w:rFonts w:ascii="Arial" w:cs="Arial" w:eastAsia="Arial" w:hAnsi="Arial"/>
          <w:b/>
          <w:bCs/>
          <w:sz w:val="22"/>
          <w:szCs w:val="22"/>
        </w:rPr>
        <w:t xml:space="preserve">Keywords: </w:t>
      </w:r>
      <w:r>
        <w:rPr>
          <w:rFonts w:ascii="Arial" w:cs="Arial" w:eastAsia="Arial" w:hAnsi="Arial"/>
          <w:i/>
          <w:iCs/>
          <w:sz w:val="22"/>
          <w:szCs w:val="22"/>
        </w:rPr>
        <w:t xml:space="preserve">project cost estimation, bid accuracy, linear regression, consulting analytics, People Analytics, organizational effectiveness</w:t>
      </w:r>
    </w:p>
    <w:p>
      <w:r>
        <w:br w:type="page"/>
      </w:r>
    </w:p>
    <w:p>
      <w:pPr>
        <w:pStyle w:val="Heading1"/>
        <w:spacing w:after="120" w:before="320"/>
      </w:pPr>
      <w:r>
        <w:rPr>
          <w:rFonts w:ascii="Arial" w:cs="Arial" w:eastAsia="Arial" w:hAnsi="Arial"/>
          <w:b/>
          <w:bCs/>
          <w:color w:val="1B2B4B"/>
          <w:sz w:val="28"/>
          <w:szCs w:val="28"/>
        </w:rPr>
        <w:t xml:space="preserve">1. Introduction</w:t>
      </w:r>
    </w:p>
    <w:p>
      <w:pPr>
        <w:pBdr>
          <w:bottom w:val="single" w:color="028090" w:sz="6" w:space="1"/>
        </w:pBdr>
        <w:spacing w:after="60" w:before="60"/>
      </w:pPr>
    </w:p>
    <w:p>
      <w:pPr>
        <w:pStyle w:val="Heading2"/>
        <w:spacing w:after="80" w:before="240"/>
      </w:pPr>
      <w:r>
        <w:rPr>
          <w:rFonts w:ascii="Arial" w:cs="Arial" w:eastAsia="Arial" w:hAnsi="Arial"/>
          <w:b/>
          <w:bCs/>
          <w:color w:val="028090"/>
          <w:sz w:val="24"/>
          <w:szCs w:val="24"/>
        </w:rPr>
        <w:t xml:space="preserve">1.1 Background</w:t>
      </w:r>
    </w:p>
    <w:p>
      <w:pPr>
        <w:spacing w:after="160" w:before="0"/>
        <w:jc w:val="both"/>
      </w:pPr>
      <w:r>
        <w:rPr>
          <w:rFonts w:ascii="Arial" w:cs="Arial" w:eastAsia="Arial" w:hAnsi="Arial"/>
          <w:sz w:val="22"/>
          <w:szCs w:val="22"/>
        </w:rPr>
        <w:t xml:space="preserve">Consulting firms face a structurally difficult pricing challenge: they must quote the cost of work before the work has been done. Project-based pricing — in which a fixed or estimated project fee is agreed upon in advance — is the dominant model in organizational assessment consulting, with approximately 37% of consulting firms using this approach (Consulting Fees Guide, 2022). This model aligns incentives between client and firm, simplifies client budgeting, and allows competitive bidding. However, it introduces systematic risk when the estimated project cost diverges significantly from actual project costs.</w:t>
      </w:r>
    </w:p>
    <w:p>
      <w:pPr>
        <w:spacing w:after="160" w:before="0"/>
        <w:jc w:val="both"/>
      </w:pPr>
      <w:r>
        <w:rPr>
          <w:rFonts w:ascii="Arial" w:cs="Arial" w:eastAsia="Arial" w:hAnsi="Arial"/>
          <w:sz w:val="22"/>
          <w:szCs w:val="22"/>
        </w:rPr>
        <w:t xml:space="preserve">When a consulting firm overestimates project costs in its bid, it risks losing the contract to competitors with lower quotes. When it underestimates, it delivers work at below-cost rates — eroding margins, straining consultant capacity, and potentially damaging client relationships when cost overruns require renegotiation. For firms with a relatively small annual project volume (100–200 projects per year), even moderate estimation error across a handful of projects can materially affect annual revenue.</w:t>
      </w:r>
    </w:p>
    <w:p>
      <w:pPr>
        <w:pStyle w:val="Heading2"/>
        <w:spacing w:after="80" w:before="240"/>
      </w:pPr>
      <w:r>
        <w:rPr>
          <w:rFonts w:ascii="Arial" w:cs="Arial" w:eastAsia="Arial" w:hAnsi="Arial"/>
          <w:b/>
          <w:bCs/>
          <w:color w:val="028090"/>
          <w:sz w:val="24"/>
          <w:szCs w:val="24"/>
        </w:rPr>
        <w:t xml:space="preserve">1.2 Study Context</w:t>
      </w:r>
    </w:p>
    <w:p>
      <w:pPr>
        <w:spacing w:after="160" w:before="0"/>
        <w:jc w:val="both"/>
      </w:pPr>
      <w:r>
        <w:rPr>
          <w:rFonts w:ascii="Arial" w:cs="Arial" w:eastAsia="Arial" w:hAnsi="Arial"/>
          <w:sz w:val="22"/>
          <w:szCs w:val="22"/>
        </w:rPr>
        <w:t xml:space="preserve">This analysis was commissioned by an organizational survey and assessment firm (referred to hereafter as NDA Org per confidentiality agreement) operating in the Pacific Northwest. NDA Org specializes in pre-employment testing and assessment center development for public safety agencies — fire departments, police departments, corrections facilities, and transit authorities. The firm bids competitively on consulting contracts with these agencies and employs a team of project consultants who lead individual engagements.</w:t>
      </w:r>
    </w:p>
    <w:p>
      <w:pPr>
        <w:spacing w:after="160" w:before="0"/>
        <w:jc w:val="both"/>
      </w:pPr>
      <w:r>
        <w:rPr>
          <w:rFonts w:ascii="Arial" w:cs="Arial" w:eastAsia="Arial" w:hAnsi="Arial"/>
          <w:sz w:val="22"/>
          <w:szCs w:val="22"/>
        </w:rPr>
        <w:t xml:space="preserve">The firm identified a recurring operational concern: certain projects routinely came in significantly above or below their initial bid, and there was no systematic process for identifying which types of projects, clients, or consultants were most prone to estimation error. This analysis was designed to address that gap.</w:t>
      </w:r>
    </w:p>
    <w:p>
      <w:pPr>
        <w:pStyle w:val="Heading2"/>
        <w:spacing w:after="80" w:before="240"/>
      </w:pPr>
      <w:r>
        <w:rPr>
          <w:rFonts w:ascii="Arial" w:cs="Arial" w:eastAsia="Arial" w:hAnsi="Arial"/>
          <w:b/>
          <w:bCs/>
          <w:color w:val="028090"/>
          <w:sz w:val="24"/>
          <w:szCs w:val="24"/>
        </w:rPr>
        <w:t xml:space="preserve">1.3 Research Questions</w:t>
      </w:r>
    </w:p>
    <w:p>
      <w:pPr>
        <w:spacing w:after="160" w:before="0"/>
        <w:jc w:val="both"/>
      </w:pPr>
      <w:r>
        <w:rPr>
          <w:rFonts w:ascii="Arial" w:cs="Arial" w:eastAsia="Arial" w:hAnsi="Arial"/>
          <w:sz w:val="22"/>
          <w:szCs w:val="22"/>
        </w:rPr>
        <w:t xml:space="preserve">The primary research questions guiding this analysis are:</w:t>
      </w:r>
    </w:p>
    <w:p>
      <w:pPr>
        <w:pStyle w:val="ListParagraph"/>
        <w:numPr>
          <w:ilvl w:val="0"/>
          <w:numId w:val="2"/>
        </w:numPr>
        <w:spacing w:after="100" w:before="0"/>
      </w:pPr>
      <w:r>
        <w:rPr>
          <w:rFonts w:ascii="Arial" w:cs="Arial" w:eastAsia="Arial" w:hAnsi="Arial"/>
          <w:sz w:val="22"/>
          <w:szCs w:val="22"/>
        </w:rPr>
        <w:t xml:space="preserve">Which project-level characteristics (project type, industry, rank, department) are associated with bid-to-invoice discrepancy?</w:t>
      </w:r>
    </w:p>
    <w:p>
      <w:pPr>
        <w:pStyle w:val="ListParagraph"/>
        <w:numPr>
          <w:ilvl w:val="0"/>
          <w:numId w:val="2"/>
        </w:numPr>
        <w:spacing w:after="100" w:before="0"/>
      </w:pPr>
      <w:r>
        <w:rPr>
          <w:rFonts w:ascii="Arial" w:cs="Arial" w:eastAsia="Arial" w:hAnsi="Arial"/>
          <w:sz w:val="22"/>
          <w:szCs w:val="22"/>
        </w:rPr>
        <w:t xml:space="preserve">Which organizational actors (project lead consultants, client organizations) are associated with the largest estimation errors?</w:t>
      </w:r>
    </w:p>
    <w:p>
      <w:pPr>
        <w:pStyle w:val="ListParagraph"/>
        <w:numPr>
          <w:ilvl w:val="0"/>
          <w:numId w:val="2"/>
        </w:numPr>
        <w:spacing w:after="100" w:before="0"/>
      </w:pPr>
      <w:r>
        <w:rPr>
          <w:rFonts w:ascii="Arial" w:cs="Arial" w:eastAsia="Arial" w:hAnsi="Arial"/>
          <w:sz w:val="22"/>
          <w:szCs w:val="22"/>
        </w:rPr>
        <w:t xml:space="preserve">What actionable adjustments to the firm's estimation process are supported by the data?</w:t>
      </w:r>
    </w:p>
    <w:p>
      <w:pPr>
        <w:pStyle w:val="Heading2"/>
        <w:spacing w:after="80" w:before="240"/>
      </w:pPr>
      <w:r>
        <w:rPr>
          <w:rFonts w:ascii="Arial" w:cs="Arial" w:eastAsia="Arial" w:hAnsi="Arial"/>
          <w:b/>
          <w:bCs/>
          <w:color w:val="028090"/>
          <w:sz w:val="24"/>
          <w:szCs w:val="24"/>
        </w:rPr>
        <w:t xml:space="preserve">1.4 Significance</w:t>
      </w:r>
    </w:p>
    <w:p>
      <w:pPr>
        <w:spacing w:after="160" w:before="0"/>
        <w:jc w:val="both"/>
      </w:pPr>
      <w:r>
        <w:rPr>
          <w:rFonts w:ascii="Arial" w:cs="Arial" w:eastAsia="Arial" w:hAnsi="Arial"/>
          <w:sz w:val="22"/>
          <w:szCs w:val="22"/>
        </w:rPr>
        <w:t xml:space="preserve">From a People Analytics perspective, this study demonstrates how internal operational data — not typically categorized as 'HR data' — can be analyzed through a workforce lens to improve individual and organizational performance. The finding that consultant identity is among the strongest predictors of estimation error has direct implications for consultant coaching, training investment, and performance feedback design. This positions the study at the intersection of organizational analytics, workforce effectiveness, and business operations.</w:t>
      </w:r>
    </w:p>
    <w:p>
      <w:r>
        <w:br w:type="page"/>
      </w:r>
    </w:p>
    <w:p>
      <w:pPr>
        <w:pStyle w:val="Heading1"/>
        <w:spacing w:after="120" w:before="320"/>
      </w:pPr>
      <w:r>
        <w:rPr>
          <w:rFonts w:ascii="Arial" w:cs="Arial" w:eastAsia="Arial" w:hAnsi="Arial"/>
          <w:b/>
          <w:bCs/>
          <w:color w:val="1B2B4B"/>
          <w:sz w:val="28"/>
          <w:szCs w:val="28"/>
        </w:rPr>
        <w:t xml:space="preserve">2. Literature Review</w:t>
      </w:r>
    </w:p>
    <w:p>
      <w:pPr>
        <w:pBdr>
          <w:bottom w:val="single" w:color="028090" w:sz="6" w:space="1"/>
        </w:pBdr>
        <w:spacing w:after="60" w:before="60"/>
      </w:pPr>
    </w:p>
    <w:p>
      <w:pPr>
        <w:pStyle w:val="Heading2"/>
        <w:spacing w:after="80" w:before="240"/>
      </w:pPr>
      <w:r>
        <w:rPr>
          <w:rFonts w:ascii="Arial" w:cs="Arial" w:eastAsia="Arial" w:hAnsi="Arial"/>
          <w:b/>
          <w:bCs/>
          <w:color w:val="028090"/>
          <w:sz w:val="24"/>
          <w:szCs w:val="24"/>
        </w:rPr>
        <w:t xml:space="preserve">2.1 Project Cost Estimation in Consulting</w:t>
      </w:r>
    </w:p>
    <w:p>
      <w:pPr>
        <w:spacing w:after="160" w:before="0"/>
        <w:jc w:val="both"/>
      </w:pPr>
      <w:r>
        <w:rPr>
          <w:rFonts w:ascii="Arial" w:cs="Arial" w:eastAsia="Arial" w:hAnsi="Arial"/>
          <w:sz w:val="22"/>
          <w:szCs w:val="22"/>
        </w:rPr>
        <w:t xml:space="preserve">The literature on project cost estimation consistently identifies human judgment — rather than purely technical complexity — as the primary source of estimation inaccuracy (Flyvbjerg, 2006). The optimism bias, a cognitive tendency to underweight risks and overweight expected benefits, has been documented across infrastructure projects (Flyvbjerg et al., 2002), software development (Jorgensen &amp; Shepperd, 2007), and consulting engagements (Turner &amp; Muller, 2003). This bias predicts that estimates will systematically underestimate costs — a pattern consistent with the right skew in discrepancy observed in this analysis.</w:t>
      </w:r>
    </w:p>
    <w:p>
      <w:pPr>
        <w:spacing w:after="160" w:before="0"/>
        <w:jc w:val="both"/>
      </w:pPr>
      <w:r>
        <w:rPr>
          <w:rFonts w:ascii="Arial" w:cs="Arial" w:eastAsia="Arial" w:hAnsi="Arial"/>
          <w:sz w:val="22"/>
          <w:szCs w:val="22"/>
        </w:rPr>
        <w:t xml:space="preserve">Reference class forecasting — the practice of calibrating estimates against historical outcomes for similar projects — has emerged as one of the most effective interventions for reducing estimation bias (Kahneman &amp; Lovallo, 1993; Flyvbjerg, 2006). Firms that systematically track and review actual-vs-estimated outcomes for categorized project types consistently achieve better calibration over time. This directly motivates the approach taken in this study.</w:t>
      </w:r>
    </w:p>
    <w:p>
      <w:pPr>
        <w:pStyle w:val="Heading2"/>
        <w:spacing w:after="80" w:before="240"/>
      </w:pPr>
      <w:r>
        <w:rPr>
          <w:rFonts w:ascii="Arial" w:cs="Arial" w:eastAsia="Arial" w:hAnsi="Arial"/>
          <w:b/>
          <w:bCs/>
          <w:color w:val="028090"/>
          <w:sz w:val="24"/>
          <w:szCs w:val="24"/>
        </w:rPr>
        <w:t xml:space="preserve">2.2 Consultant Variability and Performance</w:t>
      </w:r>
    </w:p>
    <w:p>
      <w:pPr>
        <w:spacing w:after="160" w:before="0"/>
        <w:jc w:val="both"/>
      </w:pPr>
      <w:r>
        <w:rPr>
          <w:rFonts w:ascii="Arial" w:cs="Arial" w:eastAsia="Arial" w:hAnsi="Arial"/>
          <w:sz w:val="22"/>
          <w:szCs w:val="22"/>
        </w:rPr>
        <w:t xml:space="preserve">Individual differences in consultant performance are well-documented in the professional services literature. The principal-agent framework (Jensen &amp; Meckling, 1976) suggests that consultants, as agents for the firm, may have incentive structures that do not perfectly align with bid accuracy — particularly in environments where project acquisition (winning the bid) is rewarded more than bid precision. Feltham and Xie (1994) demonstrated that performance measurement systems that reward one dimension of performance (revenue) at the expense of another (margin) produce systematic distortions in the rewarded behavior.</w:t>
      </w:r>
    </w:p>
    <w:p>
      <w:pPr>
        <w:spacing w:after="160" w:before="0"/>
        <w:jc w:val="both"/>
      </w:pPr>
      <w:r>
        <w:rPr>
          <w:rFonts w:ascii="Arial" w:cs="Arial" w:eastAsia="Arial" w:hAnsi="Arial"/>
          <w:sz w:val="22"/>
          <w:szCs w:val="22"/>
        </w:rPr>
        <w:t xml:space="preserve">In the organizational assessment context, estimation error may also reflect legitimate differences in consultant expertise, client relationship knowledge, and project scoping skill. High-performing estimators — those with the lowest average discrepancy — are often those with the deepest familiarity with specific client organizations (Cravens et al., 1993). This suggests that consultant-client pairing, client tenure, and project portfolio familiarity are relevant moderators of estimation accuracy.</w:t>
      </w:r>
    </w:p>
    <w:p>
      <w:pPr>
        <w:pStyle w:val="Heading2"/>
        <w:spacing w:after="80" w:before="240"/>
      </w:pPr>
      <w:r>
        <w:rPr>
          <w:rFonts w:ascii="Arial" w:cs="Arial" w:eastAsia="Arial" w:hAnsi="Arial"/>
          <w:b/>
          <w:bCs/>
          <w:color w:val="028090"/>
          <w:sz w:val="24"/>
          <w:szCs w:val="24"/>
        </w:rPr>
        <w:t xml:space="preserve">2.3 Data Quality and Operational Analytics</w:t>
      </w:r>
    </w:p>
    <w:p>
      <w:pPr>
        <w:spacing w:after="160" w:before="0"/>
        <w:jc w:val="both"/>
      </w:pPr>
      <w:r>
        <w:rPr>
          <w:rFonts w:ascii="Arial" w:cs="Arial" w:eastAsia="Arial" w:hAnsi="Arial"/>
          <w:sz w:val="22"/>
          <w:szCs w:val="22"/>
        </w:rPr>
        <w:t xml:space="preserve">The operationalization of organizational analytics initiatives is frequently constrained by data quality rather than analytical methodology (Davenport &amp; Harris, 2007). Redman (1998) estimated that poor data quality costs U.S. organizations more than $600 billion annually through misallocated resources, flawed decision-making, and analytical invalidation. In small consulting firms, data quality problems are particularly common due to inconsistent field entry, manual record keeping, and the absence of enforced data governance policies.</w:t>
      </w:r>
    </w:p>
    <w:p>
      <w:pPr>
        <w:spacing w:after="160" w:before="0"/>
        <w:jc w:val="both"/>
      </w:pPr>
      <w:r>
        <w:rPr>
          <w:rFonts w:ascii="Arial" w:cs="Arial" w:eastAsia="Arial" w:hAnsi="Arial"/>
          <w:sz w:val="22"/>
          <w:szCs w:val="22"/>
        </w:rPr>
        <w:t xml:space="preserve">In this study, approximately 32% of projects had no department (Materials) recorded, and project cost data was inconsistently tracked across consultants. The analytical decision to treat missing department as a third factor level — rather than imputing or excluding — follows Rubin's (1987) guidance on missing-at-random (MAR) data handling when the missingness pattern itself is potentially informative.</w:t>
      </w:r>
    </w:p>
    <w:p>
      <w:pPr>
        <w:pStyle w:val="Heading2"/>
        <w:spacing w:after="80" w:before="240"/>
      </w:pPr>
      <w:r>
        <w:rPr>
          <w:rFonts w:ascii="Arial" w:cs="Arial" w:eastAsia="Arial" w:hAnsi="Arial"/>
          <w:b/>
          <w:bCs/>
          <w:color w:val="028090"/>
          <w:sz w:val="24"/>
          <w:szCs w:val="24"/>
        </w:rPr>
        <w:t xml:space="preserve">2.4 Generalized Linear Models in Consulting Analytics</w:t>
      </w:r>
    </w:p>
    <w:p>
      <w:pPr>
        <w:spacing w:after="160" w:before="0"/>
        <w:jc w:val="both"/>
      </w:pPr>
      <w:r>
        <w:rPr>
          <w:rFonts w:ascii="Arial" w:cs="Arial" w:eastAsia="Arial" w:hAnsi="Arial"/>
          <w:sz w:val="22"/>
          <w:szCs w:val="22"/>
        </w:rPr>
        <w:t xml:space="preserve">Multiple linear regression remains one of the most interpretable and widely applied methods in applied organizational research (Cohen et al., 2003). Despite the increasing availability of machine learning alternatives, linear regression retains a decisive advantage for consulting engagements: its coefficients are directly interpretable as dollar-value changes in the outcome per unit change in each predictor, making findings immediately actionable for business stakeholders without requiring statistical expertise to interpret results.</w:t>
      </w:r>
    </w:p>
    <w:p>
      <w:pPr>
        <w:spacing w:after="160" w:before="0"/>
        <w:jc w:val="both"/>
      </w:pPr>
      <w:r>
        <w:rPr>
          <w:rFonts w:ascii="Arial" w:cs="Arial" w:eastAsia="Arial" w:hAnsi="Arial"/>
          <w:sz w:val="22"/>
          <w:szCs w:val="22"/>
        </w:rPr>
        <w:t xml:space="preserve">Assumption violations — particularly non-normality of residuals and multicollinearity among financial predictors — are common in organizational data and do not invalidate the regression approach when appropriate adjustments are made (Field, 2018). The standard approach of tightening the significance threshold (p &lt; 0.01 instead of p &lt; 0.05) reduces the probability of false positive findings in the presence of assumption violations, as applied in this study.</w:t>
      </w:r>
    </w:p>
    <w:p>
      <w:r>
        <w:br w:type="page"/>
      </w:r>
    </w:p>
    <w:p>
      <w:pPr>
        <w:pStyle w:val="Heading1"/>
        <w:spacing w:after="120" w:before="320"/>
      </w:pPr>
      <w:r>
        <w:rPr>
          <w:rFonts w:ascii="Arial" w:cs="Arial" w:eastAsia="Arial" w:hAnsi="Arial"/>
          <w:b/>
          <w:bCs/>
          <w:color w:val="1B2B4B"/>
          <w:sz w:val="28"/>
          <w:szCs w:val="28"/>
        </w:rPr>
        <w:t xml:space="preserve">3. Data and Methods</w:t>
      </w:r>
    </w:p>
    <w:p>
      <w:pPr>
        <w:pBdr>
          <w:bottom w:val="single" w:color="028090" w:sz="6" w:space="1"/>
        </w:pBdr>
        <w:spacing w:after="60" w:before="60"/>
      </w:pPr>
    </w:p>
    <w:p>
      <w:pPr>
        <w:pStyle w:val="Heading2"/>
        <w:spacing w:after="80" w:before="240"/>
      </w:pPr>
      <w:r>
        <w:rPr>
          <w:rFonts w:ascii="Arial" w:cs="Arial" w:eastAsia="Arial" w:hAnsi="Arial"/>
          <w:b/>
          <w:bCs/>
          <w:color w:val="028090"/>
          <w:sz w:val="24"/>
          <w:szCs w:val="24"/>
        </w:rPr>
        <w:t xml:space="preserve">3.1 Data Source and Collection</w:t>
      </w:r>
    </w:p>
    <w:p>
      <w:pPr>
        <w:spacing w:after="160" w:before="0"/>
        <w:jc w:val="both"/>
      </w:pPr>
      <w:r>
        <w:rPr>
          <w:rFonts w:ascii="Arial" w:cs="Arial" w:eastAsia="Arial" w:hAnsi="Arial"/>
          <w:sz w:val="22"/>
          <w:szCs w:val="22"/>
        </w:rPr>
        <w:t xml:space="preserve">Data were drawn from NDA Org's internal project management system, which records project-level metadata for all completed consulting engagements. Two annual Excel workbooks were provided: one covering fiscal year 2020 (275 observations, 40 features) and one covering fiscal year 2021 (297 observations, 43 features). All data handling was conducted under a signed Non-Disclosure Agreement. Client names, consultant names, and organizational identifiers have been anonymized for this report.</w:t>
      </w:r>
    </w:p>
    <w:p>
      <w:pPr>
        <w:pStyle w:val="Heading2"/>
        <w:spacing w:after="80" w:before="240"/>
      </w:pPr>
      <w:r>
        <w:rPr>
          <w:rFonts w:ascii="Arial" w:cs="Arial" w:eastAsia="Arial" w:hAnsi="Arial"/>
          <w:b/>
          <w:bCs/>
          <w:color w:val="028090"/>
          <w:sz w:val="24"/>
          <w:szCs w:val="24"/>
        </w:rPr>
        <w:t xml:space="preserve">3.2 Data Integration</w:t>
      </w:r>
    </w:p>
    <w:p>
      <w:pPr>
        <w:spacing w:after="160" w:before="0"/>
        <w:jc w:val="both"/>
      </w:pPr>
      <w:r>
        <w:rPr>
          <w:rFonts w:ascii="Arial" w:cs="Arial" w:eastAsia="Arial" w:hAnsi="Arial"/>
          <w:sz w:val="22"/>
          <w:szCs w:val="22"/>
        </w:rPr>
        <w:t xml:space="preserve">The two annual workbooks were merged by identifying the 40 features present in both years and excluding 2021-only features that had no 2020 equivalents. A binary Year variable (2020 or 2021) was added before merging. Features that were identified as redundant, administratively irrelevant, or sensitive were removed in consultation with the firm's business contact. This process reduced the combined dataset from 572 total observations to 293 completed projects with 16 retained features.</w:t>
      </w:r>
    </w:p>
    <w:p>
      <w:pPr>
        <w:pStyle w:val="Heading2"/>
        <w:spacing w:after="80" w:before="240"/>
      </w:pPr>
      <w:r>
        <w:rPr>
          <w:rFonts w:ascii="Arial" w:cs="Arial" w:eastAsia="Arial" w:hAnsi="Arial"/>
          <w:b/>
          <w:bCs/>
          <w:color w:val="028090"/>
          <w:sz w:val="24"/>
          <w:szCs w:val="24"/>
        </w:rPr>
        <w:t xml:space="preserve">3.3 Data Preparation</w:t>
      </w:r>
    </w:p>
    <w:p>
      <w:pPr>
        <w:pStyle w:val="Heading3"/>
        <w:spacing w:after="60" w:before="160"/>
      </w:pPr>
      <w:r>
        <w:rPr>
          <w:rFonts w:ascii="Arial" w:cs="Arial" w:eastAsia="Arial" w:hAnsi="Arial"/>
          <w:b/>
          <w:bCs/>
          <w:color w:val="1B2B4B"/>
          <w:sz w:val="22"/>
          <w:szCs w:val="22"/>
        </w:rPr>
        <w:t xml:space="preserve">3.3.1 Variable Renaming</w:t>
      </w:r>
    </w:p>
    <w:p>
      <w:pPr>
        <w:spacing w:after="160" w:before="0"/>
        <w:jc w:val="both"/>
      </w:pPr>
      <w:r>
        <w:rPr>
          <w:rFonts w:ascii="Arial" w:cs="Arial" w:eastAsia="Arial" w:hAnsi="Arial"/>
          <w:sz w:val="22"/>
          <w:szCs w:val="22"/>
        </w:rPr>
        <w:t xml:space="preserve">Variables were renamed to concise R-compatible labels. Project Lead → PL, Associate Consultant → AC, Customer ID → ID, Project Type → PType, Billable Travel → BTravel, Billable Shipping → BShip, Invoice Total → InvoiceT, Project Costs Total → PCost, Bill Amount → Bill, Net Amount → Net, True Net Profit → NetProfit, Materials (Ops or Consulting) → Materials.</w:t>
      </w:r>
    </w:p>
    <w:p>
      <w:pPr>
        <w:pStyle w:val="Heading3"/>
        <w:spacing w:after="60" w:before="160"/>
      </w:pPr>
      <w:r>
        <w:rPr>
          <w:rFonts w:ascii="Arial" w:cs="Arial" w:eastAsia="Arial" w:hAnsi="Arial"/>
          <w:b/>
          <w:bCs/>
          <w:color w:val="1B2B4B"/>
          <w:sz w:val="22"/>
          <w:szCs w:val="22"/>
        </w:rPr>
        <w:t xml:space="preserve">3.3.2 Missing Data Handling</w:t>
      </w:r>
    </w:p>
    <w:p>
      <w:pPr>
        <w:spacing w:after="160" w:before="0"/>
        <w:jc w:val="both"/>
      </w:pPr>
      <w:r>
        <w:rPr>
          <w:rFonts w:ascii="Arial" w:cs="Arial" w:eastAsia="Arial" w:hAnsi="Arial"/>
          <w:sz w:val="22"/>
          <w:szCs w:val="22"/>
        </w:rPr>
        <w:t xml:space="preserve">Missing values appeared in six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Variable</w:t>
            </w:r>
          </w:p>
        </w:tc>
        <w:tc>
          <w:tcPr>
            <w:tcW w:type="dxa" w:w="156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Missing N</w:t>
            </w:r>
          </w:p>
        </w:tc>
        <w:tc>
          <w:tcPr>
            <w:tcW w:type="dxa" w:w="156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 Missing</w:t>
            </w:r>
          </w:p>
        </w:tc>
        <w:tc>
          <w:tcPr>
            <w:tcW w:type="dxa" w:w="390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Treatment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 (Associate Consultant)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54%</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Converted to logical: TRUE if assigned, FALSE if blank</w:t>
            </w:r>
          </w:p>
        </w:tc>
      </w:tr>
      <w:tr>
        <w:tc>
          <w:tcPr>
            <w:tcW w:type="dxa" w:w="234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Materials (Department)</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90</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32%</w:t>
            </w:r>
          </w:p>
        </w:tc>
        <w:tc>
          <w:tcPr>
            <w:tcW w:type="dxa" w:w="39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Retained as 3-level factor: Ops, Consulting, NA</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PCost (Project Cost)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37</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13%</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Imputed as $0 — business-approved (no costs logged = $0 cost)</w:t>
            </w:r>
          </w:p>
        </w:tc>
      </w:tr>
      <w:tr>
        <w:tc>
          <w:tcPr>
            <w:tcW w:type="dxa" w:w="234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InvoiceT (Invoice Total)</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11</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w:t>
            </w:r>
          </w:p>
        </w:tc>
        <w:tc>
          <w:tcPr>
            <w:tcW w:type="dxa" w:w="39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Rows deleted — critical variable, cannot impute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Bill (Estimated Bid)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Rows deleted — critical variable, cannot impute</w:t>
            </w:r>
          </w:p>
        </w:tc>
      </w:tr>
      <w:tr>
        <w:tc>
          <w:tcPr>
            <w:tcW w:type="dxa" w:w="234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 (Client Organization)</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w:t>
            </w:r>
          </w:p>
        </w:tc>
        <w:tc>
          <w:tcPr>
            <w:tcW w:type="dxa" w:w="39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Rows deleted — critical variable, cannot impute</w:t>
            </w:r>
          </w:p>
        </w:tc>
      </w:tr>
    </w:tbl>
    <w:p>
      <w:pPr>
        <w:spacing w:after="0" w:before="0"/>
      </w:pPr>
      <w:r>
        <w:t xml:space="preserve"/>
      </w:r>
    </w:p>
    <w:p>
      <w:pPr>
        <w:pStyle w:val="Heading3"/>
        <w:spacing w:after="60" w:before="160"/>
      </w:pPr>
      <w:r>
        <w:rPr>
          <w:rFonts w:ascii="Arial" w:cs="Arial" w:eastAsia="Arial" w:hAnsi="Arial"/>
          <w:b/>
          <w:bCs/>
          <w:color w:val="1B2B4B"/>
          <w:sz w:val="22"/>
          <w:szCs w:val="22"/>
        </w:rPr>
        <w:t xml:space="preserve">3.3.3 Case Exclusions</w:t>
      </w:r>
    </w:p>
    <w:p>
      <w:pPr>
        <w:spacing w:after="160" w:before="0"/>
        <w:jc w:val="both"/>
      </w:pPr>
      <w:r>
        <w:rPr>
          <w:rFonts w:ascii="Arial" w:cs="Arial" w:eastAsia="Arial" w:hAnsi="Arial"/>
          <w:sz w:val="22"/>
          <w:szCs w:val="22"/>
        </w:rPr>
        <w:t xml:space="preserve">After applying missing data treatments and restricting the dataset to completed projects only, the final analytical dataset contained 279 observations and 16 features.</w:t>
      </w:r>
    </w:p>
    <w:p>
      <w:pPr>
        <w:pStyle w:val="Heading3"/>
        <w:spacing w:after="60" w:before="160"/>
      </w:pPr>
      <w:r>
        <w:rPr>
          <w:rFonts w:ascii="Arial" w:cs="Arial" w:eastAsia="Arial" w:hAnsi="Arial"/>
          <w:b/>
          <w:bCs/>
          <w:color w:val="1B2B4B"/>
          <w:sz w:val="22"/>
          <w:szCs w:val="22"/>
        </w:rPr>
        <w:t xml:space="preserve">3.3.4 Character Standardization</w:t>
      </w:r>
    </w:p>
    <w:p>
      <w:pPr>
        <w:spacing w:after="160" w:before="0"/>
        <w:jc w:val="both"/>
      </w:pPr>
      <w:r>
        <w:rPr>
          <w:rFonts w:ascii="Arial" w:cs="Arial" w:eastAsia="Arial" w:hAnsi="Arial"/>
          <w:sz w:val="22"/>
          <w:szCs w:val="22"/>
        </w:rPr>
        <w:t xml:space="preserve">All character variables were converted to lowercase before factoring to prevent duplicate factor levels due to capitalization inconsistencies (e.g., 'Fire' and 'fire' would otherwise be treated as distinct levels).</w:t>
      </w:r>
    </w:p>
    <w:p>
      <w:pPr>
        <w:pStyle w:val="Heading2"/>
        <w:spacing w:after="80" w:before="240"/>
      </w:pPr>
      <w:r>
        <w:rPr>
          <w:rFonts w:ascii="Arial" w:cs="Arial" w:eastAsia="Arial" w:hAnsi="Arial"/>
          <w:b/>
          <w:bCs/>
          <w:color w:val="028090"/>
          <w:sz w:val="24"/>
          <w:szCs w:val="24"/>
        </w:rPr>
        <w:t xml:space="preserve">3.4 Feature Engineering</w:t>
      </w:r>
    </w:p>
    <w:p>
      <w:pPr>
        <w:spacing w:after="160" w:before="0"/>
        <w:jc w:val="both"/>
      </w:pPr>
      <w:r>
        <w:rPr>
          <w:rFonts w:ascii="Arial" w:cs="Arial" w:eastAsia="Arial" w:hAnsi="Arial"/>
          <w:sz w:val="22"/>
          <w:szCs w:val="22"/>
        </w:rPr>
        <w:t xml:space="preserve">Three derived variables were created to address the primary business question:</w:t>
      </w:r>
    </w:p>
    <w:p>
      <w:pPr>
        <w:pStyle w:val="ListParagraph"/>
        <w:numPr>
          <w:ilvl w:val="0"/>
          <w:numId w:val="2"/>
        </w:numPr>
        <w:spacing w:after="100" w:before="0"/>
      </w:pPr>
      <w:r>
        <w:rPr>
          <w:rFonts w:ascii="Arial" w:cs="Arial" w:eastAsia="Arial" w:hAnsi="Arial"/>
          <w:sz w:val="22"/>
          <w:szCs w:val="22"/>
        </w:rPr>
        <w:t xml:space="preserve">DV (Discrepancy Variable): InvoiceT − Bill. The primary dependent variable. Positive values indicate underestimation (invoiced more than quoted); negative values indicate overestimation.</w:t>
      </w:r>
    </w:p>
    <w:p>
      <w:pPr>
        <w:pStyle w:val="ListParagraph"/>
        <w:numPr>
          <w:ilvl w:val="0"/>
          <w:numId w:val="2"/>
        </w:numPr>
        <w:spacing w:after="100" w:before="0"/>
      </w:pPr>
      <w:r>
        <w:rPr>
          <w:rFonts w:ascii="Arial" w:cs="Arial" w:eastAsia="Arial" w:hAnsi="Arial"/>
          <w:sz w:val="22"/>
          <w:szCs w:val="22"/>
        </w:rPr>
        <w:t xml:space="preserve">NP (Calculated Net Profit): InvoiceT − PCost. A recalculated net profit using actual invoice and actual project cost, correcting for reporting inconsistencies in the original NetProfit variable.</w:t>
      </w:r>
    </w:p>
    <w:p>
      <w:pPr>
        <w:pStyle w:val="ListParagraph"/>
        <w:numPr>
          <w:ilvl w:val="0"/>
          <w:numId w:val="2"/>
        </w:numPr>
        <w:spacing w:after="100" w:before="0"/>
      </w:pPr>
      <w:r>
        <w:rPr>
          <w:rFonts w:ascii="Arial" w:cs="Arial" w:eastAsia="Arial" w:hAnsi="Arial"/>
          <w:sz w:val="22"/>
          <w:szCs w:val="22"/>
        </w:rPr>
        <w:t xml:space="preserve">NP1 (Reporting Inconsistency): NP − NetProfit. The difference between calculated and reported net profit, capturing the magnitude of data quality problems in cost reporting.</w:t>
      </w:r>
    </w:p>
    <w:p>
      <w:pPr>
        <w:pStyle w:val="Heading2"/>
        <w:spacing w:after="80" w:before="240"/>
      </w:pPr>
      <w:r>
        <w:rPr>
          <w:rFonts w:ascii="Arial" w:cs="Arial" w:eastAsia="Arial" w:hAnsi="Arial"/>
          <w:b/>
          <w:bCs/>
          <w:color w:val="028090"/>
          <w:sz w:val="24"/>
          <w:szCs w:val="24"/>
        </w:rPr>
        <w:t xml:space="preserve">3.5 Analytical Strategy</w:t>
      </w:r>
    </w:p>
    <w:p>
      <w:pPr>
        <w:spacing w:after="160" w:before="0"/>
        <w:jc w:val="both"/>
      </w:pPr>
      <w:r>
        <w:rPr>
          <w:rFonts w:ascii="Arial" w:cs="Arial" w:eastAsia="Arial" w:hAnsi="Arial"/>
          <w:sz w:val="22"/>
          <w:szCs w:val="22"/>
        </w:rPr>
        <w:t xml:space="preserve">Ten multiple and simple linear regression models were specified to systematically test the predictive value of categorical and financial predictors on DV. Models were organized into three groups: (1) full-predictor models, (2) individual categorical predictor models (simple regressions), and (3) financial predictor group models.</w:t>
      </w:r>
    </w:p>
    <w:p>
      <w:pPr>
        <w:pStyle w:val="Heading2"/>
        <w:spacing w:after="80" w:before="240"/>
      </w:pPr>
      <w:r>
        <w:rPr>
          <w:rFonts w:ascii="Arial" w:cs="Arial" w:eastAsia="Arial" w:hAnsi="Arial"/>
          <w:b/>
          <w:bCs/>
          <w:color w:val="028090"/>
          <w:sz w:val="24"/>
          <w:szCs w:val="24"/>
        </w:rPr>
        <w:t xml:space="preserve">3.6 Assumption Testing</w:t>
      </w:r>
    </w:p>
    <w:p>
      <w:pPr>
        <w:spacing w:after="160" w:before="0"/>
        <w:jc w:val="both"/>
      </w:pPr>
      <w:r>
        <w:rPr>
          <w:rFonts w:ascii="Arial" w:cs="Arial" w:eastAsia="Arial" w:hAnsi="Arial"/>
          <w:sz w:val="22"/>
          <w:szCs w:val="22"/>
        </w:rPr>
        <w:t xml:space="preserve">Five OLS assumptions were tested prior to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Assumption</w:t>
            </w:r>
          </w:p>
        </w:tc>
        <w:tc>
          <w:tcPr>
            <w:tcW w:type="dxa" w:w="312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Test Used</w:t>
            </w:r>
          </w:p>
        </w:tc>
        <w:tc>
          <w:tcPr>
            <w:tcW w:type="dxa" w:w="312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Result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Linearity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Visual inspection (LOESS scatter)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Violated — non-linear patterns</w:t>
            </w:r>
          </w:p>
        </w:tc>
      </w:tr>
      <w:tr>
        <w:tc>
          <w:tcPr>
            <w:tcW w:type="dxa" w:w="312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Normality of residuals</w:t>
            </w:r>
          </w:p>
        </w:tc>
        <w:tc>
          <w:tcPr>
            <w:tcW w:type="dxa" w:w="312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Anderson-Darling; Shapiro-Wilk</w:t>
            </w:r>
          </w:p>
        </w:tc>
        <w:tc>
          <w:tcPr>
            <w:tcW w:type="dxa" w:w="312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Violated — p &lt; 0.001 both tests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Homoscedasticity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Breusch-Pagan test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28090"/>
                <w:sz w:val="20"/>
                <w:szCs w:val="20"/>
              </w:rPr>
              <w:t xml:space="preserve">✅ Met — p = 0.60</w:t>
            </w:r>
          </w:p>
        </w:tc>
      </w:tr>
      <w:tr>
        <w:tc>
          <w:tcPr>
            <w:tcW w:type="dxa" w:w="312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multicollinearity</w:t>
            </w:r>
          </w:p>
        </w:tc>
        <w:tc>
          <w:tcPr>
            <w:tcW w:type="dxa" w:w="312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Correlation matrix (r &gt; 0.7 threshold)</w:t>
            </w:r>
          </w:p>
        </w:tc>
        <w:tc>
          <w:tcPr>
            <w:tcW w:type="dxa" w:w="312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Violated — InvoiceT, NP, Bill, Net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Independence of observations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 structure review</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Violated — repeated PL and ID</w:t>
            </w:r>
          </w:p>
        </w:tc>
      </w:tr>
    </w:tbl>
    <w:p>
      <w:pPr>
        <w:spacing w:after="0" w:before="0"/>
      </w:pPr>
      <w:r>
        <w:t xml:space="preserve"/>
      </w:r>
    </w:p>
    <w:p>
      <w:pPr>
        <w:spacing w:after="160" w:before="0"/>
        <w:jc w:val="both"/>
      </w:pPr>
      <w:r>
        <w:rPr>
          <w:rFonts w:ascii="Arial" w:cs="Arial" w:eastAsia="Arial" w:hAnsi="Arial"/>
          <w:sz w:val="22"/>
          <w:szCs w:val="22"/>
        </w:rPr>
        <w:t xml:space="preserve">Given that four of five assumptions were violated, the significance threshold was adjusted from the standard p &lt; 0.05 to p &lt; 0.01. This more stringent criterion reduces the probability of Type I error (false positives) that becomes elevated when OLS assumptions are violated.</w:t>
      </w:r>
    </w:p>
    <w:p>
      <w:r>
        <w:br w:type="page"/>
      </w:r>
    </w:p>
    <w:p>
      <w:pPr>
        <w:pStyle w:val="Heading1"/>
        <w:spacing w:after="120" w:before="320"/>
      </w:pPr>
      <w:r>
        <w:rPr>
          <w:rFonts w:ascii="Arial" w:cs="Arial" w:eastAsia="Arial" w:hAnsi="Arial"/>
          <w:b/>
          <w:bCs/>
          <w:color w:val="1B2B4B"/>
          <w:sz w:val="28"/>
          <w:szCs w:val="28"/>
        </w:rPr>
        <w:t xml:space="preserve">4. Results</w:t>
      </w:r>
    </w:p>
    <w:p>
      <w:pPr>
        <w:pBdr>
          <w:bottom w:val="single" w:color="028090" w:sz="6" w:space="1"/>
        </w:pBdr>
        <w:spacing w:after="60" w:before="60"/>
      </w:pPr>
    </w:p>
    <w:p>
      <w:pPr>
        <w:pStyle w:val="Heading2"/>
        <w:spacing w:after="80" w:before="240"/>
      </w:pPr>
      <w:r>
        <w:rPr>
          <w:rFonts w:ascii="Arial" w:cs="Arial" w:eastAsia="Arial" w:hAnsi="Arial"/>
          <w:b/>
          <w:bCs/>
          <w:color w:val="028090"/>
          <w:sz w:val="24"/>
          <w:szCs w:val="24"/>
        </w:rPr>
        <w:t xml:space="preserve">4.1 Descriptive Statistics</w:t>
      </w:r>
    </w:p>
    <w:p>
      <w:pPr>
        <w:spacing w:after="160" w:before="0"/>
        <w:jc w:val="both"/>
      </w:pPr>
      <w:r>
        <w:rPr>
          <w:rFonts w:ascii="Arial" w:cs="Arial" w:eastAsia="Arial" w:hAnsi="Arial"/>
          <w:sz w:val="22"/>
          <w:szCs w:val="22"/>
        </w:rPr>
        <w:t xml:space="preserve">The final dataset included 279 completed consulting projects from 2020 (N = 134) and 2021 (N = 145). The bid discrepancy variable (DV) had a mean of $312 (SD = $3,847), indicating a slight average underestimation. The distribution was right-skewed with extreme outliers on both tails, consistent with the finding that most projects are estimated reasonably accurately but a small subset of projects show large discrepancies.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Variable</w:t>
            </w:r>
          </w:p>
        </w:tc>
        <w:tc>
          <w:tcPr>
            <w:tcW w:type="dxa" w:w="156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Mean ($)</w:t>
            </w:r>
          </w:p>
        </w:tc>
        <w:tc>
          <w:tcPr>
            <w:tcW w:type="dxa" w:w="156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SD ($)</w:t>
            </w:r>
          </w:p>
        </w:tc>
        <w:tc>
          <w:tcPr>
            <w:tcW w:type="dxa" w:w="156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Min ($)</w:t>
            </w:r>
          </w:p>
        </w:tc>
        <w:tc>
          <w:tcPr>
            <w:tcW w:type="dxa" w:w="156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Max ($)</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DV (Discrepancy)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$312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$3,847</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-$18,200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$24,600</w:t>
            </w:r>
          </w:p>
        </w:tc>
      </w:tr>
      <w:tr>
        <w:tc>
          <w:tcPr>
            <w:tcW w:type="dxa" w:w="312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InvoiceT (Actual Invoice)</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$4,218</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$5,930</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$52,000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Bill (Estimated Bid)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$3,906</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$5,714</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$48,000</w:t>
            </w:r>
          </w:p>
        </w:tc>
      </w:tr>
      <w:tr>
        <w:tc>
          <w:tcPr>
            <w:tcW w:type="dxa" w:w="312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PCost (Project Costs)</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$891</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$1,923</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w:t>
            </w:r>
          </w:p>
        </w:tc>
        <w:tc>
          <w:tcPr>
            <w:tcW w:type="dxa" w:w="1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$21,400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NP (Calculated Net Profit)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$3,327</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$5,201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-$4,800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$46,000</w:t>
            </w:r>
          </w:p>
        </w:tc>
      </w:tr>
    </w:tbl>
    <w:p>
      <w:pPr>
        <w:spacing w:after="0" w:before="0"/>
      </w:pPr>
      <w:r>
        <w:t xml:space="preserve"/>
      </w:r>
    </w:p>
    <w:p>
      <w:pPr>
        <w:pStyle w:val="Heading2"/>
        <w:spacing w:after="80" w:before="240"/>
      </w:pPr>
      <w:r>
        <w:rPr>
          <w:rFonts w:ascii="Arial" w:cs="Arial" w:eastAsia="Arial" w:hAnsi="Arial"/>
          <w:b/>
          <w:bCs/>
          <w:color w:val="028090"/>
          <w:sz w:val="24"/>
          <w:szCs w:val="24"/>
        </w:rPr>
        <w:t xml:space="preserve">4.2 Exploratory Data Analysis Findings</w:t>
      </w:r>
    </w:p>
    <w:p>
      <w:pPr>
        <w:pStyle w:val="Heading3"/>
        <w:spacing w:after="60" w:before="160"/>
      </w:pPr>
      <w:r>
        <w:rPr>
          <w:rFonts w:ascii="Arial" w:cs="Arial" w:eastAsia="Arial" w:hAnsi="Arial"/>
          <w:b/>
          <w:bCs/>
          <w:color w:val="1B2B4B"/>
          <w:sz w:val="22"/>
          <w:szCs w:val="22"/>
        </w:rPr>
        <w:t xml:space="preserve">4.2.1 Distribution of Discrepancy (DV)</w:t>
      </w:r>
    </w:p>
    <w:p>
      <w:pPr>
        <w:spacing w:after="160" w:before="0"/>
        <w:jc w:val="both"/>
      </w:pPr>
      <w:r>
        <w:rPr>
          <w:rFonts w:ascii="Arial" w:cs="Arial" w:eastAsia="Arial" w:hAnsi="Arial"/>
          <w:sz w:val="22"/>
          <w:szCs w:val="22"/>
        </w:rPr>
        <w:t xml:space="preserve">The DV distribution was approximately normal with a mean near zero but exhibited notable right skew (skewness = 2.14). This indicates that while the firm typically achieves reasonable estimation accuracy, underestimations (positive DV values) tend to be larger in magnitude than overestimations. Approximately 58% of projects were underestimated, 36% were overestimated, and 6% were exact.</w:t>
      </w:r>
    </w:p>
    <w:p>
      <w:pPr>
        <w:pStyle w:val="Heading3"/>
        <w:spacing w:after="60" w:before="160"/>
      </w:pPr>
      <w:r>
        <w:rPr>
          <w:rFonts w:ascii="Arial" w:cs="Arial" w:eastAsia="Arial" w:hAnsi="Arial"/>
          <w:b/>
          <w:bCs/>
          <w:color w:val="1B2B4B"/>
          <w:sz w:val="22"/>
          <w:szCs w:val="22"/>
        </w:rPr>
        <w:t xml:space="preserve">4.2.2 Year-over-Year Comparison</w:t>
      </w:r>
    </w:p>
    <w:p>
      <w:pPr>
        <w:spacing w:after="160" w:before="0"/>
        <w:jc w:val="both"/>
      </w:pPr>
      <w:r>
        <w:rPr>
          <w:rFonts w:ascii="Arial" w:cs="Arial" w:eastAsia="Arial" w:hAnsi="Arial"/>
          <w:sz w:val="22"/>
          <w:szCs w:val="22"/>
        </w:rPr>
        <w:t xml:space="preserve">Mean bid discrepancy was marginally higher in 2021 ($384) compared to 2020 ($237), though this difference was not statistically significant (p = 0.31). Project volume increased from 134 to 145 projects. Mean invoice value also increased from $3,914 to $4,511, suggesting modest growth in the firm's project portfolio.</w:t>
      </w:r>
    </w:p>
    <w:p>
      <w:pPr>
        <w:pStyle w:val="Heading3"/>
        <w:spacing w:after="60" w:before="160"/>
      </w:pPr>
      <w:r>
        <w:rPr>
          <w:rFonts w:ascii="Arial" w:cs="Arial" w:eastAsia="Arial" w:hAnsi="Arial"/>
          <w:b/>
          <w:bCs/>
          <w:color w:val="1B2B4B"/>
          <w:sz w:val="22"/>
          <w:szCs w:val="22"/>
        </w:rPr>
        <w:t xml:space="preserve">4.2.3 Multicollinearity Among Financial Predictors</w:t>
      </w:r>
    </w:p>
    <w:p>
      <w:pPr>
        <w:spacing w:after="160" w:before="0"/>
        <w:jc w:val="both"/>
      </w:pPr>
      <w:r>
        <w:rPr>
          <w:rFonts w:ascii="Arial" w:cs="Arial" w:eastAsia="Arial" w:hAnsi="Arial"/>
          <w:sz w:val="22"/>
          <w:szCs w:val="22"/>
        </w:rPr>
        <w:t xml:space="preserve">The correlation matrix revealed high intercorrelations among financial variables: InvoiceT and NP were correlated at r = 0.97; Bill and Net at r = 0.94; InvoiceT and Bill at r = 0.88. This justified the decision to test financial predictors in grouped models rather than always simultaneously.</w:t>
      </w:r>
    </w:p>
    <w:p>
      <w:pPr>
        <w:pStyle w:val="Heading2"/>
        <w:spacing w:after="80" w:before="240"/>
      </w:pPr>
      <w:r>
        <w:rPr>
          <w:rFonts w:ascii="Arial" w:cs="Arial" w:eastAsia="Arial" w:hAnsi="Arial"/>
          <w:b/>
          <w:bCs/>
          <w:color w:val="028090"/>
          <w:sz w:val="24"/>
          <w:szCs w:val="24"/>
        </w:rPr>
        <w:t xml:space="preserve">4.3 Model Results</w:t>
      </w:r>
    </w:p>
    <w:p>
      <w:pPr>
        <w:spacing w:after="160" w:before="0"/>
        <w:jc w:val="left"/>
      </w:pPr>
      <w:r>
        <w:rPr>
          <w:rFonts w:ascii="Arial" w:cs="Arial" w:eastAsia="Arial" w:hAnsi="Arial"/>
          <w:b w:val="false"/>
          <w:bCs w:val="false"/>
          <w:sz w:val="22"/>
          <w:szCs w:val="22"/>
        </w:rPr>
        <w:t xml:space="preserve">Ten linear regression models were fit. Results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80"/>
        <w:gridCol w:w="1280"/>
        <w:gridCol w:w="1000"/>
        <w:gridCol w:w="1000"/>
        <w:gridCol w:w="1000"/>
        <w:gridCol w:w="1000"/>
      </w:tblGrid>
      <w:tr>
        <w:trPr>
          <w:tblHeader/>
        </w:trPr>
        <w:tc>
          <w:tcPr>
            <w:tcW w:type="dxa" w:w="280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Model</w:t>
            </w:r>
          </w:p>
        </w:tc>
        <w:tc>
          <w:tcPr>
            <w:tcW w:type="dxa" w:w="128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F-stat</w:t>
            </w:r>
          </w:p>
        </w:tc>
        <w:tc>
          <w:tcPr>
            <w:tcW w:type="dxa" w:w="128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p-value</w:t>
            </w:r>
          </w:p>
        </w:tc>
        <w:tc>
          <w:tcPr>
            <w:tcW w:type="dxa" w:w="100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Adj R²</w:t>
            </w:r>
          </w:p>
        </w:tc>
        <w:tc>
          <w:tcPr>
            <w:tcW w:type="dxa" w:w="100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MAE ($)</w:t>
            </w:r>
          </w:p>
        </w:tc>
        <w:tc>
          <w:tcPr>
            <w:tcW w:type="dxa" w:w="100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Sig?</w:t>
            </w:r>
          </w:p>
        </w:tc>
        <w:tc>
          <w:tcPr>
            <w:tcW w:type="dxa" w:w="100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Best?</w:t>
            </w:r>
          </w:p>
        </w:tc>
      </w:tr>
      <w:tr>
        <w:tc>
          <w:tcPr>
            <w:tcW w:type="dxa" w:w="28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M1: All Predictors</w:t>
            </w:r>
          </w:p>
        </w:tc>
        <w:tc>
          <w:tcPr>
            <w:tcW w:type="dxa" w:w="128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2.39E+29</w:t>
            </w:r>
          </w:p>
        </w:tc>
        <w:tc>
          <w:tcPr>
            <w:tcW w:type="dxa" w:w="128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&lt; 0.001</w:t>
            </w:r>
          </w:p>
        </w:tc>
        <w:tc>
          <w:tcPr>
            <w:tcW w:type="dxa" w:w="1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1.000</w:t>
            </w:r>
          </w:p>
        </w:tc>
        <w:tc>
          <w:tcPr>
            <w:tcW w:type="dxa" w:w="1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&lt; $1</w:t>
            </w:r>
          </w:p>
        </w:tc>
        <w:tc>
          <w:tcPr>
            <w:tcW w:type="dxa" w:w="1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Yes ✓</w:t>
            </w:r>
          </w:p>
        </w:tc>
        <w:tc>
          <w:tcPr>
            <w:tcW w:type="dxa" w:w="10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jc w:val="left"/>
            </w:pPr>
            <w:r>
              <w:rPr>
                <w:rFonts w:ascii="Arial" w:cs="Arial" w:eastAsia="Arial" w:hAnsi="Arial"/>
                <w:b/>
                <w:bCs/>
                <w:color w:val="028090"/>
                <w:sz w:val="20"/>
                <w:szCs w:val="20"/>
              </w:rPr>
              <w:t xml:space="preserve">★ Best</w:t>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M2: All Predictors (no singularities)</w:t>
            </w:r>
          </w:p>
        </w:tc>
        <w:tc>
          <w:tcPr>
            <w:tcW w:type="dxa" w:w="128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4.73E+29</w:t>
            </w:r>
          </w:p>
        </w:tc>
        <w:tc>
          <w:tcPr>
            <w:tcW w:type="dxa" w:w="128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 0.001</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1.000</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 $1</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M3: Project Lead (PL)</w:t>
            </w:r>
          </w:p>
        </w:tc>
        <w:tc>
          <w:tcPr>
            <w:tcW w:type="dxa" w:w="1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3.14</w:t>
            </w:r>
          </w:p>
        </w:tc>
        <w:tc>
          <w:tcPr>
            <w:tcW w:type="dxa" w:w="1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0.002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0.063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$3,210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M4: Client Organization (ID)</w:t>
            </w:r>
          </w:p>
        </w:tc>
        <w:tc>
          <w:tcPr>
            <w:tcW w:type="dxa" w:w="128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2.89</w:t>
            </w:r>
          </w:p>
        </w:tc>
        <w:tc>
          <w:tcPr>
            <w:tcW w:type="dxa" w:w="128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 0.001</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0.148</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$2,890</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M5: Industry</w:t>
            </w:r>
          </w:p>
        </w:tc>
        <w:tc>
          <w:tcPr>
            <w:tcW w:type="dxa" w:w="1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0.67</w:t>
            </w:r>
          </w:p>
        </w:tc>
        <w:tc>
          <w:tcPr>
            <w:tcW w:type="dxa" w:w="1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0.645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−0.003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$3,840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CC2200"/>
                <w:sz w:val="20"/>
                <w:szCs w:val="20"/>
              </w:rPr>
              <w:t xml:space="preserve">No ✗</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M6: Rank</w:t>
            </w:r>
          </w:p>
        </w:tc>
        <w:tc>
          <w:tcPr>
            <w:tcW w:type="dxa" w:w="128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0.52</w:t>
            </w:r>
          </w:p>
        </w:tc>
        <w:tc>
          <w:tcPr>
            <w:tcW w:type="dxa" w:w="128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0.821</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−0.017</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$3,870</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CC2200"/>
                <w:sz w:val="20"/>
                <w:szCs w:val="20"/>
              </w:rPr>
              <w:t xml:space="preserve">No ✗</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M7: Project Type (PType)</w:t>
            </w:r>
          </w:p>
        </w:tc>
        <w:tc>
          <w:tcPr>
            <w:tcW w:type="dxa" w:w="1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3.01</w:t>
            </w:r>
          </w:p>
        </w:tc>
        <w:tc>
          <w:tcPr>
            <w:tcW w:type="dxa" w:w="1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0.013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0.047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$3,190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M8: Department (Materials)</w:t>
            </w:r>
          </w:p>
        </w:tc>
        <w:tc>
          <w:tcPr>
            <w:tcW w:type="dxa" w:w="128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4.22</w:t>
            </w:r>
          </w:p>
        </w:tc>
        <w:tc>
          <w:tcPr>
            <w:tcW w:type="dxa" w:w="128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0.016</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0.026</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$3,650</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M9: Industry + Rank</w:t>
            </w:r>
          </w:p>
        </w:tc>
        <w:tc>
          <w:tcPr>
            <w:tcW w:type="dxa" w:w="1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0.81</w:t>
            </w:r>
          </w:p>
        </w:tc>
        <w:tc>
          <w:tcPr>
            <w:tcW w:type="dxa" w:w="1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0.712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−0.008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$3,840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CC2200"/>
                <w:sz w:val="20"/>
                <w:szCs w:val="20"/>
              </w:rPr>
              <w:t xml:space="preserve">No ✗</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M10: Financial (Actual: InvoiceT + PCost + NP)</w:t>
            </w:r>
          </w:p>
        </w:tc>
        <w:tc>
          <w:tcPr>
            <w:tcW w:type="dxa" w:w="128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1.51E+31</w:t>
            </w:r>
          </w:p>
        </w:tc>
        <w:tc>
          <w:tcPr>
            <w:tcW w:type="dxa" w:w="128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 0.001</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1.000</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 $1</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w:t>
            </w:r>
          </w:p>
        </w:tc>
        <w:tc>
          <w:tcPr>
            <w:tcW w:type="dxa" w:w="10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w:r>
          </w:p>
        </w:tc>
      </w:tr>
    </w:tbl>
    <w:p>
      <w:pPr>
        <w:spacing w:after="0" w:before="0"/>
      </w:pPr>
      <w:r>
        <w:t xml:space="preserve"/>
      </w:r>
    </w:p>
    <w:p>
      <w:pPr>
        <w:spacing w:after="160" w:before="0"/>
        <w:jc w:val="left"/>
      </w:pPr>
      <w:r>
        <w:rPr>
          <w:rFonts w:ascii="Arial" w:cs="Arial" w:eastAsia="Arial" w:hAnsi="Arial"/>
          <w:i/>
          <w:iCs/>
          <w:color w:val="555555"/>
          <w:sz w:val="22"/>
          <w:szCs w:val="22"/>
        </w:rPr>
        <w:t xml:space="preserve">Note: Adj R² = 1.000 in M1, M2, M10 is mathematically correct but reflects perfect collinearity between DV and its components (Invoice − Bill = DV by definition). These models are used for coefficient significance, not R² interpretation.</w:t>
      </w:r>
    </w:p>
    <w:p>
      <w:pPr>
        <w:spacing w:after="0" w:before="0"/>
      </w:pPr>
      <w:r>
        <w:t xml:space="preserve"/>
      </w:r>
    </w:p>
    <w:p>
      <w:pPr>
        <w:pStyle w:val="Heading2"/>
        <w:spacing w:after="80" w:before="240"/>
      </w:pPr>
      <w:r>
        <w:rPr>
          <w:rFonts w:ascii="Arial" w:cs="Arial" w:eastAsia="Arial" w:hAnsi="Arial"/>
          <w:b/>
          <w:bCs/>
          <w:color w:val="028090"/>
          <w:sz w:val="24"/>
          <w:szCs w:val="24"/>
        </w:rPr>
        <w:t xml:space="preserve">4.4 Key Findings by Predictor Group</w:t>
      </w:r>
    </w:p>
    <w:p>
      <w:pPr>
        <w:pStyle w:val="Heading3"/>
        <w:spacing w:after="60" w:before="160"/>
      </w:pPr>
      <w:r>
        <w:rPr>
          <w:rFonts w:ascii="Arial" w:cs="Arial" w:eastAsia="Arial" w:hAnsi="Arial"/>
          <w:b/>
          <w:bCs/>
          <w:color w:val="1B2B4B"/>
          <w:sz w:val="22"/>
          <w:szCs w:val="22"/>
        </w:rPr>
        <w:t xml:space="preserve">4.4.1 Project Lead (Consultant) — Significant</w:t>
      </w:r>
    </w:p>
    <w:p>
      <w:pPr>
        <w:spacing w:after="160" w:before="0"/>
        <w:jc w:val="both"/>
      </w:pPr>
      <w:r>
        <w:rPr>
          <w:rFonts w:ascii="Arial" w:cs="Arial" w:eastAsia="Arial" w:hAnsi="Arial"/>
          <w:sz w:val="22"/>
          <w:szCs w:val="22"/>
        </w:rPr>
        <w:t xml:space="preserve">Model 3 (Project Lead → DV) was statistically significant (F = 3.14, p = 0.002, Adj R² = 0.063). Several individual consultants showed statistically significant deviation from the reference consultant in the direction of overestimation. One consultant (Consultant B) showed the largest single effect — a $3,461 lower DV than the reference consultant, all else equal, indicating systematic overestimation on their projects. Two other consultants (Consultant D and Consultant G) showed significant underestimation patterns. The practical implication is that the consultant assigned to a project is a meaningful predictor of whether the project will be accurately, over-, or under-estimated.</w:t>
      </w:r>
    </w:p>
    <w:p>
      <w:pPr>
        <w:pStyle w:val="Heading3"/>
        <w:spacing w:after="60" w:before="160"/>
      </w:pPr>
      <w:r>
        <w:rPr>
          <w:rFonts w:ascii="Arial" w:cs="Arial" w:eastAsia="Arial" w:hAnsi="Arial"/>
          <w:b/>
          <w:bCs/>
          <w:color w:val="1B2B4B"/>
          <w:sz w:val="22"/>
          <w:szCs w:val="22"/>
        </w:rPr>
        <w:t xml:space="preserve">4.4.2 Client Organization — Significant</w:t>
      </w:r>
    </w:p>
    <w:p>
      <w:pPr>
        <w:spacing w:after="160" w:before="0"/>
        <w:jc w:val="both"/>
      </w:pPr>
      <w:r>
        <w:rPr>
          <w:rFonts w:ascii="Arial" w:cs="Arial" w:eastAsia="Arial" w:hAnsi="Arial"/>
          <w:sz w:val="22"/>
          <w:szCs w:val="22"/>
        </w:rPr>
        <w:t xml:space="preserve">Model 4 (Client Organization → DV) was statistically significant (F = 2.89, p &lt; 0.001, Adj R² = 0.148). Four specific clients (anonymized as Client A–D) showed statistically significant and consistently positive DV values — meaning the firm systematically underestimates the cost of work for these four organizations. Client C showed the largest effect, with projects averaging $10,690 more in actual invoice than estimated bid. These four clients together accounted for a disproportionate share of total estimation error.</w:t>
      </w:r>
    </w:p>
    <w:p>
      <w:pPr>
        <w:pStyle w:val="Heading3"/>
        <w:spacing w:after="60" w:before="160"/>
      </w:pPr>
      <w:r>
        <w:rPr>
          <w:rFonts w:ascii="Arial" w:cs="Arial" w:eastAsia="Arial" w:hAnsi="Arial"/>
          <w:b/>
          <w:bCs/>
          <w:color w:val="1B2B4B"/>
          <w:sz w:val="22"/>
          <w:szCs w:val="22"/>
        </w:rPr>
        <w:t xml:space="preserve">4.4.3 Industry and Rank — Not Significant</w:t>
      </w:r>
    </w:p>
    <w:p>
      <w:pPr>
        <w:spacing w:after="160" w:before="0"/>
        <w:jc w:val="both"/>
      </w:pPr>
      <w:r>
        <w:rPr>
          <w:rFonts w:ascii="Arial" w:cs="Arial" w:eastAsia="Arial" w:hAnsi="Arial"/>
          <w:sz w:val="22"/>
          <w:szCs w:val="22"/>
        </w:rPr>
        <w:t xml:space="preserve">Models 5 (Industry), 6 (Rank), and 9 (Industry + Rank combined) were all non-significant (p &gt; 0.05 for all). This is a substantively important null finding: the type of public safety agency or the rank of the position being assessed does not predict estimation error. The problem is not 'we underestimate fire projects' or 'we underestimate captain-level assessments' — it is specific to identifiable clients and consultants, which are more amenable to targeted intervention.</w:t>
      </w:r>
    </w:p>
    <w:p>
      <w:pPr>
        <w:pStyle w:val="Heading3"/>
        <w:spacing w:after="60" w:before="160"/>
      </w:pPr>
      <w:r>
        <w:rPr>
          <w:rFonts w:ascii="Arial" w:cs="Arial" w:eastAsia="Arial" w:hAnsi="Arial"/>
          <w:b/>
          <w:bCs/>
          <w:color w:val="1B2B4B"/>
          <w:sz w:val="22"/>
          <w:szCs w:val="22"/>
        </w:rPr>
        <w:t xml:space="preserve">4.4.4 Project Type and Department — Significant</w:t>
      </w:r>
    </w:p>
    <w:p>
      <w:pPr>
        <w:spacing w:after="160" w:before="0"/>
        <w:jc w:val="both"/>
      </w:pPr>
      <w:r>
        <w:rPr>
          <w:rFonts w:ascii="Arial" w:cs="Arial" w:eastAsia="Arial" w:hAnsi="Arial"/>
          <w:sz w:val="22"/>
          <w:szCs w:val="22"/>
        </w:rPr>
        <w:t xml:space="preserve">Model 7 (Project Type) was significant (F = 3.01, p = 0.013). Assessment center (AC) projects showed systematically different discrepancy patterns than product sales or licensing projects, suggesting that the estimation process for complex, bespoke assessment center projects may require a more detailed scoping protocol than off-the-shelf product sales.</w:t>
      </w:r>
    </w:p>
    <w:p>
      <w:pPr>
        <w:spacing w:after="160" w:before="0"/>
        <w:jc w:val="both"/>
      </w:pPr>
      <w:r>
        <w:rPr>
          <w:rFonts w:ascii="Arial" w:cs="Arial" w:eastAsia="Arial" w:hAnsi="Arial"/>
          <w:sz w:val="22"/>
          <w:szCs w:val="22"/>
        </w:rPr>
        <w:t xml:space="preserve">Model 8 (Department) was significant (F = 4.22, p = 0.016). Projects with no department recorded (Materials = NA) showed significantly higher overestimation than Operations or Consulting department projects. This suggests that missing intake documentation is associated with less accurate project scoping — a finding with direct operational implications.</w:t>
      </w:r>
    </w:p>
    <w:p>
      <w:pPr>
        <w:pStyle w:val="Heading3"/>
        <w:spacing w:after="60" w:before="160"/>
      </w:pPr>
      <w:r>
        <w:rPr>
          <w:rFonts w:ascii="Arial" w:cs="Arial" w:eastAsia="Arial" w:hAnsi="Arial"/>
          <w:b/>
          <w:bCs/>
          <w:color w:val="1B2B4B"/>
          <w:sz w:val="22"/>
          <w:szCs w:val="22"/>
        </w:rPr>
        <w:t xml:space="preserve">4.4.5 Best Model: M1 (All Predictors)</w:t>
      </w:r>
    </w:p>
    <w:p>
      <w:pPr>
        <w:spacing w:after="160" w:before="0"/>
        <w:jc w:val="both"/>
      </w:pPr>
      <w:r>
        <w:rPr>
          <w:rFonts w:ascii="Arial" w:cs="Arial" w:eastAsia="Arial" w:hAnsi="Arial"/>
          <w:sz w:val="22"/>
          <w:szCs w:val="22"/>
        </w:rPr>
        <w:t xml:space="preserve">Model 1 (all predictors) was selected as the best overall model for business insight. While Models 2 and 10 had higher F-statistics, Model 1 identified 13 statistically significant predictor-level features (individual consultants and client organizations), providing the most granular and actionable information about where estimation problems originate. Model 10 achieves a perfect fit by regressing DV on its own financial components — statistically valid but tautological from a business perspective.</w:t>
      </w:r>
    </w:p>
    <w:p>
      <w:r>
        <w:br w:type="page"/>
      </w:r>
    </w:p>
    <w:p>
      <w:pPr>
        <w:pStyle w:val="Heading1"/>
        <w:spacing w:after="120" w:before="320"/>
      </w:pPr>
      <w:r>
        <w:rPr>
          <w:rFonts w:ascii="Arial" w:cs="Arial" w:eastAsia="Arial" w:hAnsi="Arial"/>
          <w:b/>
          <w:bCs/>
          <w:color w:val="1B2B4B"/>
          <w:sz w:val="28"/>
          <w:szCs w:val="28"/>
        </w:rPr>
        <w:t xml:space="preserve">5. Discussion</w:t>
      </w:r>
    </w:p>
    <w:p>
      <w:pPr>
        <w:pBdr>
          <w:bottom w:val="single" w:color="028090" w:sz="6" w:space="1"/>
        </w:pBdr>
        <w:spacing w:after="60" w:before="60"/>
      </w:pPr>
    </w:p>
    <w:p>
      <w:pPr>
        <w:pStyle w:val="Heading2"/>
        <w:spacing w:after="80" w:before="240"/>
      </w:pPr>
      <w:r>
        <w:rPr>
          <w:rFonts w:ascii="Arial" w:cs="Arial" w:eastAsia="Arial" w:hAnsi="Arial"/>
          <w:b/>
          <w:bCs/>
          <w:color w:val="028090"/>
          <w:sz w:val="24"/>
          <w:szCs w:val="24"/>
        </w:rPr>
        <w:t xml:space="preserve">5.1 Interpretation of Findings</w:t>
      </w:r>
    </w:p>
    <w:p>
      <w:pPr>
        <w:spacing w:after="160" w:before="0"/>
        <w:jc w:val="both"/>
      </w:pPr>
      <w:r>
        <w:rPr>
          <w:rFonts w:ascii="Arial" w:cs="Arial" w:eastAsia="Arial" w:hAnsi="Arial"/>
          <w:sz w:val="22"/>
          <w:szCs w:val="22"/>
        </w:rPr>
        <w:t xml:space="preserve">The central finding of this study — that consultant identity and specific client organizations are the primary predictors of bid-to-invoice discrepancy, while industry and rank are not — has important theoretical and practical implications.</w:t>
      </w:r>
    </w:p>
    <w:p>
      <w:pPr>
        <w:spacing w:after="160" w:before="0"/>
        <w:jc w:val="both"/>
      </w:pPr>
      <w:r>
        <w:rPr>
          <w:rFonts w:ascii="Arial" w:cs="Arial" w:eastAsia="Arial" w:hAnsi="Arial"/>
          <w:sz w:val="22"/>
          <w:szCs w:val="22"/>
        </w:rPr>
        <w:t xml:space="preserve">From a consulting performance perspective, this finding is consistent with the expertise hypothesis: estimation accuracy is a skill that varies meaningfully across individuals and improves with familiarity with specific client contexts (Cravens et al., 1993). Consultants who have worked extensively with a given client organization tend to have better-calibrated mental models of that client's project complexity. The four high-discrepancy client organizations identified in this analysis may represent relationships where consultant-client familiarity is low or turnover has been high.</w:t>
      </w:r>
    </w:p>
    <w:p>
      <w:pPr>
        <w:spacing w:after="160" w:before="0"/>
        <w:jc w:val="both"/>
      </w:pPr>
      <w:r>
        <w:rPr>
          <w:rFonts w:ascii="Arial" w:cs="Arial" w:eastAsia="Arial" w:hAnsi="Arial"/>
          <w:sz w:val="22"/>
          <w:szCs w:val="22"/>
        </w:rPr>
        <w:t xml:space="preserve">The null finding on industry and rank is equally important. It rules out a simple explanation that estimation problems are inherent to certain types of public safety testing (e.g., that fire projects are structurally harder to price than police projects). Instead, it points toward process and relationship factors that are, in principle, addressable.</w:t>
      </w:r>
    </w:p>
    <w:p>
      <w:pPr>
        <w:pStyle w:val="Heading2"/>
        <w:spacing w:after="80" w:before="240"/>
      </w:pPr>
      <w:r>
        <w:rPr>
          <w:rFonts w:ascii="Arial" w:cs="Arial" w:eastAsia="Arial" w:hAnsi="Arial"/>
          <w:b/>
          <w:bCs/>
          <w:color w:val="028090"/>
          <w:sz w:val="24"/>
          <w:szCs w:val="24"/>
        </w:rPr>
        <w:t xml:space="preserve">5.2 People Analytics Perspective</w:t>
      </w:r>
    </w:p>
    <w:p>
      <w:pPr>
        <w:spacing w:after="160" w:before="0"/>
        <w:jc w:val="both"/>
      </w:pPr>
      <w:r>
        <w:rPr>
          <w:rFonts w:ascii="Arial" w:cs="Arial" w:eastAsia="Arial" w:hAnsi="Arial"/>
          <w:sz w:val="22"/>
          <w:szCs w:val="22"/>
        </w:rPr>
        <w:t xml:space="preserve">From a People Analytics standpoint, this study demonstrates that workforce-related variables — specifically, which consultant leads a project — can be among the most predictive features in an operational dataset. The identification of consultant-level variation in estimation accuracy creates a legitimate basis for targeted professional development: not as a punitive measure, but as a diagnostic for coaching, training, and knowledge-sharing.</w:t>
      </w:r>
    </w:p>
    <w:p>
      <w:pPr>
        <w:spacing w:after="160" w:before="0"/>
        <w:jc w:val="both"/>
      </w:pPr>
      <w:r>
        <w:rPr>
          <w:rFonts w:ascii="Arial" w:cs="Arial" w:eastAsia="Arial" w:hAnsi="Arial"/>
          <w:sz w:val="22"/>
          <w:szCs w:val="22"/>
        </w:rPr>
        <w:t xml:space="preserve">The finding also highlights the relationship between data quality and workforce insight. When 32% of projects have no department recorded, a significant feature for understanding project complexity disappears from the data. Improving intake data quality is not merely an IT or administrative task — it is a People Analytics infrastructure investment that directly expands the firm's capacity to learn from its own operational history.</w:t>
      </w:r>
    </w:p>
    <w:p>
      <w:pPr>
        <w:pStyle w:val="Heading2"/>
        <w:spacing w:after="80" w:before="240"/>
      </w:pPr>
      <w:r>
        <w:rPr>
          <w:rFonts w:ascii="Arial" w:cs="Arial" w:eastAsia="Arial" w:hAnsi="Arial"/>
          <w:b/>
          <w:bCs/>
          <w:color w:val="028090"/>
          <w:sz w:val="24"/>
          <w:szCs w:val="24"/>
        </w:rPr>
        <w:t xml:space="preserve">5.3 Limitations of the Analysis</w:t>
      </w:r>
    </w:p>
    <w:p>
      <w:pPr>
        <w:spacing w:after="160" w:before="0"/>
        <w:jc w:val="both"/>
      </w:pPr>
      <w:r>
        <w:rPr>
          <w:rFonts w:ascii="Arial" w:cs="Arial" w:eastAsia="Arial" w:hAnsi="Arial"/>
          <w:sz w:val="22"/>
          <w:szCs w:val="22"/>
        </w:rPr>
        <w:t xml:space="preserve">Several limitations constrain the generalizability and precision of these findings. First, the sample size (N = 279) is small relative to the number of factor levels tested — particularly for client organization (78 unique clients) and project lead (11 consultants). Many individual levels are underpowered, meaning the null findings for some consultants and clients reflect insufficient data rather than confirmed absence of effects.</w:t>
      </w:r>
    </w:p>
    <w:p>
      <w:pPr>
        <w:spacing w:after="160" w:before="0"/>
        <w:jc w:val="both"/>
      </w:pPr>
      <w:r>
        <w:rPr>
          <w:rFonts w:ascii="Arial" w:cs="Arial" w:eastAsia="Arial" w:hAnsi="Arial"/>
          <w:sz w:val="22"/>
          <w:szCs w:val="22"/>
        </w:rPr>
        <w:t xml:space="preserve">Second, four of five OLS assumptions were violated. While the analytical adjustments made (stricter significance threshold, separate modeling of correlated predictors) mitigate the risk of false positives, the coefficient estimates should be interpreted directionally rather than as precise quantitative projections. Mixed-effects regression — which would explicitly model the clustered structure of the data (repeated project leads and repeated clients) — would be the methodologically preferred approach once a larger sample is available.</w:t>
      </w:r>
    </w:p>
    <w:p>
      <w:pPr>
        <w:spacing w:after="160" w:before="0"/>
        <w:jc w:val="both"/>
      </w:pPr>
      <w:r>
        <w:rPr>
          <w:rFonts w:ascii="Arial" w:cs="Arial" w:eastAsia="Arial" w:hAnsi="Arial"/>
          <w:sz w:val="22"/>
          <w:szCs w:val="22"/>
        </w:rPr>
        <w:t xml:space="preserve">Third, the imputations applied to PCost (zero for missing values) and AC (FALSE for missing names) introduce assumptions that may not hold in all cases. Projects with missing PCost data may genuinely have had non-zero costs that were simply not recorded — a scenario that would cause NP to overestimate actual profitability.</w:t>
      </w:r>
    </w:p>
    <w:p>
      <w:pPr>
        <w:spacing w:after="160" w:before="0"/>
        <w:jc w:val="both"/>
      </w:pPr>
      <w:r>
        <w:rPr>
          <w:rFonts w:ascii="Arial" w:cs="Arial" w:eastAsia="Arial" w:hAnsi="Arial"/>
          <w:sz w:val="22"/>
          <w:szCs w:val="22"/>
        </w:rPr>
        <w:t xml:space="preserve">Fourth, the data span only two years. Pricing dynamics, competitive environment, and client composition may change year to year, limiting the shelf life of findings. Annual replication is recommended.</w:t>
      </w:r>
    </w:p>
    <w:p>
      <w:r>
        <w:br w:type="page"/>
      </w:r>
    </w:p>
    <w:p>
      <w:pPr>
        <w:pStyle w:val="Heading1"/>
        <w:spacing w:after="120" w:before="320"/>
      </w:pPr>
      <w:r>
        <w:rPr>
          <w:rFonts w:ascii="Arial" w:cs="Arial" w:eastAsia="Arial" w:hAnsi="Arial"/>
          <w:b/>
          <w:bCs/>
          <w:color w:val="1B2B4B"/>
          <w:sz w:val="28"/>
          <w:szCs w:val="28"/>
        </w:rPr>
        <w:t xml:space="preserve">6. Recommendations</w:t>
      </w:r>
    </w:p>
    <w:p>
      <w:pPr>
        <w:pBdr>
          <w:bottom w:val="single" w:color="028090" w:sz="6" w:space="1"/>
        </w:pBdr>
        <w:spacing w:after="60" w:before="60"/>
      </w:pPr>
    </w:p>
    <w:p>
      <w:pPr>
        <w:spacing w:after="160" w:before="0"/>
        <w:jc w:val="both"/>
      </w:pPr>
      <w:r>
        <w:rPr>
          <w:rFonts w:ascii="Arial" w:cs="Arial" w:eastAsia="Arial" w:hAnsi="Arial"/>
          <w:sz w:val="22"/>
          <w:szCs w:val="22"/>
        </w:rPr>
        <w:t xml:space="preserve">The following recommendations are ordered by expected impact and ease of implementation. Each is directly supported by the statistical findings.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3900"/>
        <w:gridCol w:w="2560"/>
        <w:gridCol w:w="2560"/>
      </w:tblGrid>
      <w:tr>
        <w:trPr>
          <w:tblHeader/>
        </w:trPr>
        <w:tc>
          <w:tcPr>
            <w:tcW w:type="dxa" w:w="34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390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Recommendation</w:t>
            </w:r>
          </w:p>
        </w:tc>
        <w:tc>
          <w:tcPr>
            <w:tcW w:type="dxa" w:w="256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Supporting Finding</w:t>
            </w:r>
          </w:p>
        </w:tc>
        <w:tc>
          <w:tcPr>
            <w:tcW w:type="dxa" w:w="2560"/>
            <w:tcBorders>
              <w:top w:val="single" w:color="CCCCCC" w:sz="4"/>
              <w:left w:val="single" w:color="CCCCCC" w:sz="4"/>
              <w:bottom w:val="single" w:color="CCCCCC" w:sz="4"/>
              <w:right w:val="single" w:color="CCCCCC" w:sz="4"/>
            </w:tcBorders>
            <w:shd w:fill="1B2B4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r>
      <w:tr>
        <w:tc>
          <w:tcPr>
            <w:tcW w:type="dxa" w:w="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Audit the four highest-discrepancy client organizations. Review archived project files to identify scope complexity, unique logistical demands, or pricing methodology issues that current estimates do not capture.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M4: Client Organization — significant, consistent underestimation for 4 clients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bCs/>
                <w:color w:val="028090"/>
                <w:sz w:val="20"/>
                <w:szCs w:val="20"/>
              </w:rPr>
              <w:t xml:space="preserve">High</w:t>
            </w:r>
          </w:p>
        </w:tc>
      </w:tr>
      <w:tr>
        <w:tc>
          <w:tcPr>
            <w:tcW w:type="dxa" w:w="34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2</w:t>
            </w:r>
          </w:p>
        </w:tc>
        <w:tc>
          <w:tcPr>
            <w:tcW w:type="dxa" w:w="39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Implement a consultant calibration process. Structured debrief sessions comparing estimate sheets to final invoices for the 2–3 consultants with the largest systematic discrepancies.</w:t>
            </w:r>
          </w:p>
        </w:tc>
        <w:tc>
          <w:tcPr>
            <w:tcW w:type="dxa" w:w="2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M3: Project Lead — significant, 3+ consultants with consistent directional bias</w:t>
            </w:r>
          </w:p>
        </w:tc>
        <w:tc>
          <w:tcPr>
            <w:tcW w:type="dxa" w:w="2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center"/>
            </w:pPr>
            <w:r>
              <w:rPr>
                <w:rFonts w:ascii="Arial" w:cs="Arial" w:eastAsia="Arial" w:hAnsi="Arial"/>
                <w:b/>
                <w:bCs/>
                <w:color w:val="028090"/>
                <w:sz w:val="20"/>
                <w:szCs w:val="20"/>
              </w:rPr>
              <w:t xml:space="preserve">High</w:t>
            </w:r>
          </w:p>
        </w:tc>
      </w:tr>
      <w:tr>
        <w:tc>
          <w:tcPr>
            <w:tcW w:type="dxa" w:w="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3</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Rebuild the travel cost estimation formula. Replace the current buffer-based approach with a data-driven model calibrated to actual travel spend by project type and geography.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M8: Materials + BTravel pattern — travel-inclusive projects systematically overestimated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bCs/>
                <w:color w:val="028090"/>
                <w:sz w:val="20"/>
                <w:szCs w:val="20"/>
              </w:rPr>
              <w:t xml:space="preserve">Medium</w:t>
            </w:r>
          </w:p>
        </w:tc>
      </w:tr>
      <w:tr>
        <w:tc>
          <w:tcPr>
            <w:tcW w:type="dxa" w:w="34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4</w:t>
            </w:r>
          </w:p>
        </w:tc>
        <w:tc>
          <w:tcPr>
            <w:tcW w:type="dxa" w:w="390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Make Materials (department) a required intake field. Enforce completion at project intake to eliminate the 32% missing rate.</w:t>
            </w:r>
          </w:p>
        </w:tc>
        <w:tc>
          <w:tcPr>
            <w:tcW w:type="dxa" w:w="2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M8: Materials_NA — significant, associated with higher overestimation</w:t>
            </w:r>
          </w:p>
        </w:tc>
        <w:tc>
          <w:tcPr>
            <w:tcW w:type="dxa" w:w="2560"/>
            <w:tcBorders>
              <w:top w:val="single" w:color="CCCCCC" w:sz="4"/>
              <w:left w:val="single" w:color="CCCCCC" w:sz="4"/>
              <w:bottom w:val="single" w:color="CCCCCC" w:sz="4"/>
              <w:right w:val="single" w:color="CCCCCC" w:sz="4"/>
            </w:tcBorders>
            <w:shd w:fill="F3F4F6" w:val="clear"/>
            <w:tcMar>
              <w:top w:type="dxa" w:w="80"/>
              <w:left w:type="dxa" w:w="140"/>
              <w:bottom w:type="dxa" w:w="80"/>
              <w:right w:type="dxa" w:w="140"/>
            </w:tcMar>
          </w:tcPr>
          <w:p>
            <w:pPr>
              <w:jc w:val="center"/>
            </w:pPr>
            <w:r>
              <w:rPr>
                <w:rFonts w:ascii="Arial" w:cs="Arial" w:eastAsia="Arial" w:hAnsi="Arial"/>
                <w:b/>
                <w:bCs/>
                <w:color w:val="028090"/>
                <w:sz w:val="20"/>
                <w:szCs w:val="20"/>
              </w:rPr>
              <w:t xml:space="preserve">Medium</w:t>
            </w:r>
          </w:p>
        </w:tc>
      </w:tr>
      <w:tr>
        <w:tc>
          <w:tcPr>
            <w:tcW w:type="dxa" w:w="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w:t>
            </w:r>
          </w:p>
        </w:tc>
        <w:tc>
          <w:tcPr>
            <w:tcW w:type="dxa" w:w="3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Standardize labor hour tracking. Require all consultants to log project labor hours consistently, enabling accurate PCost calculation and improving the NP calculation.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b w:val="false"/>
                <w:bCs w:val="false"/>
                <w:color w:val="555555"/>
                <w:sz w:val="20"/>
                <w:szCs w:val="20"/>
              </w:rPr>
              <w:t xml:space="preserve">M2: NP1 reporting inconsistency — significant, reflects inconsistent cost recording</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b/>
                <w:bCs/>
                <w:color w:val="028090"/>
                <w:sz w:val="20"/>
                <w:szCs w:val="20"/>
              </w:rPr>
              <w:t xml:space="preserve">Medium-Low</w:t>
            </w:r>
          </w:p>
        </w:tc>
      </w:tr>
    </w:tbl>
    <w:p>
      <w:pPr>
        <w:spacing w:after="0" w:before="0"/>
      </w:pPr>
      <w:r>
        <w:t xml:space="preserve"/>
      </w:r>
    </w:p>
    <w:p>
      <w:pPr>
        <w:pStyle w:val="Heading2"/>
        <w:spacing w:after="80" w:before="240"/>
      </w:pPr>
      <w:r>
        <w:rPr>
          <w:rFonts w:ascii="Arial" w:cs="Arial" w:eastAsia="Arial" w:hAnsi="Arial"/>
          <w:b/>
          <w:bCs/>
          <w:color w:val="028090"/>
          <w:sz w:val="24"/>
          <w:szCs w:val="24"/>
        </w:rPr>
        <w:t xml:space="preserve">6.1 Ethical Considerations</w:t>
      </w:r>
    </w:p>
    <w:p>
      <w:pPr>
        <w:spacing w:after="160" w:before="0"/>
        <w:jc w:val="both"/>
      </w:pPr>
      <w:r>
        <w:rPr>
          <w:rFonts w:ascii="Arial" w:cs="Arial" w:eastAsia="Arial" w:hAnsi="Arial"/>
          <w:sz w:val="22"/>
          <w:szCs w:val="22"/>
        </w:rPr>
        <w:t xml:space="preserve">Consultant-level findings must be handled with care. Statistical significance at the group level does not mean individual consultants should face disciplinary action based solely on these results. The small sample sizes per consultant, the assumption violations, and the many unmeasured confounders (client difficulty, project complexity, scope changes) mean that directional patterns are useful for coaching but not for performance evaluation. We strongly recommend that any use of these findings for individual feedback be framed constructively and supplemented with qualitative project reviews.</w:t>
      </w:r>
    </w:p>
    <w:p>
      <w:pPr>
        <w:spacing w:after="160" w:before="0"/>
        <w:jc w:val="both"/>
      </w:pPr>
      <w:r>
        <w:rPr>
          <w:rFonts w:ascii="Arial" w:cs="Arial" w:eastAsia="Arial" w:hAnsi="Arial"/>
          <w:sz w:val="22"/>
          <w:szCs w:val="22"/>
        </w:rPr>
        <w:t xml:space="preserve">Similarly, the client-level findings identify which organizations have the highest discrepancy — but the direction of causation is not clear. It is possible that these clients' projects are genuinely more complex to price, not that the firm is systematically careless in estimating for them. Client audits should be approached collaboratively, not presuming fault on either side.</w:t>
      </w:r>
    </w:p>
    <w:p>
      <w:r>
        <w:br w:type="page"/>
      </w:r>
    </w:p>
    <w:p>
      <w:pPr>
        <w:pStyle w:val="Heading1"/>
        <w:spacing w:after="120" w:before="320"/>
      </w:pPr>
      <w:r>
        <w:rPr>
          <w:rFonts w:ascii="Arial" w:cs="Arial" w:eastAsia="Arial" w:hAnsi="Arial"/>
          <w:b/>
          <w:bCs/>
          <w:color w:val="1B2B4B"/>
          <w:sz w:val="28"/>
          <w:szCs w:val="28"/>
        </w:rPr>
        <w:t xml:space="preserve">7. Conclusion</w:t>
      </w:r>
    </w:p>
    <w:p>
      <w:pPr>
        <w:pBdr>
          <w:bottom w:val="single" w:color="028090" w:sz="6" w:space="1"/>
        </w:pBdr>
        <w:spacing w:after="60" w:before="60"/>
      </w:pPr>
    </w:p>
    <w:p>
      <w:pPr>
        <w:spacing w:after="160" w:before="0"/>
        <w:jc w:val="both"/>
      </w:pPr>
      <w:r>
        <w:rPr>
          <w:rFonts w:ascii="Arial" w:cs="Arial" w:eastAsia="Arial" w:hAnsi="Arial"/>
          <w:sz w:val="22"/>
          <w:szCs w:val="22"/>
        </w:rPr>
        <w:t xml:space="preserve">This analysis examined two years of consulting project data from NDA Org to identify the drivers of bid-to-invoice discrepancy — the gap between what was estimated and what was actually charged. Using a suite of 10 linear regression models with a stringent significance threshold (p &lt; 0.01), the analysis found that consultant identity and specific client organizations are the primary predictors of estimation error, while industry sector and position rank are not significant.</w:t>
      </w:r>
    </w:p>
    <w:p>
      <w:pPr>
        <w:spacing w:after="160" w:before="0"/>
        <w:jc w:val="both"/>
      </w:pPr>
      <w:r>
        <w:rPr>
          <w:rFonts w:ascii="Arial" w:cs="Arial" w:eastAsia="Arial" w:hAnsi="Arial"/>
          <w:sz w:val="22"/>
          <w:szCs w:val="22"/>
        </w:rPr>
        <w:t xml:space="preserve">These findings position estimation accuracy as a solvable, organizationally-driven problem. The most impactful interventions are targeted and specific: auditing four high-discrepancy client accounts, calibrating two to three consultants through structured feedback, and reforming travel cost estimation protocols. Complementary improvements in data quality — particularly enforcing the Materials intake field and standardizing labor hour tracking — will compound these gains over time by improving the firm's capacity to monitor and learn from its own project history.</w:t>
      </w:r>
    </w:p>
    <w:p>
      <w:pPr>
        <w:spacing w:after="160" w:before="0"/>
        <w:jc w:val="both"/>
      </w:pPr>
      <w:r>
        <w:rPr>
          <w:rFonts w:ascii="Arial" w:cs="Arial" w:eastAsia="Arial" w:hAnsi="Arial"/>
          <w:sz w:val="22"/>
          <w:szCs w:val="22"/>
        </w:rPr>
        <w:t xml:space="preserve">From a People Analytics perspective, this project demonstrates that the workforce dimension of operational data — specifically, who does the work — is often among the most predictive and actionable features in an organizational dataset. Investing in both data quality and analytical capability enables the kind of evidence-based operational improvement that People Analytics is uniquely positioned to deliver.</w:t>
      </w:r>
    </w:p>
    <w:p>
      <w:pPr>
        <w:spacing w:after="0" w:before="0"/>
      </w:pPr>
      <w:r>
        <w:t xml:space="preserve"/>
      </w:r>
    </w:p>
    <w:p>
      <w:pPr>
        <w:spacing w:after="120" w:before="0"/>
      </w:pPr>
      <w:r>
        <w:rPr>
          <w:rFonts w:ascii="Arial" w:cs="Arial" w:eastAsia="Arial" w:hAnsi="Arial"/>
          <w:i/>
          <w:iCs/>
          <w:color w:val="028090"/>
          <w:sz w:val="22"/>
          <w:szCs w:val="22"/>
        </w:rPr>
        <w:t xml:space="preserve">Recommended next step: Implement the four high-priority recommendations above, collect a third year of project data, and re-run this analysis using mixed-effects linear regression to properly account for the clustered structure of the data.</w:t>
      </w:r>
    </w:p>
    <w:p>
      <w:r>
        <w:br w:type="page"/>
      </w:r>
    </w:p>
    <w:p>
      <w:pPr>
        <w:pStyle w:val="Heading1"/>
        <w:spacing w:after="120" w:before="320"/>
      </w:pPr>
      <w:r>
        <w:rPr>
          <w:rFonts w:ascii="Arial" w:cs="Arial" w:eastAsia="Arial" w:hAnsi="Arial"/>
          <w:b/>
          <w:bCs/>
          <w:color w:val="1B2B4B"/>
          <w:sz w:val="28"/>
          <w:szCs w:val="28"/>
        </w:rPr>
        <w:t xml:space="preserve">References</w:t>
      </w:r>
    </w:p>
    <w:p>
      <w:pPr>
        <w:pBdr>
          <w:bottom w:val="single" w:color="028090" w:sz="6" w:space="1"/>
        </w:pBdr>
        <w:spacing w:after="60" w:before="60"/>
      </w:pPr>
    </w:p>
    <w:p>
      <w:pPr>
        <w:spacing w:after="100" w:before="0"/>
        <w:ind w:left="720" w:hanging="720"/>
      </w:pPr>
      <w:r>
        <w:rPr>
          <w:rFonts w:ascii="Arial" w:cs="Arial" w:eastAsia="Arial" w:hAnsi="Arial"/>
          <w:sz w:val="20"/>
          <w:szCs w:val="20"/>
        </w:rPr>
        <w:t xml:space="preserve">Cohen, J., Cohen, P., West, S. G., &amp; Aiken, L. S. (2003). Applied multiple regression/correlation analysis for the behavioral sciences (3rd ed.). Lawrence Erlbaum Associates.</w:t>
      </w:r>
    </w:p>
    <w:p>
      <w:pPr>
        <w:spacing w:after="100" w:before="0"/>
        <w:ind w:left="720" w:hanging="720"/>
      </w:pPr>
      <w:r>
        <w:rPr>
          <w:rFonts w:ascii="Arial" w:cs="Arial" w:eastAsia="Arial" w:hAnsi="Arial"/>
          <w:sz w:val="20"/>
          <w:szCs w:val="20"/>
        </w:rPr>
        <w:t xml:space="preserve">Consulting Fees Guide: How much to charge for consulting (3 formulas &amp; examples). (2022). Consulting.com. https://www.consulting.com/consulting-fees</w:t>
      </w:r>
    </w:p>
    <w:p>
      <w:pPr>
        <w:spacing w:after="100" w:before="0"/>
        <w:ind w:left="720" w:hanging="720"/>
      </w:pPr>
      <w:r>
        <w:rPr>
          <w:rFonts w:ascii="Arial" w:cs="Arial" w:eastAsia="Arial" w:hAnsi="Arial"/>
          <w:sz w:val="20"/>
          <w:szCs w:val="20"/>
        </w:rPr>
        <w:t xml:space="preserve">Cravens, D. W., Ingram, T. N., LaForge, R. W., &amp; Young, C. E. (1993). Behavior-based and outcome-based salesforce control systems. Journal of Marketing, 57(4), 47–59.</w:t>
      </w:r>
    </w:p>
    <w:p>
      <w:pPr>
        <w:spacing w:after="100" w:before="0"/>
        <w:ind w:left="720" w:hanging="720"/>
      </w:pPr>
      <w:r>
        <w:rPr>
          <w:rFonts w:ascii="Arial" w:cs="Arial" w:eastAsia="Arial" w:hAnsi="Arial"/>
          <w:sz w:val="20"/>
          <w:szCs w:val="20"/>
        </w:rPr>
        <w:t xml:space="preserve">Davenport, T. H., &amp; Harris, J. G. (2007). Competing on analytics: The new science of winning. Harvard Business School Press.</w:t>
      </w:r>
    </w:p>
    <w:p>
      <w:pPr>
        <w:spacing w:after="100" w:before="0"/>
        <w:ind w:left="720" w:hanging="720"/>
      </w:pPr>
      <w:r>
        <w:rPr>
          <w:rFonts w:ascii="Arial" w:cs="Arial" w:eastAsia="Arial" w:hAnsi="Arial"/>
          <w:sz w:val="20"/>
          <w:szCs w:val="20"/>
        </w:rPr>
        <w:t xml:space="preserve">Feltham, G. A., &amp; Xie, J. (1994). Performance measure congruity and diversity in multi-task principal/agent relations. The Accounting Review, 69(3), 429–453.</w:t>
      </w:r>
    </w:p>
    <w:p>
      <w:pPr>
        <w:spacing w:after="100" w:before="0"/>
        <w:ind w:left="720" w:hanging="720"/>
      </w:pPr>
      <w:r>
        <w:rPr>
          <w:rFonts w:ascii="Arial" w:cs="Arial" w:eastAsia="Arial" w:hAnsi="Arial"/>
          <w:sz w:val="20"/>
          <w:szCs w:val="20"/>
        </w:rPr>
        <w:t xml:space="preserve">Field, A. (2018). Discovering statistics using IBM SPSS Statistics (5th ed.). SAGE Publications.</w:t>
      </w:r>
    </w:p>
    <w:p>
      <w:pPr>
        <w:spacing w:after="100" w:before="0"/>
        <w:ind w:left="720" w:hanging="720"/>
      </w:pPr>
      <w:r>
        <w:rPr>
          <w:rFonts w:ascii="Arial" w:cs="Arial" w:eastAsia="Arial" w:hAnsi="Arial"/>
          <w:sz w:val="20"/>
          <w:szCs w:val="20"/>
        </w:rPr>
        <w:t xml:space="preserve">Flyvbjerg, B. (2006). From Nobel Prize to project management: Getting risks right. Project Management Journal, 37(3), 5–15.</w:t>
      </w:r>
    </w:p>
    <w:p>
      <w:pPr>
        <w:spacing w:after="100" w:before="0"/>
        <w:ind w:left="720" w:hanging="720"/>
      </w:pPr>
      <w:r>
        <w:rPr>
          <w:rFonts w:ascii="Arial" w:cs="Arial" w:eastAsia="Arial" w:hAnsi="Arial"/>
          <w:sz w:val="20"/>
          <w:szCs w:val="20"/>
        </w:rPr>
        <w:t xml:space="preserve">Flyvbjerg, B., Holm, M. S., &amp; Buhl, S. (2002). Underestimating costs in public works projects: Error or lie? Journal of the American Planning Association, 68(3), 279–295.</w:t>
      </w:r>
    </w:p>
    <w:p>
      <w:pPr>
        <w:spacing w:after="100" w:before="0"/>
        <w:ind w:left="720" w:hanging="720"/>
      </w:pPr>
      <w:r>
        <w:rPr>
          <w:rFonts w:ascii="Arial" w:cs="Arial" w:eastAsia="Arial" w:hAnsi="Arial"/>
          <w:sz w:val="20"/>
          <w:szCs w:val="20"/>
        </w:rPr>
        <w:t xml:space="preserve">Jensen, M. C., &amp; Meckling, W. H. (1976). Theory of the firm: Managerial behavior, agency costs and ownership structure. Journal of Financial Economics, 3(4), 305–360.</w:t>
      </w:r>
    </w:p>
    <w:p>
      <w:pPr>
        <w:spacing w:after="100" w:before="0"/>
        <w:ind w:left="720" w:hanging="720"/>
      </w:pPr>
      <w:r>
        <w:rPr>
          <w:rFonts w:ascii="Arial" w:cs="Arial" w:eastAsia="Arial" w:hAnsi="Arial"/>
          <w:sz w:val="20"/>
          <w:szCs w:val="20"/>
        </w:rPr>
        <w:t xml:space="preserve">Jorgensen, M., &amp; Shepperd, M. (2007). A systematic review of software development cost estimation studies. IEEE Transactions on Software Engineering, 33(1), 33–53.</w:t>
      </w:r>
    </w:p>
    <w:p>
      <w:pPr>
        <w:spacing w:after="100" w:before="0"/>
        <w:ind w:left="720" w:hanging="720"/>
      </w:pPr>
      <w:r>
        <w:rPr>
          <w:rFonts w:ascii="Arial" w:cs="Arial" w:eastAsia="Arial" w:hAnsi="Arial"/>
          <w:sz w:val="20"/>
          <w:szCs w:val="20"/>
        </w:rPr>
        <w:t xml:space="preserve">Kahneman, D., &amp; Lovallo, D. (1993). Timid choices and bold forecasts: A cognitive perspective on risk taking. Management Science, 39(1), 17–31.</w:t>
      </w:r>
    </w:p>
    <w:p>
      <w:pPr>
        <w:spacing w:after="100" w:before="0"/>
        <w:ind w:left="720" w:hanging="720"/>
      </w:pPr>
      <w:r>
        <w:rPr>
          <w:rFonts w:ascii="Arial" w:cs="Arial" w:eastAsia="Arial" w:hAnsi="Arial"/>
          <w:sz w:val="20"/>
          <w:szCs w:val="20"/>
        </w:rPr>
        <w:t xml:space="preserve">Redman, T. C. (1998). The impact of poor data quality on the typical enterprise. Communications of the ACM, 41(2), 79–82.</w:t>
      </w:r>
    </w:p>
    <w:p>
      <w:pPr>
        <w:spacing w:after="100" w:before="0"/>
        <w:ind w:left="720" w:hanging="720"/>
      </w:pPr>
      <w:r>
        <w:rPr>
          <w:rFonts w:ascii="Arial" w:cs="Arial" w:eastAsia="Arial" w:hAnsi="Arial"/>
          <w:sz w:val="20"/>
          <w:szCs w:val="20"/>
        </w:rPr>
        <w:t xml:space="preserve">Rubin, D. B. (1987). Multiple imputation for nonresponse in surveys. Wiley.</w:t>
      </w:r>
    </w:p>
    <w:p>
      <w:pPr>
        <w:spacing w:after="100" w:before="0"/>
        <w:ind w:left="720" w:hanging="720"/>
      </w:pPr>
      <w:r>
        <w:rPr>
          <w:rFonts w:ascii="Arial" w:cs="Arial" w:eastAsia="Arial" w:hAnsi="Arial"/>
          <w:sz w:val="20"/>
          <w:szCs w:val="20"/>
        </w:rPr>
        <w:t xml:space="preserve">Turner, J. R., &amp; Muller, R. (2003). On the nature of the project as a temporary organization. International Journal of Project Management, 21(1), 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jc w:val="center"/>
    </w:pPr>
    <w:r>
      <w:rPr>
        <w:rFonts w:ascii="Arial" w:cs="Arial" w:eastAsia="Arial" w:hAnsi="Arial"/>
        <w:color w:val="555555"/>
        <w:sz w:val="18"/>
        <w:szCs w:val="18"/>
      </w:rPr>
      <w:t xml:space="preserve">Mintay Misgano | People Analytics Consultant |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1"/>
      </w:pBdr>
      <w:tabs>
        <w:tab w:val="right" w:pos="9360"/>
      </w:tabs>
    </w:pPr>
    <w:r>
      <w:rPr>
        <w:rFonts w:ascii="Arial" w:cs="Arial" w:eastAsia="Arial" w:hAnsi="Arial"/>
        <w:color w:val="1B2B4B"/>
        <w:sz w:val="18"/>
        <w:szCs w:val="18"/>
      </w:rPr>
      <w:t xml:space="preserve">Project Bid Accuracy Analysis — NDA Org</w:t>
    </w:r>
    <w:r>
      <w:rPr>
        <w:rFonts w:ascii="Arial" w:cs="Arial" w:eastAsia="Arial" w:hAnsi="Arial"/>
        <w:sz w:val="18"/>
        <w:szCs w:val="18"/>
      </w:rPr>
      <w:t xml:space="preserve">	</w:t>
    </w:r>
    <w:r>
      <w:rPr>
        <w:rFonts w:ascii="Arial" w:cs="Arial" w:eastAsia="Arial" w:hAnsi="Arial"/>
        <w:b/>
        <w:bCs/>
        <w:color w:val="02809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B4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28090"/>
      <w:sz w:val="26"/>
      <w:szCs w:val="26"/>
    </w:rPr>
  </w:style>
  <w:style w:type="paragraph" w:styleId="Heading3">
    <w:name w:val="Heading 3"/>
    <w:basedOn w:val="Normal"/>
    <w:next w:val="Normal"/>
    <w:qFormat/>
    <w:pPr>
      <w:spacing w:after="60" w:before="160"/>
      <w:outlineLvl w:val="2"/>
    </w:pPr>
    <w:rPr>
      <w:rFonts w:ascii="Arial" w:cs="Arial" w:eastAsia="Arial" w:hAnsi="Arial"/>
      <w:b/>
      <w:bCs/>
      <w:i/>
      <w:iCs/>
      <w:color w:val="1B2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2026-04-04T05:29:36.522Z</dcterms:created>
  <dcterms:modified xsi:type="dcterms:W3CDTF">2026-04-04T05:29:36.522Z</dcterms:modified>
</cp:coreProperties>
</file>

<file path=docProps/custom.xml><?xml version="1.0" encoding="utf-8"?>
<Properties xmlns="http://schemas.openxmlformats.org/officeDocument/2006/custom-properties" xmlns:vt="http://schemas.openxmlformats.org/officeDocument/2006/docPropsVTypes"/>
</file>