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ab067ef39bc0343ad92fca8b71fe510e9f5b4c"/>
    <w:p>
      <w:pPr>
        <w:pStyle w:val="Heading1"/>
      </w:pPr>
      <w:r>
        <w:t xml:space="preserve">Канонический пакет текстов и правил проекта</w:t>
      </w:r>
    </w:p>
    <w:bookmarkStart w:id="20" w:name="X97393ef45c349c85e2713cd973343fa130859a1"/>
    <w:p>
      <w:pPr>
        <w:pStyle w:val="Heading2"/>
      </w:pPr>
      <w:r>
        <w:t xml:space="preserve">Версия 2.0 — юридически более осторожная структура</w:t>
      </w:r>
    </w:p>
    <w:bookmarkEnd w:id="20"/>
    <w:bookmarkStart w:id="21" w:name="статус-документа"/>
    <w:p>
      <w:pPr>
        <w:pStyle w:val="Heading2"/>
      </w:pPr>
      <w:r>
        <w:t xml:space="preserve">0. Статус документа</w:t>
      </w:r>
    </w:p>
    <w:p>
      <w:pPr>
        <w:pStyle w:val="FirstParagraph"/>
      </w:pPr>
      <w:r>
        <w:t xml:space="preserve">Этот документ содержит:</w:t>
      </w:r>
    </w:p>
    <w:p>
      <w:pPr>
        <w:pStyle w:val="Compact"/>
        <w:numPr>
          <w:ilvl w:val="0"/>
          <w:numId w:val="1001"/>
        </w:numPr>
      </w:pPr>
      <w:r>
        <w:t xml:space="preserve">публичные тексты сайта;</w:t>
      </w:r>
    </w:p>
    <w:p>
      <w:pPr>
        <w:pStyle w:val="Compact"/>
        <w:numPr>
          <w:ilvl w:val="0"/>
          <w:numId w:val="1001"/>
        </w:numPr>
      </w:pPr>
      <w:r>
        <w:t xml:space="preserve">стандарт вопросов ко всем партиям;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дополнительный договор для партий, желающих совместно сформировать альтернативное правительство;</w:t>
      </w:r>
    </w:p>
    <w:p>
      <w:pPr>
        <w:pStyle w:val="Compact"/>
        <w:numPr>
          <w:ilvl w:val="0"/>
          <w:numId w:val="1001"/>
        </w:numPr>
      </w:pPr>
      <w:r>
        <w:t xml:space="preserve">тексты пользовательских обращений;</w:t>
      </w:r>
    </w:p>
    <w:p>
      <w:pPr>
        <w:pStyle w:val="Compact"/>
        <w:numPr>
          <w:ilvl w:val="0"/>
          <w:numId w:val="1001"/>
        </w:numPr>
      </w:pPr>
      <w:r>
        <w:t xml:space="preserve">правила подсчёта и публикации ответов;</w:t>
      </w:r>
    </w:p>
    <w:p>
      <w:pPr>
        <w:pStyle w:val="Compact"/>
        <w:numPr>
          <w:ilvl w:val="0"/>
          <w:numId w:val="1001"/>
        </w:numPr>
      </w:pPr>
      <w:r>
        <w:t xml:space="preserve">проекты политики конфиденциальности, условий использования и заявления о доступности;</w:t>
      </w:r>
    </w:p>
    <w:p>
      <w:pPr>
        <w:pStyle w:val="Compact"/>
        <w:numPr>
          <w:ilvl w:val="0"/>
          <w:numId w:val="1001"/>
        </w:numPr>
      </w:pPr>
      <w:r>
        <w:t xml:space="preserve">внутренние правила, которые не публикуются как политический контент.</w:t>
      </w:r>
    </w:p>
    <w:p>
      <w:pPr>
        <w:pStyle w:val="FirstParagraph"/>
      </w:pPr>
      <w:r>
        <w:t xml:space="preserve">Это рабочая редакция, а не юридическое заключение.</w:t>
      </w:r>
    </w:p>
    <w:p>
      <w:pPr>
        <w:pStyle w:val="BodyText"/>
      </w:pPr>
      <w:r>
        <w:t xml:space="preserve">Никакая формулировка не может гарантировать, что проект не будет признан регулируемой избирательной деятельностью. Квалификация зависит не только от текста сайта, но и от фактических действий, расходов, источников финансирования, рекламы, таргетинга и периода работы проекта.</w:t>
      </w:r>
    </w:p>
    <w:p>
      <w:pPr>
        <w:pStyle w:val="BodyText"/>
      </w:pPr>
      <w:r>
        <w:t xml:space="preserve">В 2026 году обязанность регистрации в качестве «активного субъекта на выборах» возникает при осуществлении определённой законом избирательной деятельности стоимостью более 120 400 ₪ либо при сборе пожертвований на такую деятельность в указанном размере. К регулируемым действиям относятся, среди прочего, создание базы избирателей с данными об их намерении голосовать для последующего воздействия, прямое обращение к избирателям с определёнными политическими взглядами с целью склонить их голосовать за или против списка, а также реклама с такой целью.</w:t>
      </w:r>
    </w:p>
    <w:p>
      <w:pPr>
        <w:pStyle w:val="BodyText"/>
      </w:pPr>
      <w:r>
        <w:t xml:space="preserve">Поэтому проект строится как платформа гражданской прозрачности:</w:t>
      </w:r>
    </w:p>
    <w:p>
      <w:pPr>
        <w:pStyle w:val="Compact"/>
        <w:numPr>
          <w:ilvl w:val="0"/>
          <w:numId w:val="1002"/>
        </w:numPr>
      </w:pPr>
      <w:r>
        <w:t xml:space="preserve">одинаковые базовые вопросы задаются всем партиям;</w:t>
      </w:r>
    </w:p>
    <w:p>
      <w:pPr>
        <w:pStyle w:val="Compact"/>
        <w:numPr>
          <w:ilvl w:val="0"/>
          <w:numId w:val="1002"/>
        </w:numPr>
      </w:pPr>
      <w:r>
        <w:t xml:space="preserve">проект не рекомендует голосовать за или против конкретного списка;</w:t>
      </w:r>
    </w:p>
    <w:p>
      <w:pPr>
        <w:pStyle w:val="Compact"/>
        <w:numPr>
          <w:ilvl w:val="0"/>
          <w:numId w:val="1002"/>
        </w:numPr>
      </w:pPr>
      <w:r>
        <w:t xml:space="preserve">не составляется база электоральных предпочтений;</w:t>
      </w:r>
    </w:p>
    <w:p>
      <w:pPr>
        <w:pStyle w:val="Compact"/>
        <w:numPr>
          <w:ilvl w:val="0"/>
          <w:numId w:val="1002"/>
        </w:numPr>
      </w:pPr>
      <w:r>
        <w:t xml:space="preserve">действия пользователя по выбору адресата не связываются с его подтверждённым email;</w:t>
      </w:r>
    </w:p>
    <w:p>
      <w:pPr>
        <w:pStyle w:val="Compact"/>
        <w:numPr>
          <w:ilvl w:val="0"/>
          <w:numId w:val="1002"/>
        </w:numPr>
      </w:pPr>
      <w:r>
        <w:t xml:space="preserve">сообщение отправляет сам пользователь;</w:t>
      </w:r>
    </w:p>
    <w:p>
      <w:pPr>
        <w:pStyle w:val="Compact"/>
        <w:numPr>
          <w:ilvl w:val="0"/>
          <w:numId w:val="1002"/>
        </w:numPr>
      </w:pPr>
      <w:r>
        <w:t xml:space="preserve">проект не рассылает обращения автоматически;</w:t>
      </w:r>
    </w:p>
    <w:p>
      <w:pPr>
        <w:pStyle w:val="Compact"/>
        <w:numPr>
          <w:ilvl w:val="0"/>
          <w:numId w:val="1002"/>
        </w:numPr>
      </w:pPr>
      <w:r>
        <w:t xml:space="preserve">партии не ранжируются по принципу «голосовать / не голосовать»;</w:t>
      </w:r>
    </w:p>
    <w:p>
      <w:pPr>
        <w:pStyle w:val="Compact"/>
        <w:numPr>
          <w:ilvl w:val="0"/>
          <w:numId w:val="1002"/>
        </w:numPr>
      </w:pPr>
      <w:r>
        <w:t xml:space="preserve">публично отделяются факты, заявления пользователей и подтверждённые ответы.</w:t>
      </w:r>
    </w:p>
    <w:p>
      <w:pPr>
        <w:pStyle w:val="FirstParagraph"/>
      </w:pPr>
      <w:r>
        <w:t xml:space="preserve">Поддержка требований может косвенно отражать политическое мировоззрение человека. Политические взгляды относятся в израильском праве к информации особой чувствительности. При хранении такой информации более чем о 100 000 человек может возникнуть обязанность уведомить Управление по защите частной жизни в течение 30 дней, если база не подлежит регистрации по другому основанию. Требования к законности обработки и информационной безопасности действуют независимо от достижения этого порога.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a36801780f8f6ba70657cc7c6053dfe78585510"/>
    <w:p>
      <w:pPr>
        <w:pStyle w:val="Heading1"/>
      </w:pPr>
      <w:r>
        <w:t xml:space="preserve">Часть I. Архитектура публичного содержания</w:t>
      </w:r>
    </w:p>
    <w:p>
      <w:pPr>
        <w:pStyle w:val="FirstParagraph"/>
      </w:pPr>
      <w:r>
        <w:t xml:space="preserve">Проект состоит из двух политических документов.</w:t>
      </w:r>
    </w:p>
    <w:bookmarkStart w:id="23" w:name="X518f9d8d21ab7b4ceec2e577f9cd03563b3527b"/>
    <w:p>
      <w:pPr>
        <w:pStyle w:val="Heading2"/>
      </w:pPr>
      <w:r>
        <w:t xml:space="preserve">Документ A. Стандарт прозрачности до выборов</w:t>
      </w:r>
    </w:p>
    <w:p>
      <w:pPr>
        <w:pStyle w:val="FirstParagraph"/>
      </w:pPr>
      <w:r>
        <w:t xml:space="preserve">Применяется ко всем партиям и спискам.</w:t>
      </w:r>
    </w:p>
    <w:p>
      <w:pPr>
        <w:pStyle w:val="BodyText"/>
      </w:pPr>
      <w:r>
        <w:t xml:space="preserve">Он требует:</w:t>
      </w:r>
    </w:p>
    <w:p>
      <w:pPr>
        <w:pStyle w:val="Compact"/>
        <w:numPr>
          <w:ilvl w:val="0"/>
          <w:numId w:val="1003"/>
        </w:numPr>
      </w:pPr>
      <w:r>
        <w:t xml:space="preserve">ясной позиции по выборам и законной передаче власти;</w:t>
      </w:r>
    </w:p>
    <w:p>
      <w:pPr>
        <w:pStyle w:val="Compact"/>
        <w:numPr>
          <w:ilvl w:val="0"/>
          <w:numId w:val="1003"/>
        </w:numPr>
      </w:pPr>
      <w:r>
        <w:t xml:space="preserve">раскрытия возможных коалиций;</w:t>
      </w:r>
    </w:p>
    <w:p>
      <w:pPr>
        <w:pStyle w:val="Compact"/>
        <w:numPr>
          <w:ilvl w:val="0"/>
          <w:numId w:val="1003"/>
        </w:numPr>
      </w:pPr>
      <w:r>
        <w:t xml:space="preserve">ограничения размера правительства;</w:t>
      </w:r>
    </w:p>
    <w:p>
      <w:pPr>
        <w:pStyle w:val="Compact"/>
        <w:numPr>
          <w:ilvl w:val="0"/>
          <w:numId w:val="1003"/>
        </w:numPr>
      </w:pPr>
      <w:r>
        <w:t xml:space="preserve">опубликованной программы первых 100 дней;</w:t>
      </w:r>
    </w:p>
    <w:p>
      <w:pPr>
        <w:pStyle w:val="Compact"/>
        <w:numPr>
          <w:ilvl w:val="0"/>
          <w:numId w:val="1003"/>
        </w:numPr>
      </w:pPr>
      <w:r>
        <w:t xml:space="preserve">соблюдения решений суда;</w:t>
      </w:r>
    </w:p>
    <w:p>
      <w:pPr>
        <w:pStyle w:val="Compact"/>
        <w:numPr>
          <w:ilvl w:val="0"/>
          <w:numId w:val="1003"/>
        </w:numPr>
      </w:pPr>
      <w:r>
        <w:t xml:space="preserve">профессионального и непартийного использования государственных институтов.</w:t>
      </w:r>
    </w:p>
    <w:bookmarkEnd w:id="23"/>
    <w:bookmarkStart w:id="24" w:name="Xefc7891a587741d5128c497fdb088ea44e5ebd7"/>
    <w:p>
      <w:pPr>
        <w:pStyle w:val="Heading2"/>
      </w:pPr>
      <w:r>
        <w:t xml:space="preserve">Документ B. Договор коалиционной готовности</w:t>
      </w:r>
    </w:p>
    <w:p>
      <w:pPr>
        <w:pStyle w:val="FirstParagraph"/>
      </w:pPr>
      <w:r>
        <w:t xml:space="preserve">Предлагается партиям, которые публично заявляют, что намерены совместно сформировать правительство, отличное от действующего.</w:t>
      </w:r>
    </w:p>
    <w:p>
      <w:pPr>
        <w:pStyle w:val="BodyText"/>
      </w:pPr>
      <w:r>
        <w:t xml:space="preserve">Он требует:</w:t>
      </w:r>
    </w:p>
    <w:p>
      <w:pPr>
        <w:pStyle w:val="Compact"/>
        <w:numPr>
          <w:ilvl w:val="0"/>
          <w:numId w:val="1004"/>
        </w:numPr>
      </w:pPr>
      <w:r>
        <w:t xml:space="preserve">механизма определения общего кандидата;</w:t>
      </w:r>
    </w:p>
    <w:p>
      <w:pPr>
        <w:pStyle w:val="Compact"/>
        <w:numPr>
          <w:ilvl w:val="0"/>
          <w:numId w:val="1004"/>
        </w:numPr>
      </w:pPr>
      <w:r>
        <w:t xml:space="preserve">протокола для партий около электорального барьера;</w:t>
      </w:r>
    </w:p>
    <w:p>
      <w:pPr>
        <w:pStyle w:val="Compact"/>
        <w:numPr>
          <w:ilvl w:val="0"/>
          <w:numId w:val="1004"/>
        </w:numPr>
      </w:pPr>
      <w:r>
        <w:t xml:space="preserve">запрета тайных сделок, противоречащих договору;</w:t>
      </w:r>
    </w:p>
    <w:p>
      <w:pPr>
        <w:pStyle w:val="Compact"/>
        <w:numPr>
          <w:ilvl w:val="0"/>
          <w:numId w:val="1004"/>
        </w:numPr>
      </w:pPr>
      <w:r>
        <w:t xml:space="preserve">общей минимальной программы.</w:t>
      </w:r>
    </w:p>
    <w:p>
      <w:pPr>
        <w:pStyle w:val="FirstParagraph"/>
      </w:pPr>
      <w:r>
        <w:t xml:space="preserve">Такое разделение позволяет не представлять проект как поддержку одного блока и одновременно предъявлять дополнительные требования к партиям, обещающим совместную альтернативу.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часть-ii.-основной-тезис-кампании"/>
    <w:p>
      <w:pPr>
        <w:pStyle w:val="Heading1"/>
      </w:pPr>
      <w:r>
        <w:t xml:space="preserve">Часть II. Основной тезис кампании</w:t>
      </w:r>
    </w:p>
    <w:bookmarkStart w:id="26" w:name="рабочее-название"/>
    <w:p>
      <w:pPr>
        <w:pStyle w:val="Heading2"/>
      </w:pPr>
      <w:r>
        <w:t xml:space="preserve">Рабочее название</w:t>
      </w:r>
    </w:p>
    <w:bookmarkEnd w:id="26"/>
    <w:bookmarkEnd w:id="27"/>
    <w:bookmarkStart w:id="30" w:name="договор-заранее"/>
    <w:p>
      <w:pPr>
        <w:pStyle w:val="Heading1"/>
      </w:pPr>
      <w:r>
        <w:t xml:space="preserve">Договор заранее</w:t>
      </w:r>
    </w:p>
    <w:bookmarkStart w:id="28" w:name="слоган"/>
    <w:p>
      <w:pPr>
        <w:pStyle w:val="Heading2"/>
      </w:pPr>
      <w:r>
        <w:t xml:space="preserve">Слоган</w:t>
      </w:r>
    </w:p>
    <w:p>
      <w:pPr>
        <w:pStyle w:val="FirstParagraph"/>
      </w:pPr>
      <w:r>
        <w:rPr>
          <w:b/>
          <w:bCs/>
        </w:rPr>
        <w:t xml:space="preserve">Правила должны быть известны до голосования.</w:t>
      </w:r>
    </w:p>
    <w:bookmarkEnd w:id="28"/>
    <w:bookmarkStart w:id="29" w:name="главный-заголовок"/>
    <w:p>
      <w:pPr>
        <w:pStyle w:val="Heading2"/>
      </w:pPr>
      <w:r>
        <w:t xml:space="preserve">Главный заголовок</w:t>
      </w:r>
    </w:p>
    <w:bookmarkEnd w:id="29"/>
    <w:bookmarkEnd w:id="30"/>
    <w:bookmarkStart w:id="34" w:name="Xf9ea3d25f0230df582f0fffa568a184876f89ae"/>
    <w:p>
      <w:pPr>
        <w:pStyle w:val="Heading1"/>
      </w:pPr>
      <w:r>
        <w:t xml:space="preserve">Избиратель имеет право знать план заранее</w:t>
      </w:r>
    </w:p>
    <w:bookmarkStart w:id="31" w:name="подзаголовок"/>
    <w:p>
      <w:pPr>
        <w:pStyle w:val="Heading2"/>
      </w:pPr>
      <w:r>
        <w:t xml:space="preserve">Подзаголовок</w:t>
      </w:r>
    </w:p>
    <w:p>
      <w:pPr>
        <w:pStyle w:val="FirstParagraph"/>
      </w:pPr>
      <w:r>
        <w:t xml:space="preserve">До выборов партии должны раскрыть возможные коалиции, структуру будущего правительства, свои обязательства перед законом и программу первых 100 дней.</w:t>
      </w:r>
    </w:p>
    <w:bookmarkEnd w:id="31"/>
    <w:bookmarkStart w:id="32" w:name="короткий-текст"/>
    <w:p>
      <w:pPr>
        <w:pStyle w:val="Heading2"/>
      </w:pPr>
      <w:r>
        <w:t xml:space="preserve">Короткий текст</w:t>
      </w:r>
    </w:p>
    <w:p>
      <w:pPr>
        <w:pStyle w:val="FirstParagraph"/>
      </w:pPr>
      <w:r>
        <w:t xml:space="preserve">Партии просят граждан доверить им голос, но часто оставляют наиболее важные договорённости на период после выборов.</w:t>
      </w:r>
    </w:p>
    <w:p>
      <w:pPr>
        <w:pStyle w:val="BodyText"/>
      </w:pPr>
      <w:r>
        <w:t xml:space="preserve">«Договор заранее» предлагает единый стандарт прозрачности. Все партии получают одинаковые вопросы о возможной коалиции, размере правительства, исполнении судебных решений, расследовании событий 7 октября и первых шагах после выборов.</w:t>
      </w:r>
    </w:p>
    <w:p>
      <w:pPr>
        <w:pStyle w:val="BodyText"/>
      </w:pPr>
      <w:r>
        <w:t xml:space="preserve">Платформа не рекомендует, за кого голосовать. Она позволяет гражданину поддержать требования прозрачности и самостоятельно направить выбранной партии конкретный запрос.</w:t>
      </w:r>
    </w:p>
    <w:bookmarkEnd w:id="32"/>
    <w:bookmarkStart w:id="33" w:name="расширенное-объяснение"/>
    <w:p>
      <w:pPr>
        <w:pStyle w:val="Heading2"/>
      </w:pPr>
      <w:r>
        <w:t xml:space="preserve">Расширенное объяснение</w:t>
      </w:r>
    </w:p>
    <w:p>
      <w:pPr>
        <w:pStyle w:val="FirstParagraph"/>
      </w:pPr>
      <w:r>
        <w:t xml:space="preserve">Во время избирательной кампании партии публикуют программы и обещания, но ключевые решения часто принимаются уже после голосования: кого рекомендовать на пост премьер-министра, с кем формировать коалицию, какие обязательства отменить в ходе переговоров и сколько новых должностей создать ради политического соглашения.</w:t>
      </w:r>
    </w:p>
    <w:p>
      <w:pPr>
        <w:pStyle w:val="BodyText"/>
      </w:pPr>
      <w:r>
        <w:t xml:space="preserve">Поэтому избиратель может проголосовать за одну политическую конструкцию, а получить другую.</w:t>
      </w:r>
    </w:p>
    <w:p>
      <w:pPr>
        <w:pStyle w:val="BodyText"/>
      </w:pPr>
      <w:r>
        <w:t xml:space="preserve">«Договор заранее» предлагает изменить этот порядок. Мы просим все партии до выборов ответить на одинаковый набор конкретных вопросов: какие коалиции они допускают, будут ли исполнять окончательные решения суда, согласны ли ограничить размер правительства, поддерживают ли государственную комиссию расследования событий 7 октября и что намерены сделать в первые 100 дней.</w:t>
      </w:r>
    </w:p>
    <w:p>
      <w:pPr>
        <w:pStyle w:val="BodyText"/>
      </w:pPr>
      <w:r>
        <w:t xml:space="preserve">Партиям, которые заявляют о намерении совместно сформировать альтернативное правительство, предлагается дополнительный договор коалиционной готовности. Он не требует от них объединяться в один список или отказаться от идеологических различий. Он требует заранее объяснить, как отдельные списки превратятся в одно работающее большинство.</w:t>
      </w:r>
    </w:p>
    <w:p>
      <w:pPr>
        <w:pStyle w:val="BodyText"/>
      </w:pPr>
      <w:r>
        <w:t xml:space="preserve">Платформа не поддерживает конкретную партию и не призывает голосовать за или против какого-либо списка. Поддержка кампании означает только одно: гражданин считает, что существенные правила будущего правительства должны быть известны до голосования.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88" w:name="X679c62e366e84f31ce69f1f12173101413feddf"/>
    <w:p>
      <w:pPr>
        <w:pStyle w:val="Heading1"/>
      </w:pPr>
      <w:r>
        <w:t xml:space="preserve">Часть III. Стандарт прозрачности для всех партий</w:t>
      </w:r>
    </w:p>
    <w:bookmarkStart w:id="35" w:name="преамбула"/>
    <w:p>
      <w:pPr>
        <w:pStyle w:val="Heading2"/>
      </w:pPr>
      <w:r>
        <w:t xml:space="preserve">Преамбула</w:t>
      </w:r>
    </w:p>
    <w:p>
      <w:pPr>
        <w:pStyle w:val="FirstParagraph"/>
      </w:pPr>
      <w:r>
        <w:t xml:space="preserve">Партия, принимающая этот стандарт, обязуется предоставить гражданам ясную, проверяемую и своевременную информацию о своих намерениях после выборов.</w:t>
      </w:r>
    </w:p>
    <w:p>
      <w:pPr>
        <w:pStyle w:val="BodyText"/>
      </w:pPr>
      <w:r>
        <w:t xml:space="preserve">Принятие стандарта:</w:t>
      </w:r>
    </w:p>
    <w:p>
      <w:pPr>
        <w:pStyle w:val="Compact"/>
        <w:numPr>
          <w:ilvl w:val="0"/>
          <w:numId w:val="1005"/>
        </w:numPr>
      </w:pPr>
      <w:r>
        <w:t xml:space="preserve">не означает присоединения к единому политическому блоку;</w:t>
      </w:r>
    </w:p>
    <w:p>
      <w:pPr>
        <w:pStyle w:val="Compact"/>
        <w:numPr>
          <w:ilvl w:val="0"/>
          <w:numId w:val="1005"/>
        </w:numPr>
      </w:pPr>
      <w:r>
        <w:t xml:space="preserve">не ограничивает право партии отстаивать собственную идеологию;</w:t>
      </w:r>
    </w:p>
    <w:p>
      <w:pPr>
        <w:pStyle w:val="Compact"/>
        <w:numPr>
          <w:ilvl w:val="0"/>
          <w:numId w:val="1005"/>
        </w:numPr>
      </w:pPr>
      <w:r>
        <w:t xml:space="preserve">не заменяет её официальную программу;</w:t>
      </w:r>
    </w:p>
    <w:p>
      <w:pPr>
        <w:pStyle w:val="Compact"/>
        <w:numPr>
          <w:ilvl w:val="0"/>
          <w:numId w:val="1005"/>
        </w:numPr>
      </w:pPr>
      <w:r>
        <w:t xml:space="preserve">не является юридическим договором с платформой;</w:t>
      </w:r>
    </w:p>
    <w:p>
      <w:pPr>
        <w:pStyle w:val="Compact"/>
        <w:numPr>
          <w:ilvl w:val="0"/>
          <w:numId w:val="1005"/>
        </w:numPr>
      </w:pPr>
      <w:r>
        <w:t xml:space="preserve">является публичным политическим обязательством перед избирателями.</w:t>
      </w:r>
    </w:p>
    <w:p>
      <w:pPr>
        <w:pStyle w:val="FirstParagraph"/>
      </w:pPr>
      <w:r>
        <w:t xml:space="preserve">Оговорки партии публикуются полностью рядом с соответствующим пунктом.</w:t>
      </w:r>
    </w:p>
    <w:p>
      <w:r>
        <w:pict>
          <v:rect style="width:0;height:1.5pt" o:hralign="center" o:hrstd="t" o:hr="t"/>
        </w:pict>
      </w:r>
    </w:p>
    <w:bookmarkEnd w:id="35"/>
    <w:bookmarkStart w:id="40" w:name="проведение-выборов-в-установленный-срок"/>
    <w:p>
      <w:pPr>
        <w:pStyle w:val="Heading2"/>
      </w:pPr>
      <w:r>
        <w:t xml:space="preserve">1. Проведение выборов в установленный срок</w:t>
      </w:r>
    </w:p>
    <w:bookmarkStart w:id="36" w:name="обязательство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обязуется не поддерживать продление срока полномочий Кнессета, кроме случая, соответствующего требованиям Основного закона: принятие специального закона большинством не менее 80 депутатов при наличии особых обстоятельств, фактически препятствующих проведению выборов в срок.</w:t>
      </w:r>
    </w:p>
    <w:p>
      <w:pPr>
        <w:pStyle w:val="BodyText"/>
      </w:pPr>
      <w:r>
        <w:t xml:space="preserve">Продление не должно превышать период, объективно необходимый из-за таких обстоятельств, а закон должен одновременно определить новую дату выборов. Эти условия прямо предусмотрены Основным законом: Кнессет.</w:t>
      </w:r>
    </w:p>
    <w:bookmarkEnd w:id="36"/>
    <w:bookmarkStart w:id="37" w:name="почему-это-важно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Военная или чрезвычайная ситуация не должна автоматически предоставлять действующей власти неопределённое продление полномочий.</w:t>
      </w:r>
    </w:p>
    <w:bookmarkEnd w:id="37"/>
    <w:bookmarkStart w:id="38" w:name="как-проверяется"/>
    <w:p>
      <w:pPr>
        <w:pStyle w:val="Heading3"/>
      </w:pPr>
      <w:r>
        <w:t xml:space="preserve">Как проверяется</w:t>
      </w:r>
    </w:p>
    <w:p>
      <w:pPr>
        <w:pStyle w:val="Compact"/>
        <w:numPr>
          <w:ilvl w:val="0"/>
          <w:numId w:val="1006"/>
        </w:numPr>
      </w:pPr>
      <w:r>
        <w:t xml:space="preserve">опубликованная позиция партии;</w:t>
      </w:r>
    </w:p>
    <w:p>
      <w:pPr>
        <w:pStyle w:val="Compact"/>
        <w:numPr>
          <w:ilvl w:val="0"/>
          <w:numId w:val="1006"/>
        </w:numPr>
      </w:pPr>
      <w:r>
        <w:t xml:space="preserve">голосования депутатов;</w:t>
      </w:r>
    </w:p>
    <w:p>
      <w:pPr>
        <w:pStyle w:val="Compact"/>
        <w:numPr>
          <w:ilvl w:val="0"/>
          <w:numId w:val="1006"/>
        </w:numPr>
      </w:pPr>
      <w:r>
        <w:t xml:space="preserve">текст предложенного закона;</w:t>
      </w:r>
    </w:p>
    <w:p>
      <w:pPr>
        <w:pStyle w:val="Compact"/>
        <w:numPr>
          <w:ilvl w:val="0"/>
          <w:numId w:val="1006"/>
        </w:numPr>
      </w:pPr>
      <w:r>
        <w:t xml:space="preserve">наличие конкретной новой даты;</w:t>
      </w:r>
    </w:p>
    <w:p>
      <w:pPr>
        <w:pStyle w:val="Compact"/>
        <w:numPr>
          <w:ilvl w:val="0"/>
          <w:numId w:val="1006"/>
        </w:numPr>
      </w:pPr>
      <w:r>
        <w:t xml:space="preserve">обоснование объективной невозможности голосования.</w:t>
      </w:r>
    </w:p>
    <w:bookmarkEnd w:id="38"/>
    <w:bookmarkStart w:id="39" w:name="допустимые-исключения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Краткий перенос допускается только при реальной невозможности обеспечить доступное и безопасное голосование.</w:t>
      </w:r>
    </w:p>
    <w:p>
      <w:pPr>
        <w:pStyle w:val="BodyText"/>
      </w:pPr>
      <w:r>
        <w:t xml:space="preserve">Политическая нецелесообразность, неблагоприятные опросы или сам факт продолжающейся военной операции не считаются достаточным основанием без доказанной невозможности провести выборы.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4a8dc55d61574685523fb6faa526e9283197f87"/>
    <w:p>
      <w:pPr>
        <w:pStyle w:val="Heading2"/>
      </w:pPr>
      <w:r>
        <w:t xml:space="preserve">2. Признание результатов и законной процедуры</w:t>
      </w:r>
    </w:p>
    <w:bookmarkStart w:id="41" w:name="обязательство-1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обязуется:</w:t>
      </w:r>
    </w:p>
    <w:p>
      <w:pPr>
        <w:pStyle w:val="Compact"/>
        <w:numPr>
          <w:ilvl w:val="0"/>
          <w:numId w:val="1007"/>
        </w:numPr>
      </w:pPr>
      <w:r>
        <w:t xml:space="preserve">признавать официально опубликованные результаты;</w:t>
      </w:r>
    </w:p>
    <w:p>
      <w:pPr>
        <w:pStyle w:val="Compact"/>
        <w:numPr>
          <w:ilvl w:val="0"/>
          <w:numId w:val="1007"/>
        </w:numPr>
      </w:pPr>
      <w:r>
        <w:t xml:space="preserve">использовать только предусмотренные законом способы оспаривания;</w:t>
      </w:r>
    </w:p>
    <w:p>
      <w:pPr>
        <w:pStyle w:val="Compact"/>
        <w:numPr>
          <w:ilvl w:val="0"/>
          <w:numId w:val="1007"/>
        </w:numPr>
      </w:pPr>
      <w:r>
        <w:t xml:space="preserve">принимать окончательные решения компетентных избирательных и судебных органов;</w:t>
      </w:r>
    </w:p>
    <w:p>
      <w:pPr>
        <w:pStyle w:val="Compact"/>
        <w:numPr>
          <w:ilvl w:val="0"/>
          <w:numId w:val="1007"/>
        </w:numPr>
      </w:pPr>
      <w:r>
        <w:t xml:space="preserve">обеспечивать мирную и своевременную передачу власти.</w:t>
      </w:r>
    </w:p>
    <w:bookmarkEnd w:id="41"/>
    <w:bookmarkStart w:id="42" w:name="почему-это-важно-1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Избирательная система работает только тогда, когда все участники принимают общую процедуру, в том числе при неблагоприятном для себя результате.</w:t>
      </w:r>
    </w:p>
    <w:bookmarkEnd w:id="42"/>
    <w:bookmarkStart w:id="43" w:name="как-проверяется-1"/>
    <w:p>
      <w:pPr>
        <w:pStyle w:val="Heading3"/>
      </w:pPr>
      <w:r>
        <w:t xml:space="preserve">Как проверяется</w:t>
      </w:r>
    </w:p>
    <w:p>
      <w:pPr>
        <w:pStyle w:val="Compact"/>
        <w:numPr>
          <w:ilvl w:val="0"/>
          <w:numId w:val="1008"/>
        </w:numPr>
      </w:pPr>
      <w:r>
        <w:t xml:space="preserve">официальные заявления;</w:t>
      </w:r>
    </w:p>
    <w:p>
      <w:pPr>
        <w:pStyle w:val="Compact"/>
        <w:numPr>
          <w:ilvl w:val="0"/>
          <w:numId w:val="1008"/>
        </w:numPr>
      </w:pPr>
      <w:r>
        <w:t xml:space="preserve">содержание поданных жалоб;</w:t>
      </w:r>
    </w:p>
    <w:p>
      <w:pPr>
        <w:pStyle w:val="Compact"/>
        <w:numPr>
          <w:ilvl w:val="0"/>
          <w:numId w:val="1008"/>
        </w:numPr>
      </w:pPr>
      <w:r>
        <w:t xml:space="preserve">действия после публикации результатов;</w:t>
      </w:r>
    </w:p>
    <w:p>
      <w:pPr>
        <w:pStyle w:val="Compact"/>
        <w:numPr>
          <w:ilvl w:val="0"/>
          <w:numId w:val="1008"/>
        </w:numPr>
      </w:pPr>
      <w:r>
        <w:t xml:space="preserve">участие в передаче полномочий.</w:t>
      </w:r>
    </w:p>
    <w:bookmarkEnd w:id="43"/>
    <w:bookmarkStart w:id="44" w:name="допустимые-исключения-1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Партия вправе оспаривать конкретные нарушения и требовать пересчёта в установленном законом порядке. До принятия окончательного решения спор не должен использоваться как основание для общего отказа признавать выборы.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исполнение-окончательных-решений-суда"/>
    <w:p>
      <w:pPr>
        <w:pStyle w:val="Heading2"/>
      </w:pPr>
      <w:r>
        <w:t xml:space="preserve">3. Исполнение окончательных решений суда</w:t>
      </w:r>
    </w:p>
    <w:bookmarkStart w:id="46" w:name="обязательство-2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обязуется не поддерживать правительство, которое:</w:t>
      </w:r>
    </w:p>
    <w:p>
      <w:pPr>
        <w:pStyle w:val="Compact"/>
        <w:numPr>
          <w:ilvl w:val="0"/>
          <w:numId w:val="1009"/>
        </w:numPr>
      </w:pPr>
      <w:r>
        <w:t xml:space="preserve">заявляет о необязательности окончательного судебного решения;</w:t>
      </w:r>
    </w:p>
    <w:p>
      <w:pPr>
        <w:pStyle w:val="Compact"/>
        <w:numPr>
          <w:ilvl w:val="0"/>
          <w:numId w:val="1009"/>
        </w:numPr>
      </w:pPr>
      <w:r>
        <w:t xml:space="preserve">отдаёт чиновникам распоряжение действовать вопреки судебному приказу;</w:t>
      </w:r>
    </w:p>
    <w:p>
      <w:pPr>
        <w:pStyle w:val="Compact"/>
        <w:numPr>
          <w:ilvl w:val="0"/>
          <w:numId w:val="1009"/>
        </w:numPr>
      </w:pPr>
      <w:r>
        <w:t xml:space="preserve">применяет чрезвычайные полномочия для отмены конкретного судебного решения.</w:t>
      </w:r>
    </w:p>
    <w:p>
      <w:pPr>
        <w:pStyle w:val="FirstParagraph"/>
      </w:pPr>
      <w:r>
        <w:t xml:space="preserve">Правительство вправе просить суд о разъяснении, пересмотре или отсрочке, но до изменения решения оно действует в соответствии с существующим приказом.</w:t>
      </w:r>
    </w:p>
    <w:bookmarkEnd w:id="46"/>
    <w:bookmarkStart w:id="47" w:name="почему-это-важно-2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Право на судебную защиту теряет смысл, если государство самостоятельно решает, какие решения исполнять.</w:t>
      </w:r>
    </w:p>
    <w:bookmarkEnd w:id="47"/>
    <w:bookmarkStart w:id="48" w:name="как-проверяется-2"/>
    <w:p>
      <w:pPr>
        <w:pStyle w:val="Heading3"/>
      </w:pPr>
      <w:r>
        <w:t xml:space="preserve">Как проверяется</w:t>
      </w:r>
    </w:p>
    <w:p>
      <w:pPr>
        <w:pStyle w:val="Compact"/>
        <w:numPr>
          <w:ilvl w:val="0"/>
          <w:numId w:val="1010"/>
        </w:numPr>
      </w:pPr>
      <w:r>
        <w:t xml:space="preserve">содержание решений правительства;</w:t>
      </w:r>
    </w:p>
    <w:p>
      <w:pPr>
        <w:pStyle w:val="Compact"/>
        <w:numPr>
          <w:ilvl w:val="0"/>
          <w:numId w:val="1010"/>
        </w:numPr>
      </w:pPr>
      <w:r>
        <w:t xml:space="preserve">инструкции государственным органам;</w:t>
      </w:r>
    </w:p>
    <w:p>
      <w:pPr>
        <w:pStyle w:val="Compact"/>
        <w:numPr>
          <w:ilvl w:val="0"/>
          <w:numId w:val="1010"/>
        </w:numPr>
      </w:pPr>
      <w:r>
        <w:t xml:space="preserve">сроки выполнения судебных приказов;</w:t>
      </w:r>
    </w:p>
    <w:p>
      <w:pPr>
        <w:pStyle w:val="Compact"/>
        <w:numPr>
          <w:ilvl w:val="0"/>
          <w:numId w:val="1010"/>
        </w:numPr>
      </w:pPr>
      <w:r>
        <w:t xml:space="preserve">официальные обращения за отсрочкой или пересмотром.</w:t>
      </w:r>
    </w:p>
    <w:bookmarkEnd w:id="48"/>
    <w:bookmarkStart w:id="49" w:name="допустимые-исключения-2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Допускаются законные процессуальные действия, не приостанавливающие решение автоматически, если суд не постановил иное.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раскрытие-возможных-коалиций"/>
    <w:p>
      <w:pPr>
        <w:pStyle w:val="Heading2"/>
      </w:pPr>
      <w:r>
        <w:t xml:space="preserve">4. Раскрытие возможных коалиций</w:t>
      </w:r>
    </w:p>
    <w:bookmarkStart w:id="51" w:name="обязательство-3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до выборов публикует:</w:t>
      </w:r>
    </w:p>
    <w:p>
      <w:pPr>
        <w:pStyle w:val="Compact"/>
        <w:numPr>
          <w:ilvl w:val="0"/>
          <w:numId w:val="1011"/>
        </w:numPr>
      </w:pPr>
      <w:r>
        <w:t xml:space="preserve">с какими партиями готова формировать правительство;</w:t>
      </w:r>
    </w:p>
    <w:p>
      <w:pPr>
        <w:pStyle w:val="Compact"/>
        <w:numPr>
          <w:ilvl w:val="0"/>
          <w:numId w:val="1011"/>
        </w:numPr>
      </w:pPr>
      <w:r>
        <w:t xml:space="preserve">с какими партиями допускает внешнее соглашение о поддержке;</w:t>
      </w:r>
    </w:p>
    <w:p>
      <w:pPr>
        <w:pStyle w:val="Compact"/>
        <w:numPr>
          <w:ilvl w:val="0"/>
          <w:numId w:val="1011"/>
        </w:numPr>
      </w:pPr>
      <w:r>
        <w:t xml:space="preserve">какие коалиционные комбинации исключает;</w:t>
      </w:r>
    </w:p>
    <w:p>
      <w:pPr>
        <w:pStyle w:val="Compact"/>
        <w:numPr>
          <w:ilvl w:val="0"/>
          <w:numId w:val="1011"/>
        </w:numPr>
      </w:pPr>
      <w:r>
        <w:t xml:space="preserve">кого готова рекомендовать для формирования правительства;</w:t>
      </w:r>
    </w:p>
    <w:p>
      <w:pPr>
        <w:pStyle w:val="Compact"/>
        <w:numPr>
          <w:ilvl w:val="0"/>
          <w:numId w:val="1011"/>
        </w:numPr>
      </w:pPr>
      <w:r>
        <w:t xml:space="preserve">какие условия считает обязательными для своего участия.</w:t>
      </w:r>
    </w:p>
    <w:bookmarkEnd w:id="51"/>
    <w:bookmarkStart w:id="52" w:name="почему-это-важно-3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Гражданин голосует не только за партийную программу, но и за возможный состав исполнительной власти.</w:t>
      </w:r>
    </w:p>
    <w:bookmarkEnd w:id="52"/>
    <w:bookmarkStart w:id="53" w:name="как-проверяется-3"/>
    <w:p>
      <w:pPr>
        <w:pStyle w:val="Heading3"/>
      </w:pPr>
      <w:r>
        <w:t xml:space="preserve">Как проверяется</w:t>
      </w:r>
    </w:p>
    <w:p>
      <w:pPr>
        <w:pStyle w:val="Compact"/>
        <w:numPr>
          <w:ilvl w:val="0"/>
          <w:numId w:val="1012"/>
        </w:numPr>
      </w:pPr>
      <w:r>
        <w:t xml:space="preserve">официальный документ партии;</w:t>
      </w:r>
    </w:p>
    <w:p>
      <w:pPr>
        <w:pStyle w:val="Compact"/>
        <w:numPr>
          <w:ilvl w:val="0"/>
          <w:numId w:val="1012"/>
        </w:numPr>
      </w:pPr>
      <w:r>
        <w:t xml:space="preserve">рекомендации президенту;</w:t>
      </w:r>
    </w:p>
    <w:p>
      <w:pPr>
        <w:pStyle w:val="Compact"/>
        <w:numPr>
          <w:ilvl w:val="0"/>
          <w:numId w:val="1012"/>
        </w:numPr>
      </w:pPr>
      <w:r>
        <w:t xml:space="preserve">коалиционные переговоры;</w:t>
      </w:r>
    </w:p>
    <w:p>
      <w:pPr>
        <w:pStyle w:val="Compact"/>
        <w:numPr>
          <w:ilvl w:val="0"/>
          <w:numId w:val="1012"/>
        </w:numPr>
      </w:pPr>
      <w:r>
        <w:t xml:space="preserve">итоговое коалиционное соглашение.</w:t>
      </w:r>
    </w:p>
    <w:bookmarkEnd w:id="53"/>
    <w:bookmarkStart w:id="54" w:name="допустимые-исключения-3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Позиция может измениться при существенном изменении обстоятельств, но партия должна:</w:t>
      </w:r>
    </w:p>
    <w:p>
      <w:pPr>
        <w:pStyle w:val="Compact"/>
        <w:numPr>
          <w:ilvl w:val="0"/>
          <w:numId w:val="1013"/>
        </w:numPr>
      </w:pPr>
      <w:r>
        <w:t xml:space="preserve">публично объяснить изменение;</w:t>
      </w:r>
    </w:p>
    <w:p>
      <w:pPr>
        <w:pStyle w:val="Compact"/>
        <w:numPr>
          <w:ilvl w:val="0"/>
          <w:numId w:val="1013"/>
        </w:numPr>
      </w:pPr>
      <w:r>
        <w:t xml:space="preserve">назвать новые обстоятельства;</w:t>
      </w:r>
    </w:p>
    <w:p>
      <w:pPr>
        <w:pStyle w:val="Compact"/>
        <w:numPr>
          <w:ilvl w:val="0"/>
          <w:numId w:val="1013"/>
        </w:numPr>
      </w:pPr>
      <w:r>
        <w:t xml:space="preserve">получить одобрение уполномоченного партийного органа;</w:t>
      </w:r>
    </w:p>
    <w:p>
      <w:pPr>
        <w:pStyle w:val="Compact"/>
        <w:numPr>
          <w:ilvl w:val="0"/>
          <w:numId w:val="1013"/>
        </w:numPr>
      </w:pPr>
      <w:r>
        <w:t xml:space="preserve">опубликовать обновлённую позицию до принятия окончательного решения.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ограничение-размера-правительства"/>
    <w:p>
      <w:pPr>
        <w:pStyle w:val="Heading2"/>
      </w:pPr>
      <w:r>
        <w:t xml:space="preserve">5. Ограничение размера правительства</w:t>
      </w:r>
    </w:p>
    <w:bookmarkStart w:id="56" w:name="обязательство-4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обязуется поддерживать правительство, состоящее не более чем из:</w:t>
      </w:r>
    </w:p>
    <w:p>
      <w:pPr>
        <w:pStyle w:val="Compact"/>
        <w:numPr>
          <w:ilvl w:val="0"/>
          <w:numId w:val="1014"/>
        </w:numPr>
      </w:pPr>
      <w:r>
        <w:t xml:space="preserve">18 министров, включая премьер-министра;</w:t>
      </w:r>
    </w:p>
    <w:p>
      <w:pPr>
        <w:pStyle w:val="Compact"/>
        <w:numPr>
          <w:ilvl w:val="0"/>
          <w:numId w:val="1014"/>
        </w:numPr>
      </w:pPr>
      <w:r>
        <w:t xml:space="preserve">четырёх заместителей министра.</w:t>
      </w:r>
    </w:p>
    <w:p>
      <w:pPr>
        <w:pStyle w:val="FirstParagraph"/>
      </w:pPr>
      <w:r>
        <w:t xml:space="preserve">Это добровольное политическое ограничение. Действующий Основной закон допускает назначение министра без портфеля и не устанавливает предлагаемого проектом максимума.</w:t>
      </w:r>
    </w:p>
    <w:bookmarkEnd w:id="56"/>
    <w:bookmarkStart w:id="57" w:name="почему-это-важно-4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Количество должностей должно определяться задачами управления, а не необходимостью распределить символические посты.</w:t>
      </w:r>
    </w:p>
    <w:bookmarkEnd w:id="57"/>
    <w:bookmarkStart w:id="58" w:name="как-проверяется-4"/>
    <w:p>
      <w:pPr>
        <w:pStyle w:val="Heading3"/>
      </w:pPr>
      <w:r>
        <w:t xml:space="preserve">Как проверяется</w:t>
      </w:r>
    </w:p>
    <w:p>
      <w:pPr>
        <w:pStyle w:val="Compact"/>
        <w:numPr>
          <w:ilvl w:val="0"/>
          <w:numId w:val="1015"/>
        </w:numPr>
      </w:pPr>
      <w:r>
        <w:t xml:space="preserve">состав правительства;</w:t>
      </w:r>
    </w:p>
    <w:p>
      <w:pPr>
        <w:pStyle w:val="Compact"/>
        <w:numPr>
          <w:ilvl w:val="0"/>
          <w:numId w:val="1015"/>
        </w:numPr>
      </w:pPr>
      <w:r>
        <w:t xml:space="preserve">число заместителей;</w:t>
      </w:r>
    </w:p>
    <w:p>
      <w:pPr>
        <w:pStyle w:val="Compact"/>
        <w:numPr>
          <w:ilvl w:val="0"/>
          <w:numId w:val="1015"/>
        </w:numPr>
      </w:pPr>
      <w:r>
        <w:t xml:space="preserve">утверждённая структура министерств;</w:t>
      </w:r>
    </w:p>
    <w:p>
      <w:pPr>
        <w:pStyle w:val="Compact"/>
        <w:numPr>
          <w:ilvl w:val="0"/>
          <w:numId w:val="1015"/>
        </w:numPr>
      </w:pPr>
      <w:r>
        <w:t xml:space="preserve">бюджет аппаратов.</w:t>
      </w:r>
    </w:p>
    <w:bookmarkEnd w:id="58"/>
    <w:bookmarkStart w:id="59" w:name="допустимые-исключения-4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Временное превышение возможно только:</w:t>
      </w:r>
    </w:p>
    <w:p>
      <w:pPr>
        <w:pStyle w:val="Compact"/>
        <w:numPr>
          <w:ilvl w:val="0"/>
          <w:numId w:val="1016"/>
        </w:numPr>
      </w:pPr>
      <w:r>
        <w:t xml:space="preserve">на срок не более шести месяцев;</w:t>
      </w:r>
    </w:p>
    <w:p>
      <w:pPr>
        <w:pStyle w:val="Compact"/>
        <w:numPr>
          <w:ilvl w:val="0"/>
          <w:numId w:val="1016"/>
        </w:numPr>
      </w:pPr>
      <w:r>
        <w:t xml:space="preserve">при опубликованном профессиональном обосновании;</w:t>
      </w:r>
    </w:p>
    <w:p>
      <w:pPr>
        <w:pStyle w:val="Compact"/>
        <w:numPr>
          <w:ilvl w:val="0"/>
          <w:numId w:val="1016"/>
        </w:numPr>
      </w:pPr>
      <w:r>
        <w:t xml:space="preserve">при опубликованной стоимости;</w:t>
      </w:r>
    </w:p>
    <w:p>
      <w:pPr>
        <w:pStyle w:val="Compact"/>
        <w:numPr>
          <w:ilvl w:val="0"/>
          <w:numId w:val="1016"/>
        </w:numPr>
      </w:pPr>
      <w:r>
        <w:t xml:space="preserve">при поддержке не менее 70 депутатов;</w:t>
      </w:r>
    </w:p>
    <w:p>
      <w:pPr>
        <w:pStyle w:val="Compact"/>
        <w:numPr>
          <w:ilvl w:val="0"/>
          <w:numId w:val="1016"/>
        </w:numPr>
      </w:pPr>
      <w:r>
        <w:t xml:space="preserve">без создания постоянного нового аппарата до отдельного решения.</w:t>
      </w:r>
    </w:p>
    <w:p>
      <w:pPr>
        <w:pStyle w:val="FirstParagraph"/>
      </w:pPr>
      <w:r>
        <w:t xml:space="preserve">Порог 70 депутатов является предлагаемым политическим условием, а не существующим требованием закона.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800a339bd1379c43604380690452850e8b5e6df"/>
    <w:p>
      <w:pPr>
        <w:pStyle w:val="Heading2"/>
      </w:pPr>
      <w:r>
        <w:t xml:space="preserve">6. Отказ от министров без операционной ответственности</w:t>
      </w:r>
    </w:p>
    <w:bookmarkStart w:id="61" w:name="обязательство-5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обязуется не назначать министров без:</w:t>
      </w:r>
    </w:p>
    <w:p>
      <w:pPr>
        <w:pStyle w:val="Compact"/>
        <w:numPr>
          <w:ilvl w:val="0"/>
          <w:numId w:val="1017"/>
        </w:numPr>
      </w:pPr>
      <w:r>
        <w:t xml:space="preserve">определённой сферы ответственности;</w:t>
      </w:r>
    </w:p>
    <w:p>
      <w:pPr>
        <w:pStyle w:val="Compact"/>
        <w:numPr>
          <w:ilvl w:val="0"/>
          <w:numId w:val="1017"/>
        </w:numPr>
      </w:pPr>
      <w:r>
        <w:t xml:space="preserve">законных полномочий;</w:t>
      </w:r>
    </w:p>
    <w:p>
      <w:pPr>
        <w:pStyle w:val="Compact"/>
        <w:numPr>
          <w:ilvl w:val="0"/>
          <w:numId w:val="1017"/>
        </w:numPr>
      </w:pPr>
      <w:r>
        <w:t xml:space="preserve">подотчётного государственного аппарата;</w:t>
      </w:r>
    </w:p>
    <w:p>
      <w:pPr>
        <w:pStyle w:val="Compact"/>
        <w:numPr>
          <w:ilvl w:val="0"/>
          <w:numId w:val="1017"/>
        </w:numPr>
      </w:pPr>
      <w:r>
        <w:t xml:space="preserve">опубликованных целей и показателей работы.</w:t>
      </w:r>
    </w:p>
    <w:p>
      <w:pPr>
        <w:pStyle w:val="FirstParagraph"/>
      </w:pPr>
      <w:r>
        <w:t xml:space="preserve">Предлагается не использовать предусмотренную законом возможность назначения министров без портфеля.</w:t>
      </w:r>
    </w:p>
    <w:bookmarkEnd w:id="61"/>
    <w:bookmarkStart w:id="62" w:name="почему-это-важно-5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Каждая министерская должность должна иметь понятную общественную функцию.</w:t>
      </w:r>
    </w:p>
    <w:bookmarkEnd w:id="62"/>
    <w:bookmarkStart w:id="63" w:name="как-проверяется-5"/>
    <w:p>
      <w:pPr>
        <w:pStyle w:val="Heading3"/>
      </w:pPr>
      <w:r>
        <w:t xml:space="preserve">Как проверяется</w:t>
      </w:r>
    </w:p>
    <w:p>
      <w:pPr>
        <w:pStyle w:val="FirstParagraph"/>
      </w:pPr>
      <w:r>
        <w:t xml:space="preserve">Для каждого министра публикуются:</w:t>
      </w:r>
    </w:p>
    <w:p>
      <w:pPr>
        <w:pStyle w:val="Compact"/>
        <w:numPr>
          <w:ilvl w:val="0"/>
          <w:numId w:val="1018"/>
        </w:numPr>
      </w:pPr>
      <w:r>
        <w:t xml:space="preserve">полномочия;</w:t>
      </w:r>
    </w:p>
    <w:p>
      <w:pPr>
        <w:pStyle w:val="Compact"/>
        <w:numPr>
          <w:ilvl w:val="0"/>
          <w:numId w:val="1018"/>
        </w:numPr>
      </w:pPr>
      <w:r>
        <w:t xml:space="preserve">подчинённые подразделения;</w:t>
      </w:r>
    </w:p>
    <w:p>
      <w:pPr>
        <w:pStyle w:val="Compact"/>
        <w:numPr>
          <w:ilvl w:val="0"/>
          <w:numId w:val="1018"/>
        </w:numPr>
      </w:pPr>
      <w:r>
        <w:t xml:space="preserve">бюджет;</w:t>
      </w:r>
    </w:p>
    <w:p>
      <w:pPr>
        <w:pStyle w:val="Compact"/>
        <w:numPr>
          <w:ilvl w:val="0"/>
          <w:numId w:val="1018"/>
        </w:numPr>
      </w:pPr>
      <w:r>
        <w:t xml:space="preserve">численность аппарата;</w:t>
      </w:r>
    </w:p>
    <w:p>
      <w:pPr>
        <w:pStyle w:val="Compact"/>
        <w:numPr>
          <w:ilvl w:val="0"/>
          <w:numId w:val="1018"/>
        </w:numPr>
      </w:pPr>
      <w:r>
        <w:t xml:space="preserve">цели на год.</w:t>
      </w:r>
    </w:p>
    <w:bookmarkEnd w:id="63"/>
    <w:bookmarkStart w:id="64" w:name="допустимые-исключения-5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Допускается временный координатор внутри аппарата премьер-министра без отдельного министерства, отдельного постоянного бюджета и дублирования полномочий.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программа-первых-100-дней"/>
    <w:p>
      <w:pPr>
        <w:pStyle w:val="Heading2"/>
      </w:pPr>
      <w:r>
        <w:t xml:space="preserve">7. Программа первых 100 дней</w:t>
      </w:r>
    </w:p>
    <w:bookmarkStart w:id="66" w:name="обязательство-6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публикует до выборов перечень действий, которые она будет продвигать в первые 100 дней участия в правительстве.</w:t>
      </w:r>
    </w:p>
    <w:p>
      <w:pPr>
        <w:pStyle w:val="BodyText"/>
      </w:pPr>
      <w:r>
        <w:t xml:space="preserve">Для каждого действия указываются:</w:t>
      </w:r>
    </w:p>
    <w:p>
      <w:pPr>
        <w:pStyle w:val="Compact"/>
        <w:numPr>
          <w:ilvl w:val="0"/>
          <w:numId w:val="1019"/>
        </w:numPr>
      </w:pPr>
      <w:r>
        <w:t xml:space="preserve">решение;</w:t>
      </w:r>
    </w:p>
    <w:p>
      <w:pPr>
        <w:pStyle w:val="Compact"/>
        <w:numPr>
          <w:ilvl w:val="0"/>
          <w:numId w:val="1019"/>
        </w:numPr>
      </w:pPr>
      <w:r>
        <w:t xml:space="preserve">срок;</w:t>
      </w:r>
    </w:p>
    <w:p>
      <w:pPr>
        <w:pStyle w:val="Compact"/>
        <w:numPr>
          <w:ilvl w:val="0"/>
          <w:numId w:val="1019"/>
        </w:numPr>
      </w:pPr>
      <w:r>
        <w:t xml:space="preserve">ответственный орган;</w:t>
      </w:r>
    </w:p>
    <w:p>
      <w:pPr>
        <w:pStyle w:val="Compact"/>
        <w:numPr>
          <w:ilvl w:val="0"/>
          <w:numId w:val="1019"/>
        </w:numPr>
      </w:pPr>
      <w:r>
        <w:t xml:space="preserve">необходимое законодательство;</w:t>
      </w:r>
    </w:p>
    <w:p>
      <w:pPr>
        <w:pStyle w:val="Compact"/>
        <w:numPr>
          <w:ilvl w:val="0"/>
          <w:numId w:val="1019"/>
        </w:numPr>
      </w:pPr>
      <w:r>
        <w:t xml:space="preserve">известные бюджетные последствия;</w:t>
      </w:r>
    </w:p>
    <w:p>
      <w:pPr>
        <w:pStyle w:val="Compact"/>
        <w:numPr>
          <w:ilvl w:val="0"/>
          <w:numId w:val="1019"/>
        </w:numPr>
      </w:pPr>
      <w:r>
        <w:t xml:space="preserve">критерий выполнения.</w:t>
      </w:r>
    </w:p>
    <w:bookmarkEnd w:id="66"/>
    <w:bookmarkStart w:id="67" w:name="почему-это-важно-6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Общая декларация не позволяет оценить готовность партии к управлению.</w:t>
      </w:r>
    </w:p>
    <w:bookmarkEnd w:id="67"/>
    <w:bookmarkStart w:id="68" w:name="как-проверяется-6"/>
    <w:p>
      <w:pPr>
        <w:pStyle w:val="Heading3"/>
      </w:pPr>
      <w:r>
        <w:t xml:space="preserve">Как проверяется</w:t>
      </w:r>
    </w:p>
    <w:p>
      <w:pPr>
        <w:pStyle w:val="FirstParagraph"/>
      </w:pPr>
      <w:r>
        <w:t xml:space="preserve">После формирования правительства публикуется открытый трекер со статусами:</w:t>
      </w:r>
    </w:p>
    <w:p>
      <w:pPr>
        <w:pStyle w:val="Compact"/>
        <w:numPr>
          <w:ilvl w:val="0"/>
          <w:numId w:val="1020"/>
        </w:numPr>
      </w:pPr>
      <w:r>
        <w:t xml:space="preserve">не начато;</w:t>
      </w:r>
    </w:p>
    <w:p>
      <w:pPr>
        <w:pStyle w:val="Compact"/>
        <w:numPr>
          <w:ilvl w:val="0"/>
          <w:numId w:val="1020"/>
        </w:numPr>
      </w:pPr>
      <w:r>
        <w:t xml:space="preserve">в работе;</w:t>
      </w:r>
    </w:p>
    <w:p>
      <w:pPr>
        <w:pStyle w:val="Compact"/>
        <w:numPr>
          <w:ilvl w:val="0"/>
          <w:numId w:val="1020"/>
        </w:numPr>
      </w:pPr>
      <w:r>
        <w:t xml:space="preserve">выполнено;</w:t>
      </w:r>
    </w:p>
    <w:p>
      <w:pPr>
        <w:pStyle w:val="Compact"/>
        <w:numPr>
          <w:ilvl w:val="0"/>
          <w:numId w:val="1020"/>
        </w:numPr>
      </w:pPr>
      <w:r>
        <w:t xml:space="preserve">изменено;</w:t>
      </w:r>
    </w:p>
    <w:p>
      <w:pPr>
        <w:pStyle w:val="Compact"/>
        <w:numPr>
          <w:ilvl w:val="0"/>
          <w:numId w:val="1020"/>
        </w:numPr>
      </w:pPr>
      <w:r>
        <w:t xml:space="preserve">отложено с объяснением.</w:t>
      </w:r>
    </w:p>
    <w:bookmarkEnd w:id="68"/>
    <w:bookmarkStart w:id="69" w:name="допустимые-исключения-6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Срок может быть изменён из-за объективного препятствия. Должны быть опубликованы причина, новый срок и ответственный орган.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X9aea88f3e1b1aa9b87af9e84138fec191f9f5a9"/>
    <w:p>
      <w:pPr>
        <w:pStyle w:val="Heading2"/>
      </w:pPr>
      <w:r>
        <w:t xml:space="preserve">8. Государственная комиссия расследования событий 7 октября</w:t>
      </w:r>
    </w:p>
    <w:bookmarkStart w:id="71" w:name="обязательство-7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обязуется поддержать решение правительства о создании государственной комиссии расследования в соответствии с Законом о комиссиях расследования.</w:t>
      </w:r>
    </w:p>
    <w:p>
      <w:pPr>
        <w:pStyle w:val="BodyText"/>
      </w:pPr>
      <w:r>
        <w:t xml:space="preserve">По действующему механизму правительство принимает решение о создании комиссии и определяет предмет расследования, после чего председатель Верховного суда назначает председателя и остальных членов комиссии.</w:t>
      </w:r>
    </w:p>
    <w:bookmarkEnd w:id="71"/>
    <w:bookmarkStart w:id="72" w:name="предлагаемый-срок"/>
    <w:p>
      <w:pPr>
        <w:pStyle w:val="Heading3"/>
      </w:pPr>
      <w:r>
        <w:t xml:space="preserve">Предлагаемый срок</w:t>
      </w:r>
    </w:p>
    <w:p>
      <w:pPr>
        <w:pStyle w:val="FirstParagraph"/>
      </w:pPr>
      <w:r>
        <w:t xml:space="preserve">Решение правительства принимается не позднее 14 дней после его формирования.</w:t>
      </w:r>
    </w:p>
    <w:bookmarkEnd w:id="72"/>
    <w:bookmarkStart w:id="73" w:name="минимальный-предмет-расследования"/>
    <w:p>
      <w:pPr>
        <w:pStyle w:val="Heading3"/>
      </w:pPr>
      <w:r>
        <w:t xml:space="preserve">Минимальный предмет расследования</w:t>
      </w:r>
    </w:p>
    <w:p>
      <w:pPr>
        <w:pStyle w:val="Compact"/>
        <w:numPr>
          <w:ilvl w:val="0"/>
          <w:numId w:val="1021"/>
        </w:numPr>
      </w:pPr>
      <w:r>
        <w:t xml:space="preserve">политический уровень;</w:t>
      </w:r>
    </w:p>
    <w:p>
      <w:pPr>
        <w:pStyle w:val="Compact"/>
        <w:numPr>
          <w:ilvl w:val="0"/>
          <w:numId w:val="1021"/>
        </w:numPr>
      </w:pPr>
      <w:r>
        <w:t xml:space="preserve">армия и военная разведка;</w:t>
      </w:r>
    </w:p>
    <w:p>
      <w:pPr>
        <w:pStyle w:val="Compact"/>
        <w:numPr>
          <w:ilvl w:val="0"/>
          <w:numId w:val="1021"/>
        </w:numPr>
      </w:pPr>
      <w:r>
        <w:t xml:space="preserve">ШАБАК и другие разведывательные системы;</w:t>
      </w:r>
    </w:p>
    <w:p>
      <w:pPr>
        <w:pStyle w:val="Compact"/>
        <w:numPr>
          <w:ilvl w:val="0"/>
          <w:numId w:val="1021"/>
        </w:numPr>
      </w:pPr>
      <w:r>
        <w:t xml:space="preserve">полиция;</w:t>
      </w:r>
    </w:p>
    <w:p>
      <w:pPr>
        <w:pStyle w:val="Compact"/>
        <w:numPr>
          <w:ilvl w:val="0"/>
          <w:numId w:val="1021"/>
        </w:numPr>
      </w:pPr>
      <w:r>
        <w:t xml:space="preserve">гражданская оборона и готовность тыла;</w:t>
      </w:r>
    </w:p>
    <w:p>
      <w:pPr>
        <w:pStyle w:val="Compact"/>
        <w:numPr>
          <w:ilvl w:val="0"/>
          <w:numId w:val="1021"/>
        </w:numPr>
      </w:pPr>
      <w:r>
        <w:t xml:space="preserve">процессы обмена информацией;</w:t>
      </w:r>
    </w:p>
    <w:p>
      <w:pPr>
        <w:pStyle w:val="Compact"/>
        <w:numPr>
          <w:ilvl w:val="0"/>
          <w:numId w:val="1021"/>
        </w:numPr>
      </w:pPr>
      <w:r>
        <w:t xml:space="preserve">подготовка к угрозе;</w:t>
      </w:r>
    </w:p>
    <w:p>
      <w:pPr>
        <w:pStyle w:val="Compact"/>
        <w:numPr>
          <w:ilvl w:val="0"/>
          <w:numId w:val="1021"/>
        </w:numPr>
      </w:pPr>
      <w:r>
        <w:t xml:space="preserve">принятие решений после начала нападения.</w:t>
      </w:r>
    </w:p>
    <w:bookmarkEnd w:id="73"/>
    <w:bookmarkStart w:id="74" w:name="почему-это-важно-7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Расследование должно охватывать персональные и системные причины провала, не исключая заранее отдельные уровни власти.</w:t>
      </w:r>
    </w:p>
    <w:bookmarkEnd w:id="74"/>
    <w:bookmarkStart w:id="75" w:name="как-проверяется-7"/>
    <w:p>
      <w:pPr>
        <w:pStyle w:val="Heading3"/>
      </w:pPr>
      <w:r>
        <w:t xml:space="preserve">Как проверяется</w:t>
      </w:r>
    </w:p>
    <w:p>
      <w:pPr>
        <w:pStyle w:val="Compact"/>
        <w:numPr>
          <w:ilvl w:val="0"/>
          <w:numId w:val="1022"/>
        </w:numPr>
      </w:pPr>
      <w:r>
        <w:t xml:space="preserve">решение правительства;</w:t>
      </w:r>
    </w:p>
    <w:p>
      <w:pPr>
        <w:pStyle w:val="Compact"/>
        <w:numPr>
          <w:ilvl w:val="0"/>
          <w:numId w:val="1022"/>
        </w:numPr>
      </w:pPr>
      <w:r>
        <w:t xml:space="preserve">официально определённый мандат;</w:t>
      </w:r>
    </w:p>
    <w:p>
      <w:pPr>
        <w:pStyle w:val="Compact"/>
        <w:numPr>
          <w:ilvl w:val="0"/>
          <w:numId w:val="1022"/>
        </w:numPr>
      </w:pPr>
      <w:r>
        <w:t xml:space="preserve">публикация назначения;</w:t>
      </w:r>
    </w:p>
    <w:p>
      <w:pPr>
        <w:pStyle w:val="Compact"/>
        <w:numPr>
          <w:ilvl w:val="0"/>
          <w:numId w:val="1022"/>
        </w:numPr>
      </w:pPr>
      <w:r>
        <w:t xml:space="preserve">предоставленные комиссии полномочия и ресурсы.</w:t>
      </w:r>
    </w:p>
    <w:bookmarkEnd w:id="75"/>
    <w:bookmarkStart w:id="76" w:name="допустимые-исключения-7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Секретные материалы рассматриваются в предусмотренном законом защищённом режиме. Секретность не должна использоваться для исключения целой категории решений из расследования.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3f3b2cf11150ea3700628e89dfe0b56f236393c"/>
    <w:p>
      <w:pPr>
        <w:pStyle w:val="Heading2"/>
      </w:pPr>
      <w:r>
        <w:t xml:space="preserve">9. Непартийное использование полиции, армии и спецслужб</w:t>
      </w:r>
    </w:p>
    <w:bookmarkStart w:id="78" w:name="обязательство-8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признаёт законный гражданский контроль избранного правительства над системой безопасности и одновременно обязуется:</w:t>
      </w:r>
    </w:p>
    <w:p>
      <w:pPr>
        <w:pStyle w:val="Compact"/>
        <w:numPr>
          <w:ilvl w:val="0"/>
          <w:numId w:val="1023"/>
        </w:numPr>
      </w:pPr>
      <w:r>
        <w:t xml:space="preserve">не использовать силовые органы для партийной агитации;</w:t>
      </w:r>
    </w:p>
    <w:p>
      <w:pPr>
        <w:pStyle w:val="Compact"/>
        <w:numPr>
          <w:ilvl w:val="0"/>
          <w:numId w:val="1023"/>
        </w:numPr>
      </w:pPr>
      <w:r>
        <w:t xml:space="preserve">не вмешиваться в конкретные уголовные расследования иначе чем в пределах закона;</w:t>
      </w:r>
    </w:p>
    <w:p>
      <w:pPr>
        <w:pStyle w:val="Compact"/>
        <w:numPr>
          <w:ilvl w:val="0"/>
          <w:numId w:val="1023"/>
        </w:numPr>
      </w:pPr>
      <w:r>
        <w:t xml:space="preserve">не давать указания о полицейском отношении к конкретному протесту или политической группе;</w:t>
      </w:r>
    </w:p>
    <w:p>
      <w:pPr>
        <w:pStyle w:val="Compact"/>
        <w:numPr>
          <w:ilvl w:val="0"/>
          <w:numId w:val="1023"/>
        </w:numPr>
      </w:pPr>
      <w:r>
        <w:t xml:space="preserve">не ставить продвижение офицеров в зависимость от партийной лояльности;</w:t>
      </w:r>
    </w:p>
    <w:p>
      <w:pPr>
        <w:pStyle w:val="Compact"/>
        <w:numPr>
          <w:ilvl w:val="0"/>
          <w:numId w:val="1023"/>
        </w:numPr>
      </w:pPr>
      <w:r>
        <w:t xml:space="preserve">проводить назначения руководителей по опубликованным профессиональным критериям;</w:t>
      </w:r>
    </w:p>
    <w:p>
      <w:pPr>
        <w:pStyle w:val="Compact"/>
        <w:numPr>
          <w:ilvl w:val="0"/>
          <w:numId w:val="1023"/>
        </w:numPr>
      </w:pPr>
      <w:r>
        <w:t xml:space="preserve">документировать общие политические директивы;</w:t>
      </w:r>
    </w:p>
    <w:p>
      <w:pPr>
        <w:pStyle w:val="Compact"/>
        <w:numPr>
          <w:ilvl w:val="0"/>
          <w:numId w:val="1023"/>
        </w:numPr>
      </w:pPr>
      <w:r>
        <w:t xml:space="preserve">сохранять профессиональную оценку командования и разведывательных органов.</w:t>
      </w:r>
    </w:p>
    <w:bookmarkEnd w:id="78"/>
    <w:bookmarkStart w:id="79" w:name="почему-это-важно-8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Профессиональная самостоятельность не отменяет демократический контроль, но силовые органы не должны превращаться в инструмент конкретного политика или партии.</w:t>
      </w:r>
    </w:p>
    <w:bookmarkEnd w:id="79"/>
    <w:bookmarkStart w:id="80" w:name="как-проверяется-8"/>
    <w:p>
      <w:pPr>
        <w:pStyle w:val="Heading3"/>
      </w:pPr>
      <w:r>
        <w:t xml:space="preserve">Как проверяется</w:t>
      </w:r>
    </w:p>
    <w:p>
      <w:pPr>
        <w:pStyle w:val="Compact"/>
        <w:numPr>
          <w:ilvl w:val="0"/>
          <w:numId w:val="1024"/>
        </w:numPr>
      </w:pPr>
      <w:r>
        <w:t xml:space="preserve">официальные директивы;</w:t>
      </w:r>
    </w:p>
    <w:p>
      <w:pPr>
        <w:pStyle w:val="Compact"/>
        <w:numPr>
          <w:ilvl w:val="0"/>
          <w:numId w:val="1024"/>
        </w:numPr>
      </w:pPr>
      <w:r>
        <w:t xml:space="preserve">процедура назначений;</w:t>
      </w:r>
    </w:p>
    <w:p>
      <w:pPr>
        <w:pStyle w:val="Compact"/>
        <w:numPr>
          <w:ilvl w:val="0"/>
          <w:numId w:val="1024"/>
        </w:numPr>
      </w:pPr>
      <w:r>
        <w:t xml:space="preserve">заключения комиссий;</w:t>
      </w:r>
    </w:p>
    <w:p>
      <w:pPr>
        <w:pStyle w:val="Compact"/>
        <w:numPr>
          <w:ilvl w:val="0"/>
          <w:numId w:val="1024"/>
        </w:numPr>
      </w:pPr>
      <w:r>
        <w:t xml:space="preserve">вмешательство в конкретные дела;</w:t>
      </w:r>
    </w:p>
    <w:p>
      <w:pPr>
        <w:pStyle w:val="Compact"/>
        <w:numPr>
          <w:ilvl w:val="0"/>
          <w:numId w:val="1024"/>
        </w:numPr>
      </w:pPr>
      <w:r>
        <w:t xml:space="preserve">решения суда и юридических органов.</w:t>
      </w:r>
    </w:p>
    <w:bookmarkEnd w:id="80"/>
    <w:bookmarkStart w:id="81" w:name="допустимые-исключения-8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Правительство и уполномоченные министры сохраняют все стратегические, бюджетные и кадровые полномочия, предоставленные им законом.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Xdad8b4751da726a2cec304718847b1fc6893354"/>
    <w:p>
      <w:pPr>
        <w:pStyle w:val="Heading2"/>
      </w:pPr>
      <w:r>
        <w:t xml:space="preserve">10. Публичность коалиционных и бюджетных обязательств</w:t>
      </w:r>
    </w:p>
    <w:bookmarkStart w:id="83" w:name="обязательство-9"/>
    <w:p>
      <w:pPr>
        <w:pStyle w:val="Heading3"/>
      </w:pPr>
      <w:r>
        <w:t xml:space="preserve">Обязательство</w:t>
      </w:r>
    </w:p>
    <w:p>
      <w:pPr>
        <w:pStyle w:val="FirstParagraph"/>
      </w:pPr>
      <w:r>
        <w:t xml:space="preserve">Партия обязуется публиковать:</w:t>
      </w:r>
    </w:p>
    <w:p>
      <w:pPr>
        <w:pStyle w:val="Compact"/>
        <w:numPr>
          <w:ilvl w:val="0"/>
          <w:numId w:val="1025"/>
        </w:numPr>
      </w:pPr>
      <w:r>
        <w:t xml:space="preserve">коалиционные соглашения;</w:t>
      </w:r>
    </w:p>
    <w:p>
      <w:pPr>
        <w:pStyle w:val="Compact"/>
        <w:numPr>
          <w:ilvl w:val="0"/>
          <w:numId w:val="1025"/>
        </w:numPr>
      </w:pPr>
      <w:r>
        <w:t xml:space="preserve">приложения;</w:t>
      </w:r>
    </w:p>
    <w:p>
      <w:pPr>
        <w:pStyle w:val="Compact"/>
        <w:numPr>
          <w:ilvl w:val="0"/>
          <w:numId w:val="1025"/>
        </w:numPr>
      </w:pPr>
      <w:r>
        <w:t xml:space="preserve">обязательства о должностях;</w:t>
      </w:r>
    </w:p>
    <w:p>
      <w:pPr>
        <w:pStyle w:val="Compact"/>
        <w:numPr>
          <w:ilvl w:val="0"/>
          <w:numId w:val="1025"/>
        </w:numPr>
      </w:pPr>
      <w:r>
        <w:t xml:space="preserve">дополнительные бюджетные ассигнования;</w:t>
      </w:r>
    </w:p>
    <w:p>
      <w:pPr>
        <w:pStyle w:val="Compact"/>
        <w:numPr>
          <w:ilvl w:val="0"/>
          <w:numId w:val="1025"/>
        </w:numPr>
      </w:pPr>
      <w:r>
        <w:t xml:space="preserve">критерии распределения средств;</w:t>
      </w:r>
    </w:p>
    <w:p>
      <w:pPr>
        <w:pStyle w:val="Compact"/>
        <w:numPr>
          <w:ilvl w:val="0"/>
          <w:numId w:val="1025"/>
        </w:numPr>
      </w:pPr>
      <w:r>
        <w:t xml:space="preserve">предполагаемые источники финансирования.</w:t>
      </w:r>
    </w:p>
    <w:bookmarkEnd w:id="83"/>
    <w:bookmarkStart w:id="84" w:name="почему-это-важно-9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Избиратель должен понимать не только состав коалиции, но и цену заключённых соглашений.</w:t>
      </w:r>
    </w:p>
    <w:bookmarkEnd w:id="84"/>
    <w:bookmarkStart w:id="85" w:name="как-проверяется-9"/>
    <w:p>
      <w:pPr>
        <w:pStyle w:val="Heading3"/>
      </w:pPr>
      <w:r>
        <w:t xml:space="preserve">Как проверяется</w:t>
      </w:r>
    </w:p>
    <w:p>
      <w:pPr>
        <w:pStyle w:val="Compact"/>
        <w:numPr>
          <w:ilvl w:val="0"/>
          <w:numId w:val="1026"/>
        </w:numPr>
      </w:pPr>
      <w:r>
        <w:t xml:space="preserve">опубликованные соглашения;</w:t>
      </w:r>
    </w:p>
    <w:p>
      <w:pPr>
        <w:pStyle w:val="Compact"/>
        <w:numPr>
          <w:ilvl w:val="0"/>
          <w:numId w:val="1026"/>
        </w:numPr>
      </w:pPr>
      <w:r>
        <w:t xml:space="preserve">государственный бюджет;</w:t>
      </w:r>
    </w:p>
    <w:p>
      <w:pPr>
        <w:pStyle w:val="Compact"/>
        <w:numPr>
          <w:ilvl w:val="0"/>
          <w:numId w:val="1026"/>
        </w:numPr>
      </w:pPr>
      <w:r>
        <w:t xml:space="preserve">решения финансовых комитетов;</w:t>
      </w:r>
    </w:p>
    <w:p>
      <w:pPr>
        <w:pStyle w:val="Compact"/>
        <w:numPr>
          <w:ilvl w:val="0"/>
          <w:numId w:val="1026"/>
        </w:numPr>
      </w:pPr>
      <w:r>
        <w:t xml:space="preserve">бюджетные переводы.</w:t>
      </w:r>
    </w:p>
    <w:bookmarkEnd w:id="85"/>
    <w:bookmarkStart w:id="86" w:name="допустимые-исключения-9"/>
    <w:p>
      <w:pPr>
        <w:pStyle w:val="Heading3"/>
      </w:pPr>
      <w:r>
        <w:t xml:space="preserve">Допустимые исключения</w:t>
      </w:r>
    </w:p>
    <w:p>
      <w:pPr>
        <w:pStyle w:val="FirstParagraph"/>
      </w:pPr>
      <w:r>
        <w:t xml:space="preserve">Временно может не публиковаться только информация, раскрытие которой создаёт конкретный риск безопасности или нарушает защищённую законом частную информацию. Основание должно быть указано.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4" w:name="X4499a9840ac1851615ca392b3eb9e3173a2df72"/>
    <w:p>
      <w:pPr>
        <w:pStyle w:val="Heading1"/>
      </w:pPr>
      <w:r>
        <w:t xml:space="preserve">Часть IV. Договор коалиционной готовности</w:t>
      </w:r>
    </w:p>
    <w:p>
      <w:pPr>
        <w:pStyle w:val="FirstParagraph"/>
      </w:pPr>
      <w:r>
        <w:t xml:space="preserve">Этот документ адресован только партиям, которые заявляют, что намерены совместно сформировать следующее правительство.</w:t>
      </w:r>
    </w:p>
    <w:bookmarkStart w:id="89" w:name="общий-механизм-кандидата"/>
    <w:p>
      <w:pPr>
        <w:pStyle w:val="Heading2"/>
      </w:pPr>
      <w:r>
        <w:t xml:space="preserve">1. Общий механизм кандидата</w:t>
      </w:r>
    </w:p>
    <w:p>
      <w:pPr>
        <w:pStyle w:val="FirstParagraph"/>
      </w:pPr>
      <w:r>
        <w:t xml:space="preserve">Подписанты до выборов выбирают и публикуют один механизм:</w:t>
      </w:r>
    </w:p>
    <w:p>
      <w:pPr>
        <w:pStyle w:val="Compact"/>
        <w:numPr>
          <w:ilvl w:val="0"/>
          <w:numId w:val="1027"/>
        </w:numPr>
      </w:pPr>
      <w:r>
        <w:t xml:space="preserve">лидер подписавшей партии с наибольшим числом мандатов;</w:t>
      </w:r>
    </w:p>
    <w:p>
      <w:pPr>
        <w:pStyle w:val="Compact"/>
        <w:numPr>
          <w:ilvl w:val="0"/>
          <w:numId w:val="1027"/>
        </w:numPr>
      </w:pPr>
      <w:r>
        <w:t xml:space="preserve">заранее согласованный кандидат;</w:t>
      </w:r>
    </w:p>
    <w:p>
      <w:pPr>
        <w:pStyle w:val="Compact"/>
        <w:numPr>
          <w:ilvl w:val="0"/>
          <w:numId w:val="1027"/>
        </w:numPr>
      </w:pPr>
      <w:r>
        <w:t xml:space="preserve">кандидат, получивший наибольшее число обязательных рекомендаций подписантов;</w:t>
      </w:r>
    </w:p>
    <w:p>
      <w:pPr>
        <w:pStyle w:val="Compact"/>
        <w:numPr>
          <w:ilvl w:val="0"/>
          <w:numId w:val="1027"/>
        </w:numPr>
      </w:pPr>
      <w:r>
        <w:t xml:space="preserve">иная заранее опубликованная формула.</w:t>
      </w:r>
    </w:p>
    <w:p>
      <w:pPr>
        <w:pStyle w:val="FirstParagraph"/>
      </w:pPr>
      <w:r>
        <w:t xml:space="preserve">Механизм должен содержать процедуру замены кандидата при юридической невозможности, добровольном отказе, смерти или тяжёлой болезни.</w:t>
      </w:r>
    </w:p>
    <w:p>
      <w:r>
        <w:pict>
          <v:rect style="width:0;height:1.5pt" o:hralign="center" o:hrstd="t" o:hr="t"/>
        </w:pict>
      </w:r>
    </w:p>
    <w:bookmarkEnd w:id="89"/>
    <w:bookmarkStart w:id="90" w:name="протокол-риска-непрохождения-барьера"/>
    <w:p>
      <w:pPr>
        <w:pStyle w:val="Heading2"/>
      </w:pPr>
      <w:r>
        <w:t xml:space="preserve">2. Протокол риска непрохождения барьера</w:t>
      </w:r>
    </w:p>
    <w:p>
      <w:pPr>
        <w:pStyle w:val="FirstParagraph"/>
      </w:pPr>
      <w:r>
        <w:t xml:space="preserve">Действующий электоральный барьер составляет 3,25% действительных голосов.</w:t>
      </w:r>
    </w:p>
    <w:p>
      <w:pPr>
        <w:pStyle w:val="BodyText"/>
      </w:pPr>
      <w:r>
        <w:t xml:space="preserve">Подписанты обязуются до крайнего срока подачи списков опубликовать совместный протокол для партий, устойчиво находящихся вблизи или ниже действующего барьера.</w:t>
      </w:r>
    </w:p>
    <w:p>
      <w:pPr>
        <w:pStyle w:val="BodyText"/>
      </w:pPr>
      <w:r>
        <w:t xml:space="preserve">Протокол должен заранее определить:</w:t>
      </w:r>
    </w:p>
    <w:p>
      <w:pPr>
        <w:pStyle w:val="Compact"/>
        <w:numPr>
          <w:ilvl w:val="0"/>
          <w:numId w:val="1028"/>
        </w:numPr>
      </w:pPr>
      <w:r>
        <w:t xml:space="preserve">какие публичные опросы учитываются;</w:t>
      </w:r>
    </w:p>
    <w:p>
      <w:pPr>
        <w:pStyle w:val="Compact"/>
        <w:numPr>
          <w:ilvl w:val="0"/>
          <w:numId w:val="1028"/>
        </w:numPr>
      </w:pPr>
      <w:r>
        <w:t xml:space="preserve">за какой период;</w:t>
      </w:r>
    </w:p>
    <w:p>
      <w:pPr>
        <w:pStyle w:val="Compact"/>
        <w:numPr>
          <w:ilvl w:val="0"/>
          <w:numId w:val="1028"/>
        </w:numPr>
      </w:pPr>
      <w:r>
        <w:t xml:space="preserve">как рассчитывается среднее;</w:t>
      </w:r>
    </w:p>
    <w:p>
      <w:pPr>
        <w:pStyle w:val="Compact"/>
        <w:numPr>
          <w:ilvl w:val="0"/>
          <w:numId w:val="1028"/>
        </w:numPr>
      </w:pPr>
      <w:r>
        <w:t xml:space="preserve">какой запас погрешности используется;</w:t>
      </w:r>
    </w:p>
    <w:p>
      <w:pPr>
        <w:pStyle w:val="Compact"/>
        <w:numPr>
          <w:ilvl w:val="0"/>
          <w:numId w:val="1028"/>
        </w:numPr>
      </w:pPr>
      <w:r>
        <w:t xml:space="preserve">кто принимает решение;</w:t>
      </w:r>
    </w:p>
    <w:p>
      <w:pPr>
        <w:pStyle w:val="Compact"/>
        <w:numPr>
          <w:ilvl w:val="0"/>
          <w:numId w:val="1028"/>
        </w:numPr>
      </w:pPr>
      <w:r>
        <w:t xml:space="preserve">какие варианты рассматриваются: совместный список, объединение, отказ от участия либо самостоятельное участие с публичным обоснованием.</w:t>
      </w:r>
    </w:p>
    <w:p>
      <w:pPr>
        <w:pStyle w:val="FirstParagraph"/>
      </w:pPr>
      <w:r>
        <w:t xml:space="preserve">Платформа не определяет автоматически, какая партия обязана сняться, и не объявляет голоса за неё «потерянными» до официальных результатов.</w:t>
      </w:r>
    </w:p>
    <w:p>
      <w:r>
        <w:pict>
          <v:rect style="width:0;height:1.5pt" o:hralign="center" o:hrstd="t" o:hr="t"/>
        </w:pict>
      </w:r>
    </w:p>
    <w:bookmarkEnd w:id="90"/>
    <w:bookmarkStart w:id="91" w:name="Xb790e36989fa87a0db14574ff0d8f5e34a3fb40"/>
    <w:p>
      <w:pPr>
        <w:pStyle w:val="Heading2"/>
      </w:pPr>
      <w:r>
        <w:t xml:space="preserve">3. Запрет соглашений, противоречащих опубликованному договору</w:t>
      </w:r>
    </w:p>
    <w:p>
      <w:pPr>
        <w:pStyle w:val="FirstParagraph"/>
      </w:pPr>
      <w:r>
        <w:t xml:space="preserve">Подписант не заключает тайное соглашение, которое:</w:t>
      </w:r>
    </w:p>
    <w:p>
      <w:pPr>
        <w:pStyle w:val="Compact"/>
        <w:numPr>
          <w:ilvl w:val="0"/>
          <w:numId w:val="1029"/>
        </w:numPr>
      </w:pPr>
      <w:r>
        <w:t xml:space="preserve">нарушает опубликованную карту коалиции;</w:t>
      </w:r>
    </w:p>
    <w:p>
      <w:pPr>
        <w:pStyle w:val="Compact"/>
        <w:numPr>
          <w:ilvl w:val="0"/>
          <w:numId w:val="1029"/>
        </w:numPr>
      </w:pPr>
      <w:r>
        <w:t xml:space="preserve">обходит общий механизм кандидата;</w:t>
      </w:r>
    </w:p>
    <w:p>
      <w:pPr>
        <w:pStyle w:val="Compact"/>
        <w:numPr>
          <w:ilvl w:val="0"/>
          <w:numId w:val="1029"/>
        </w:numPr>
      </w:pPr>
      <w:r>
        <w:t xml:space="preserve">предоставляет другой стороне право единолично отменить договор;</w:t>
      </w:r>
    </w:p>
    <w:p>
      <w:pPr>
        <w:pStyle w:val="Compact"/>
        <w:numPr>
          <w:ilvl w:val="0"/>
          <w:numId w:val="1029"/>
        </w:numPr>
      </w:pPr>
      <w:r>
        <w:t xml:space="preserve">скрывает распределение должностей или бюджетных обязательств.</w:t>
      </w:r>
    </w:p>
    <w:p>
      <w:pPr>
        <w:pStyle w:val="FirstParagraph"/>
      </w:pPr>
      <w:r>
        <w:t xml:space="preserve">Конфиденциальность переговорного процесса допускается. Итоговые обязательства публикуются до голосования о доверии правительству.</w:t>
      </w:r>
    </w:p>
    <w:p>
      <w:r>
        <w:pict>
          <v:rect style="width:0;height:1.5pt" o:hralign="center" o:hrstd="t" o:hr="t"/>
        </w:pict>
      </w:r>
    </w:p>
    <w:bookmarkEnd w:id="91"/>
    <w:bookmarkStart w:id="92" w:name="процедура-разрешения-споров"/>
    <w:p>
      <w:pPr>
        <w:pStyle w:val="Heading2"/>
      </w:pPr>
      <w:r>
        <w:t xml:space="preserve">4. Процедура разрешения споров</w:t>
      </w:r>
    </w:p>
    <w:p>
      <w:pPr>
        <w:pStyle w:val="FirstParagraph"/>
      </w:pPr>
      <w:r>
        <w:t xml:space="preserve">Подписанты заранее определяют:</w:t>
      </w:r>
    </w:p>
    <w:p>
      <w:pPr>
        <w:pStyle w:val="Compact"/>
        <w:numPr>
          <w:ilvl w:val="0"/>
          <w:numId w:val="1030"/>
        </w:numPr>
      </w:pPr>
      <w:r>
        <w:t xml:space="preserve">представителей для переговоров;</w:t>
      </w:r>
    </w:p>
    <w:p>
      <w:pPr>
        <w:pStyle w:val="Compact"/>
        <w:numPr>
          <w:ilvl w:val="0"/>
          <w:numId w:val="1030"/>
        </w:numPr>
      </w:pPr>
      <w:r>
        <w:t xml:space="preserve">срок рассмотрения спора;</w:t>
      </w:r>
    </w:p>
    <w:p>
      <w:pPr>
        <w:pStyle w:val="Compact"/>
        <w:numPr>
          <w:ilvl w:val="0"/>
          <w:numId w:val="1030"/>
        </w:numPr>
      </w:pPr>
      <w:r>
        <w:t xml:space="preserve">круг вопросов, требующих единогласия;</w:t>
      </w:r>
    </w:p>
    <w:p>
      <w:pPr>
        <w:pStyle w:val="Compact"/>
        <w:numPr>
          <w:ilvl w:val="0"/>
          <w:numId w:val="1030"/>
        </w:numPr>
      </w:pPr>
      <w:r>
        <w:t xml:space="preserve">круг вопросов, решаемых большинством;</w:t>
      </w:r>
    </w:p>
    <w:p>
      <w:pPr>
        <w:pStyle w:val="Compact"/>
        <w:numPr>
          <w:ilvl w:val="0"/>
          <w:numId w:val="1030"/>
        </w:numPr>
      </w:pPr>
      <w:r>
        <w:t xml:space="preserve">независимого посредника либо согласованный орган;</w:t>
      </w:r>
    </w:p>
    <w:p>
      <w:pPr>
        <w:pStyle w:val="Compact"/>
        <w:numPr>
          <w:ilvl w:val="0"/>
          <w:numId w:val="1030"/>
        </w:numPr>
      </w:pPr>
      <w:r>
        <w:t xml:space="preserve">порядок публичного уведомления о выходе из договора.</w:t>
      </w:r>
    </w:p>
    <w:p>
      <w:pPr>
        <w:pStyle w:val="FirstParagraph"/>
      </w:pPr>
      <w:r>
        <w:t xml:space="preserve">Договор не должен позволять одному участнику блокировать всю коалицию по вопросу, который заранее не был объявлен обязательным.</w:t>
      </w:r>
    </w:p>
    <w:p>
      <w:r>
        <w:pict>
          <v:rect style="width:0;height:1.5pt" o:hralign="center" o:hrstd="t" o:hr="t"/>
        </w:pict>
      </w:r>
    </w:p>
    <w:bookmarkEnd w:id="92"/>
    <w:bookmarkStart w:id="93" w:name="минимальная-общая-программа"/>
    <w:p>
      <w:pPr>
        <w:pStyle w:val="Heading2"/>
      </w:pPr>
      <w:r>
        <w:t xml:space="preserve">5. Минимальная общая программа</w:t>
      </w:r>
    </w:p>
    <w:p>
      <w:pPr>
        <w:pStyle w:val="FirstParagraph"/>
      </w:pPr>
      <w:r>
        <w:t xml:space="preserve">Подписанты обязуются согласовать только ограниченный пакет:</w:t>
      </w:r>
    </w:p>
    <w:p>
      <w:pPr>
        <w:pStyle w:val="Compact"/>
        <w:numPr>
          <w:ilvl w:val="0"/>
          <w:numId w:val="1031"/>
        </w:numPr>
      </w:pPr>
      <w:r>
        <w:t xml:space="preserve">законная передача власти;</w:t>
      </w:r>
    </w:p>
    <w:p>
      <w:pPr>
        <w:pStyle w:val="Compact"/>
        <w:numPr>
          <w:ilvl w:val="0"/>
          <w:numId w:val="1031"/>
        </w:numPr>
      </w:pPr>
      <w:r>
        <w:t xml:space="preserve">расследование событий 7 октября;</w:t>
      </w:r>
    </w:p>
    <w:p>
      <w:pPr>
        <w:pStyle w:val="Compact"/>
        <w:numPr>
          <w:ilvl w:val="0"/>
          <w:numId w:val="1031"/>
        </w:numPr>
      </w:pPr>
      <w:r>
        <w:t xml:space="preserve">структура правительства;</w:t>
      </w:r>
    </w:p>
    <w:p>
      <w:pPr>
        <w:pStyle w:val="Compact"/>
        <w:numPr>
          <w:ilvl w:val="0"/>
          <w:numId w:val="1031"/>
        </w:numPr>
      </w:pPr>
      <w:r>
        <w:t xml:space="preserve">бюджетная прозрачность;</w:t>
      </w:r>
    </w:p>
    <w:p>
      <w:pPr>
        <w:pStyle w:val="Compact"/>
        <w:numPr>
          <w:ilvl w:val="0"/>
          <w:numId w:val="1031"/>
        </w:numPr>
      </w:pPr>
      <w:r>
        <w:t xml:space="preserve">правила государственной службы;</w:t>
      </w:r>
    </w:p>
    <w:p>
      <w:pPr>
        <w:pStyle w:val="Compact"/>
        <w:numPr>
          <w:ilvl w:val="0"/>
          <w:numId w:val="1031"/>
        </w:numPr>
      </w:pPr>
      <w:r>
        <w:t xml:space="preserve">первые меры безопасности и экономической устойчивости;</w:t>
      </w:r>
    </w:p>
    <w:p>
      <w:pPr>
        <w:pStyle w:val="Compact"/>
        <w:numPr>
          <w:ilvl w:val="0"/>
          <w:numId w:val="1031"/>
        </w:numPr>
      </w:pPr>
      <w:r>
        <w:t xml:space="preserve">процедура рассмотрения спорных идеологических вопросов.</w:t>
      </w:r>
    </w:p>
    <w:p>
      <w:pPr>
        <w:pStyle w:val="FirstParagraph"/>
      </w:pPr>
      <w:r>
        <w:t xml:space="preserve">Разногласия по долгосрочному урегулированию, территориям, религии и экономической модели могут сохраняться, если определена законная процедура принятия решений.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часть-v.-модель-малого-правительства"/>
    <w:p>
      <w:pPr>
        <w:pStyle w:val="Heading1"/>
      </w:pPr>
      <w:r>
        <w:t xml:space="preserve">Часть V. Модель малого правительства</w:t>
      </w:r>
    </w:p>
    <w:p>
      <w:pPr>
        <w:pStyle w:val="FirstParagraph"/>
      </w:pPr>
      <w:r>
        <w:t xml:space="preserve">Предлагаемая структура является политической моделью. Перед её реализацией требуется юридическая карта полномочий, поскольку передача функций между министерствами может требовать решений правительства, одобрения Кнессета и законодательных изменений.</w:t>
      </w:r>
    </w:p>
    <w:bookmarkStart w:id="95" w:name="ограничения"/>
    <w:p>
      <w:pPr>
        <w:pStyle w:val="Heading2"/>
      </w:pPr>
      <w:r>
        <w:t xml:space="preserve">Ограничения</w:t>
      </w:r>
    </w:p>
    <w:p>
      <w:pPr>
        <w:pStyle w:val="Compact"/>
        <w:numPr>
          <w:ilvl w:val="0"/>
          <w:numId w:val="1032"/>
        </w:numPr>
      </w:pPr>
      <w:r>
        <w:t xml:space="preserve">максимум 18 министров вместе с премьер-министром;</w:t>
      </w:r>
    </w:p>
    <w:p>
      <w:pPr>
        <w:pStyle w:val="Compact"/>
        <w:numPr>
          <w:ilvl w:val="0"/>
          <w:numId w:val="1032"/>
        </w:numPr>
      </w:pPr>
      <w:r>
        <w:t xml:space="preserve">максимум четыре заместителя;</w:t>
      </w:r>
    </w:p>
    <w:p>
      <w:pPr>
        <w:pStyle w:val="Compact"/>
        <w:numPr>
          <w:ilvl w:val="0"/>
          <w:numId w:val="1032"/>
        </w:numPr>
      </w:pPr>
      <w:r>
        <w:t xml:space="preserve">отсутствие министров без определённой ответственности;</w:t>
      </w:r>
    </w:p>
    <w:p>
      <w:pPr>
        <w:pStyle w:val="Compact"/>
        <w:numPr>
          <w:ilvl w:val="0"/>
          <w:numId w:val="1032"/>
        </w:numPr>
      </w:pPr>
      <w:r>
        <w:t xml:space="preserve">отсутствие министерств, созданных только ради политического титула;</w:t>
      </w:r>
    </w:p>
    <w:p>
      <w:pPr>
        <w:pStyle w:val="Compact"/>
        <w:numPr>
          <w:ilvl w:val="0"/>
          <w:numId w:val="1032"/>
        </w:numPr>
      </w:pPr>
      <w:r>
        <w:t xml:space="preserve">публикация бюджета и функций каждого министерства.</w:t>
      </w:r>
    </w:p>
    <w:bookmarkEnd w:id="95"/>
    <w:bookmarkStart w:id="96" w:name="предлагаемые-портфели"/>
    <w:p>
      <w:pPr>
        <w:pStyle w:val="Heading2"/>
      </w:pPr>
      <w:r>
        <w:t xml:space="preserve">Предлагаемые портфели</w:t>
      </w:r>
    </w:p>
    <w:p>
      <w:pPr>
        <w:pStyle w:val="Compact"/>
        <w:numPr>
          <w:ilvl w:val="0"/>
          <w:numId w:val="1033"/>
        </w:numPr>
      </w:pPr>
      <w:r>
        <w:t xml:space="preserve">Премьер-министр и координация правительства.</w:t>
      </w:r>
    </w:p>
    <w:p>
      <w:pPr>
        <w:pStyle w:val="Compact"/>
        <w:numPr>
          <w:ilvl w:val="0"/>
          <w:numId w:val="1033"/>
        </w:numPr>
      </w:pPr>
      <w:r>
        <w:t xml:space="preserve">Оборона.</w:t>
      </w:r>
    </w:p>
    <w:p>
      <w:pPr>
        <w:pStyle w:val="Compact"/>
        <w:numPr>
          <w:ilvl w:val="0"/>
          <w:numId w:val="1033"/>
        </w:numPr>
      </w:pPr>
      <w:r>
        <w:t xml:space="preserve">Иностранные дела и связи с диаспорой.</w:t>
      </w:r>
    </w:p>
    <w:p>
      <w:pPr>
        <w:pStyle w:val="Compact"/>
        <w:numPr>
          <w:ilvl w:val="0"/>
          <w:numId w:val="1033"/>
        </w:numPr>
      </w:pPr>
      <w:r>
        <w:t xml:space="preserve">Финансы.</w:t>
      </w:r>
    </w:p>
    <w:p>
      <w:pPr>
        <w:pStyle w:val="Compact"/>
        <w:numPr>
          <w:ilvl w:val="0"/>
          <w:numId w:val="1033"/>
        </w:numPr>
      </w:pPr>
      <w:r>
        <w:t xml:space="preserve">Юстиция.</w:t>
      </w:r>
    </w:p>
    <w:p>
      <w:pPr>
        <w:pStyle w:val="Compact"/>
        <w:numPr>
          <w:ilvl w:val="0"/>
          <w:numId w:val="1033"/>
        </w:numPr>
      </w:pPr>
      <w:r>
        <w:t xml:space="preserve">Внутренние дела и местное самоуправление.</w:t>
      </w:r>
    </w:p>
    <w:p>
      <w:pPr>
        <w:pStyle w:val="Compact"/>
        <w:numPr>
          <w:ilvl w:val="0"/>
          <w:numId w:val="1033"/>
        </w:numPr>
      </w:pPr>
      <w:r>
        <w:t xml:space="preserve">Внутренняя безопасность и чрезвычайные службы.</w:t>
      </w:r>
    </w:p>
    <w:p>
      <w:pPr>
        <w:pStyle w:val="Compact"/>
        <w:numPr>
          <w:ilvl w:val="0"/>
          <w:numId w:val="1033"/>
        </w:numPr>
      </w:pPr>
      <w:r>
        <w:t xml:space="preserve">Образование.</w:t>
      </w:r>
    </w:p>
    <w:p>
      <w:pPr>
        <w:pStyle w:val="Compact"/>
        <w:numPr>
          <w:ilvl w:val="0"/>
          <w:numId w:val="1033"/>
        </w:numPr>
      </w:pPr>
      <w:r>
        <w:t xml:space="preserve">Здравоохранение.</w:t>
      </w:r>
    </w:p>
    <w:p>
      <w:pPr>
        <w:pStyle w:val="Compact"/>
        <w:numPr>
          <w:ilvl w:val="0"/>
          <w:numId w:val="1033"/>
        </w:numPr>
      </w:pPr>
      <w:r>
        <w:t xml:space="preserve">Социальное обеспечение.</w:t>
      </w:r>
    </w:p>
    <w:p>
      <w:pPr>
        <w:pStyle w:val="Compact"/>
        <w:numPr>
          <w:ilvl w:val="0"/>
          <w:numId w:val="1033"/>
        </w:numPr>
      </w:pPr>
      <w:r>
        <w:t xml:space="preserve">Экономика, труд, инновации и связь.</w:t>
      </w:r>
    </w:p>
    <w:p>
      <w:pPr>
        <w:pStyle w:val="Compact"/>
        <w:numPr>
          <w:ilvl w:val="0"/>
          <w:numId w:val="1033"/>
        </w:numPr>
      </w:pPr>
      <w:r>
        <w:t xml:space="preserve">Транспорт и национальная инфраструктура.</w:t>
      </w:r>
    </w:p>
    <w:p>
      <w:pPr>
        <w:pStyle w:val="Compact"/>
        <w:numPr>
          <w:ilvl w:val="0"/>
          <w:numId w:val="1033"/>
        </w:numPr>
      </w:pPr>
      <w:r>
        <w:t xml:space="preserve">Энергетика, вода и климатическая устойчивость.</w:t>
      </w:r>
    </w:p>
    <w:p>
      <w:pPr>
        <w:pStyle w:val="Compact"/>
        <w:numPr>
          <w:ilvl w:val="0"/>
          <w:numId w:val="1033"/>
        </w:numPr>
      </w:pPr>
      <w:r>
        <w:t xml:space="preserve">Жильё, планирование и строительство.</w:t>
      </w:r>
    </w:p>
    <w:p>
      <w:pPr>
        <w:pStyle w:val="Compact"/>
        <w:numPr>
          <w:ilvl w:val="0"/>
          <w:numId w:val="1033"/>
        </w:numPr>
      </w:pPr>
      <w:r>
        <w:t xml:space="preserve">Сельское хозяйство и продовольственная безопасность.</w:t>
      </w:r>
    </w:p>
    <w:p>
      <w:pPr>
        <w:pStyle w:val="Compact"/>
        <w:numPr>
          <w:ilvl w:val="0"/>
          <w:numId w:val="1033"/>
        </w:numPr>
      </w:pPr>
      <w:r>
        <w:t xml:space="preserve">Охрана окружающей среды.</w:t>
      </w:r>
    </w:p>
    <w:p>
      <w:pPr>
        <w:pStyle w:val="Compact"/>
        <w:numPr>
          <w:ilvl w:val="0"/>
          <w:numId w:val="1033"/>
        </w:numPr>
      </w:pPr>
      <w:r>
        <w:t xml:space="preserve">Алия, интеграция и общественное равенство.</w:t>
      </w:r>
    </w:p>
    <w:p>
      <w:pPr>
        <w:pStyle w:val="Compact"/>
        <w:numPr>
          <w:ilvl w:val="0"/>
          <w:numId w:val="1033"/>
        </w:numPr>
      </w:pPr>
      <w:r>
        <w:t xml:space="preserve">Культура, спорт, туризм и наследие.</w:t>
      </w:r>
    </w:p>
    <w:p>
      <w:pPr>
        <w:pStyle w:val="FirstParagraph"/>
      </w:pPr>
      <w:r>
        <w:t xml:space="preserve">Институт национального страхования сохраняет установленный законом статус и не превращается автоматически в подразделение министерства.</w:t>
      </w:r>
    </w:p>
    <w:bookmarkEnd w:id="96"/>
    <w:bookmarkStart w:id="97" w:name="процедура-изменения-структуры"/>
    <w:p>
      <w:pPr>
        <w:pStyle w:val="Heading2"/>
      </w:pPr>
      <w:r>
        <w:t xml:space="preserve">Процедура изменения структуры</w:t>
      </w:r>
    </w:p>
    <w:p>
      <w:pPr>
        <w:pStyle w:val="FirstParagraph"/>
      </w:pPr>
      <w:r>
        <w:t xml:space="preserve">Новое министерство создаётся только после публикации:</w:t>
      </w:r>
    </w:p>
    <w:p>
      <w:pPr>
        <w:pStyle w:val="Compact"/>
        <w:numPr>
          <w:ilvl w:val="0"/>
          <w:numId w:val="1034"/>
        </w:numPr>
      </w:pPr>
      <w:r>
        <w:t xml:space="preserve">юридического обоснования;</w:t>
      </w:r>
    </w:p>
    <w:p>
      <w:pPr>
        <w:pStyle w:val="Compact"/>
        <w:numPr>
          <w:ilvl w:val="0"/>
          <w:numId w:val="1034"/>
        </w:numPr>
      </w:pPr>
      <w:r>
        <w:t xml:space="preserve">карты полномочий;</w:t>
      </w:r>
    </w:p>
    <w:p>
      <w:pPr>
        <w:pStyle w:val="Compact"/>
        <w:numPr>
          <w:ilvl w:val="0"/>
          <w:numId w:val="1034"/>
        </w:numPr>
      </w:pPr>
      <w:r>
        <w:t xml:space="preserve">стоимости;</w:t>
      </w:r>
    </w:p>
    <w:p>
      <w:pPr>
        <w:pStyle w:val="Compact"/>
        <w:numPr>
          <w:ilvl w:val="0"/>
          <w:numId w:val="1034"/>
        </w:numPr>
      </w:pPr>
      <w:r>
        <w:t xml:space="preserve">кадрового плана;</w:t>
      </w:r>
    </w:p>
    <w:p>
      <w:pPr>
        <w:pStyle w:val="Compact"/>
        <w:numPr>
          <w:ilvl w:val="0"/>
          <w:numId w:val="1034"/>
        </w:numPr>
      </w:pPr>
      <w:r>
        <w:t xml:space="preserve">анализа дублирования;</w:t>
      </w:r>
    </w:p>
    <w:p>
      <w:pPr>
        <w:pStyle w:val="Compact"/>
        <w:numPr>
          <w:ilvl w:val="0"/>
          <w:numId w:val="1034"/>
        </w:numPr>
      </w:pPr>
      <w:r>
        <w:t xml:space="preserve">причины, по которой задачу нельзя выполнить существующим органом.</w:t>
      </w:r>
    </w:p>
    <w:p>
      <w:pPr>
        <w:pStyle w:val="FirstParagraph"/>
      </w:pPr>
      <w:r>
        <w:t xml:space="preserve">Общее количество министров не увеличивается без применения заранее установленной исключительной процедуры.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0" w:name="часть-vi.-программа-первых-100-дней"/>
    <w:p>
      <w:pPr>
        <w:pStyle w:val="Heading1"/>
      </w:pPr>
      <w:r>
        <w:t xml:space="preserve">Часть VI. Программа первых 100 дней</w:t>
      </w:r>
    </w:p>
    <w:bookmarkStart w:id="99" w:name="дни-114-комиссия-расследования"/>
    <w:p>
      <w:pPr>
        <w:pStyle w:val="Heading2"/>
      </w:pPr>
      <w:r>
        <w:t xml:space="preserve">Дни 1–14: комиссия расследования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создать государственную комиссию расследования событий 7 октября.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решение правительства по Закону о комиссиях расследования.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правительство и секретарь правительства.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принято и опубликовано решение с предметом расследования; уведомлён председатель Верховного суда для назначения состава.</w:t>
      </w:r>
    </w:p>
    <w:p>
      <w:r>
        <w:pict>
          <v:rect style="width:0;height:1.5pt" o:hralign="center" o:hrstd="t" o:hr="t"/>
        </w:pict>
      </w:r>
    </w:p>
    <w:bookmarkEnd w:id="99"/>
    <w:bookmarkStart w:id="100" w:name="дни-114-структура-правительства"/>
    <w:p>
      <w:pPr>
        <w:pStyle w:val="Heading2"/>
      </w:pPr>
      <w:r>
        <w:t xml:space="preserve">Дни 1–14: структура правительства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утвердить правительство максимум из 18 министров и четырёх заместителей.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коалиционное соглашение, решения правительства и необходимые одобрения Кнессета.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премьер-министр, министр юстиции, министр финансов.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опубликованы структура, полномочия и стоимость аппаратов.</w:t>
      </w:r>
    </w:p>
    <w:p>
      <w:r>
        <w:pict>
          <v:rect style="width:0;height:1.5pt" o:hralign="center" o:hrstd="t" o:hr="t"/>
        </w:pict>
      </w:r>
    </w:p>
    <w:bookmarkEnd w:id="100"/>
    <w:bookmarkStart w:id="101" w:name="Xd7c07beaca9a71fd31f35e78eab7cc21bde3d6b"/>
    <w:p>
      <w:pPr>
        <w:pStyle w:val="Heading2"/>
      </w:pPr>
      <w:r>
        <w:t xml:space="preserve">Дни 1–21: публикация коалиционных обязательств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создать единый публичный реестр коалиционных соглашений и связанных бюджетных обязательств.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решение правительства и правила коалиции.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секретарь правительства, Министерство финансов.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доступны документы, приложения, суммы и ответственные органы.</w:t>
      </w:r>
    </w:p>
    <w:p>
      <w:r>
        <w:pict>
          <v:rect style="width:0;height:1.5pt" o:hralign="center" o:hrstd="t" o:hr="t"/>
        </w:pict>
      </w:r>
    </w:p>
    <w:bookmarkEnd w:id="101"/>
    <w:bookmarkStart w:id="102" w:name="дни-130-равное-участие-в-службе"/>
    <w:p>
      <w:pPr>
        <w:pStyle w:val="Heading2"/>
      </w:pPr>
      <w:r>
        <w:t xml:space="preserve">Дни 1–30: равное участие в службе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опубликовать правительственный законопроект о постепенном расширении военной, национальной или гражданской службы с индивидуальными исключениями, основанными на законе и проверяемых критериях.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правительственный законопроект.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Министерство обороны, Министерство юстиции, Министерство финансов и социальные ведомства.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опубликованы цели набора, сроки, стимулы, санкции и доступные формы гражданской службы.</w:t>
      </w:r>
    </w:p>
    <w:p>
      <w:r>
        <w:pict>
          <v:rect style="width:0;height:1.5pt" o:hralign="center" o:hrstd="t" o:hr="t"/>
        </w:pict>
      </w:r>
    </w:p>
    <w:bookmarkEnd w:id="102"/>
    <w:bookmarkStart w:id="103" w:name="дни-130-правила-независимости-полиции"/>
    <w:p>
      <w:pPr>
        <w:pStyle w:val="Heading2"/>
      </w:pPr>
      <w:r>
        <w:t xml:space="preserve">Дни 1–30: правила независимости полиции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определить границу между общей политикой министра и запрещённым вмешательством в конкретные расследования, протесты и оперативные действия.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решение правительства, обязательная директива и при необходимости законодательные поправки.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министр внутренней безопасности, министр юстиции, руководство полиции.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опубликованы правила и механизм подачи жалобы о политическом вмешательстве.</w:t>
      </w:r>
    </w:p>
    <w:p>
      <w:r>
        <w:pict>
          <v:rect style="width:0;height:1.5pt" o:hralign="center" o:hrstd="t" o:hr="t"/>
        </w:pict>
      </w:r>
    </w:p>
    <w:bookmarkEnd w:id="103"/>
    <w:bookmarkStart w:id="104" w:name="дни-145-соблюдение-судебных-решений"/>
    <w:p>
      <w:pPr>
        <w:pStyle w:val="Heading2"/>
      </w:pPr>
      <w:r>
        <w:t xml:space="preserve">Дни 1–45: соблюдение судебных решений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утвердить государственный протокол исполнения окончательных судебных решений.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решение правительства и административная директива.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министр юстиции, юридический советник правительства, руководители министерств.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для решений, требующих административных действий, фиксируются ответственный орган и срок.</w:t>
      </w:r>
    </w:p>
    <w:p>
      <w:r>
        <w:pict>
          <v:rect style="width:0;height:1.5pt" o:hralign="center" o:hrstd="t" o:hr="t"/>
        </w:pict>
      </w:r>
    </w:p>
    <w:bookmarkEnd w:id="104"/>
    <w:bookmarkStart w:id="105" w:name="X198ba3d4ab17aadcf705b3d8fa9c79a910f1d22"/>
    <w:p>
      <w:pPr>
        <w:pStyle w:val="Heading2"/>
      </w:pPr>
      <w:r>
        <w:t xml:space="preserve">Дни 1–45: процедура назначения руководителей силовых органов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опубликовать единые профессиональные критерии назначения руководителей армии, полиции и разведывательных служб.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решение правительства и законодательные изменения, где они необходимы.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премьер-министр, министры обороны, юстиции и внутренней безопасности.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опубликованы требования к опыту, проверка конфликтов интересов, срок полномочий и роль профессиональных комиссий.</w:t>
      </w:r>
    </w:p>
    <w:p>
      <w:r>
        <w:pict>
          <v:rect style="width:0;height:1.5pt" o:hralign="center" o:hrstd="t" o:hr="t"/>
        </w:pict>
      </w:r>
    </w:p>
    <w:bookmarkEnd w:id="105"/>
    <w:bookmarkStart w:id="106" w:name="X379e1fad40ad852ab7d84114b8823c87736f079"/>
    <w:p>
      <w:pPr>
        <w:pStyle w:val="Heading2"/>
      </w:pPr>
      <w:r>
        <w:t xml:space="preserve">Дни 1–60: прозрачность дополнительных бюджетов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включить дополнительные секторальные расходы в прозрачную бюджетную процедуру.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бюджетные правила и при необходимости поправки к законодательству.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Министерство финансов и генеральный бухгалтер.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опубликован реестр суммы, получателя, цели, критериев и контрольных показателей.</w:t>
      </w:r>
    </w:p>
    <w:p>
      <w:r>
        <w:pict>
          <v:rect style="width:0;height:1.5pt" o:hralign="center" o:hrstd="t" o:hr="t"/>
        </w:pict>
      </w:r>
    </w:p>
    <w:bookmarkEnd w:id="106"/>
    <w:bookmarkStart w:id="107" w:name="Xf1ac3c7672f569376271b1521970a6e7b7c2adb"/>
    <w:p>
      <w:pPr>
        <w:pStyle w:val="Heading2"/>
      </w:pPr>
      <w:r>
        <w:t xml:space="preserve">Дни 1–60: финансовый план периода войны и восстановления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опубликовать многолетний план оборонных расходов, восстановления пострадавших районов, поддержки резервистов и стабилизации долга.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бюджет и многолетняя финансовая программа.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Министерство финансов, Министерство обороны и экономические ведомства.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опубликованы базовый и стрессовый сценарии, источники финансирования и ключевые риски.</w:t>
      </w:r>
    </w:p>
    <w:p>
      <w:r>
        <w:pict>
          <v:rect style="width:0;height:1.5pt" o:hralign="center" o:hrstd="t" o:hr="t"/>
        </w:pict>
      </w:r>
    </w:p>
    <w:bookmarkEnd w:id="107"/>
    <w:bookmarkStart w:id="108" w:name="дни-175-базовое-образование-и-занятость"/>
    <w:p>
      <w:pPr>
        <w:pStyle w:val="Heading2"/>
      </w:pPr>
      <w:r>
        <w:t xml:space="preserve">Дни 1–75: базовое образование и занятость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связать государственное финансирование образовательных учреждений с прозрачностью, преподаванием согласованного ядра базовых предметов и измеримыми результатами.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бюджетные условия, нормативные акты и законодательство.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Министерство образования, Министерство финансов, Министерство экономики и труда.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опубликован поэтапный план с показателями образования и занятости.</w:t>
      </w:r>
    </w:p>
    <w:p>
      <w:r>
        <w:pict>
          <v:rect style="width:0;height:1.5pt" o:hralign="center" o:hrstd="t" o:hr="t"/>
        </w:pict>
      </w:r>
    </w:p>
    <w:bookmarkEnd w:id="108"/>
    <w:bookmarkStart w:id="109" w:name="X37c78ec3ca1b3fdd7f63d287b03d9879d538805"/>
    <w:p>
      <w:pPr>
        <w:pStyle w:val="Heading2"/>
      </w:pPr>
      <w:r>
        <w:t xml:space="preserve">Дни 1–100: процесс устойчивых конституционных правил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создать парламентско-общественный процесс по вопросам разделения властей и изменения Основных законов.</w:t>
      </w:r>
    </w:p>
    <w:p>
      <w:pPr>
        <w:pStyle w:val="BodyText"/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решение Кнессета и работа профильного комитета.</w:t>
      </w:r>
    </w:p>
    <w:p>
      <w:pPr>
        <w:pStyle w:val="BodyText"/>
      </w:pPr>
      <w:r>
        <w:rPr>
          <w:b/>
          <w:bCs/>
        </w:rPr>
        <w:t xml:space="preserve">Ответственные:</w:t>
      </w:r>
      <w:r>
        <w:t xml:space="preserve"> </w:t>
      </w:r>
      <w:r>
        <w:t xml:space="preserve">председатель Кнессета и Конституционный комитет.</w:t>
      </w:r>
    </w:p>
    <w:p>
      <w:pPr>
        <w:pStyle w:val="BodyText"/>
      </w:pPr>
      <w:r>
        <w:rPr>
          <w:b/>
          <w:bCs/>
        </w:rPr>
        <w:t xml:space="preserve">Критерий выполнения:</w:t>
      </w:r>
      <w:r>
        <w:t xml:space="preserve"> </w:t>
      </w:r>
      <w:r>
        <w:t xml:space="preserve">опубликованы состав, мандат, график и правила принятия решений расширенным большинством.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Xd64967f776a8d18bfb5d3272c068d1b356bb97b"/>
    <w:p>
      <w:pPr>
        <w:pStyle w:val="Heading1"/>
      </w:pPr>
      <w:r>
        <w:t xml:space="preserve">Часть VII. Тексты пользовательских действий</w:t>
      </w:r>
    </w:p>
    <w:bookmarkStart w:id="113" w:name="гражданская-поддержка"/>
    <w:p>
      <w:pPr>
        <w:pStyle w:val="Heading2"/>
      </w:pPr>
      <w:r>
        <w:t xml:space="preserve">1. Гражданская поддержка</w:t>
      </w:r>
    </w:p>
    <w:bookmarkStart w:id="111" w:name="основной-текст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Я поддерживаю право граждан до выборов получить от партий ясную информацию о возможной коалиции, структуре правительства, соблюдении закона и программе первых 100 дней.</w:t>
      </w:r>
    </w:p>
    <w:p>
      <w:pPr>
        <w:pStyle w:val="BodyText"/>
      </w:pPr>
      <w:r>
        <w:t xml:space="preserve">Моя поддержка этого стандарта:</w:t>
      </w:r>
    </w:p>
    <w:p>
      <w:pPr>
        <w:pStyle w:val="Compact"/>
        <w:numPr>
          <w:ilvl w:val="0"/>
          <w:numId w:val="1035"/>
        </w:numPr>
      </w:pPr>
      <w:r>
        <w:t xml:space="preserve">не является обещанием голосовать за конкретную партию;</w:t>
      </w:r>
    </w:p>
    <w:p>
      <w:pPr>
        <w:pStyle w:val="Compact"/>
        <w:numPr>
          <w:ilvl w:val="0"/>
          <w:numId w:val="1035"/>
        </w:numPr>
      </w:pPr>
      <w:r>
        <w:t xml:space="preserve">не означает поддержку или неприятие конкретного кандидата;</w:t>
      </w:r>
    </w:p>
    <w:p>
      <w:pPr>
        <w:pStyle w:val="Compact"/>
        <w:numPr>
          <w:ilvl w:val="0"/>
          <w:numId w:val="1035"/>
        </w:numPr>
      </w:pPr>
      <w:r>
        <w:t xml:space="preserve">не передаётся партиям как информация о моих электоральных намерениях.</w:t>
      </w:r>
    </w:p>
    <w:bookmarkEnd w:id="111"/>
    <w:bookmarkStart w:id="112" w:name="короткая-версия"/>
    <w:p>
      <w:pPr>
        <w:pStyle w:val="Heading3"/>
      </w:pPr>
      <w:r>
        <w:t xml:space="preserve">Короткая версия</w:t>
      </w:r>
    </w:p>
    <w:p>
      <w:pPr>
        <w:pStyle w:val="FirstParagraph"/>
      </w:pPr>
      <w:r>
        <w:rPr>
          <w:b/>
          <w:bCs/>
        </w:rPr>
        <w:t xml:space="preserve">Я поддерживаю прозрачные правила до голосования.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универсальное-email-обращение"/>
    <w:p>
      <w:pPr>
        <w:pStyle w:val="Heading2"/>
      </w:pPr>
      <w:r>
        <w:t xml:space="preserve">2. Универсальное email-обращение</w:t>
      </w:r>
    </w:p>
    <w:bookmarkStart w:id="114" w:name="тема"/>
    <w:p>
      <w:pPr>
        <w:pStyle w:val="Heading3"/>
      </w:pPr>
      <w:r>
        <w:t xml:space="preserve">Тема</w:t>
      </w:r>
    </w:p>
    <w:p>
      <w:pPr>
        <w:pStyle w:val="FirstParagraph"/>
      </w:pPr>
      <w:r>
        <w:t xml:space="preserve">Прошу предоставить ясную позицию до выборов</w:t>
      </w:r>
    </w:p>
    <w:bookmarkEnd w:id="114"/>
    <w:bookmarkStart w:id="115" w:name="текст"/>
    <w:p>
      <w:pPr>
        <w:pStyle w:val="Heading3"/>
      </w:pPr>
      <w:r>
        <w:t xml:space="preserve">Текст</w:t>
      </w:r>
    </w:p>
    <w:p>
      <w:pPr>
        <w:pStyle w:val="FirstParagraph"/>
      </w:pPr>
      <w:r>
        <w:t xml:space="preserve">Здравствуйте.</w:t>
      </w:r>
    </w:p>
    <w:p>
      <w:pPr>
        <w:pStyle w:val="BodyText"/>
      </w:pPr>
      <w:r>
        <w:t xml:space="preserve">Я обращаюсь к вашей партии как гражданин, желающий получить до выборов конкретную информацию о её планах после голосования.</w:t>
      </w:r>
    </w:p>
    <w:p>
      <w:pPr>
        <w:pStyle w:val="BodyText"/>
      </w:pPr>
      <w:r>
        <w:t xml:space="preserve">Прошу ответить на следующие вопросы:</w:t>
      </w:r>
    </w:p>
    <w:p>
      <w:pPr>
        <w:pStyle w:val="BodyText"/>
      </w:pPr>
      <w:r>
        <w:t xml:space="preserve">{questions}</w:t>
      </w:r>
    </w:p>
    <w:p>
      <w:pPr>
        <w:pStyle w:val="BodyText"/>
      </w:pPr>
      <w:r>
        <w:t xml:space="preserve">Предпочтительный формат для каждого вопроса:</w:t>
      </w:r>
    </w:p>
    <w:p>
      <w:pPr>
        <w:pStyle w:val="Compact"/>
        <w:numPr>
          <w:ilvl w:val="0"/>
          <w:numId w:val="1036"/>
        </w:numPr>
      </w:pPr>
      <w:r>
        <w:t xml:space="preserve">да;</w:t>
      </w:r>
    </w:p>
    <w:p>
      <w:pPr>
        <w:pStyle w:val="Compact"/>
        <w:numPr>
          <w:ilvl w:val="0"/>
          <w:numId w:val="1036"/>
        </w:numPr>
      </w:pPr>
      <w:r>
        <w:t xml:space="preserve">нет;</w:t>
      </w:r>
    </w:p>
    <w:p>
      <w:pPr>
        <w:pStyle w:val="Compact"/>
        <w:numPr>
          <w:ilvl w:val="0"/>
          <w:numId w:val="1036"/>
        </w:numPr>
      </w:pPr>
      <w:r>
        <w:t xml:space="preserve">да, при указанном условии;</w:t>
      </w:r>
    </w:p>
    <w:p>
      <w:pPr>
        <w:pStyle w:val="Compact"/>
        <w:numPr>
          <w:ilvl w:val="0"/>
          <w:numId w:val="1036"/>
        </w:numPr>
      </w:pPr>
      <w:r>
        <w:t xml:space="preserve">иное прямое пояснение.</w:t>
      </w:r>
    </w:p>
    <w:p>
      <w:pPr>
        <w:pStyle w:val="FirstParagraph"/>
      </w:pPr>
      <w:r>
        <w:t xml:space="preserve">Полный текст Стандарта прозрачности доступен по ссылке:</w:t>
      </w:r>
    </w:p>
    <w:p>
      <w:pPr>
        <w:pStyle w:val="BodyText"/>
      </w:pPr>
      <w:r>
        <w:t xml:space="preserve">{campaign_url}</w:t>
      </w:r>
    </w:p>
    <w:p>
      <w:pPr>
        <w:pStyle w:val="BodyText"/>
      </w:pPr>
      <w:r>
        <w:t xml:space="preserve">Сообщение подготовлено с помощью независимой гражданской платформы. Платформа не рекомендует голосовать за или против вашей партии.</w:t>
      </w:r>
    </w:p>
    <w:p>
      <w:pPr>
        <w:pStyle w:val="BodyText"/>
      </w:pPr>
      <w:r>
        <w:t xml:space="preserve">При желании я могу передать полученный ответ платформе для проверки и публикации. Мои личные данные не должны публиковаться без отдельного согласия.</w:t>
      </w:r>
    </w:p>
    <w:p>
      <w:pPr>
        <w:pStyle w:val="BodyText"/>
      </w:pPr>
      <w:r>
        <w:t xml:space="preserve">С уважением,</w:t>
      </w:r>
    </w:p>
    <w:p>
      <w:pPr>
        <w:pStyle w:val="BodyText"/>
      </w:pPr>
      <w:r>
        <w:t xml:space="preserve">{name_optional}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whatsapp"/>
    <w:p>
      <w:pPr>
        <w:pStyle w:val="Heading2"/>
      </w:pPr>
      <w:r>
        <w:t xml:space="preserve">3. WhatsApp</w:t>
      </w:r>
    </w:p>
    <w:p>
      <w:pPr>
        <w:pStyle w:val="FirstParagraph"/>
      </w:pPr>
      <w:r>
        <w:t xml:space="preserve">Здравствуйте.</w:t>
      </w:r>
    </w:p>
    <w:p>
      <w:pPr>
        <w:pStyle w:val="BodyText"/>
      </w:pPr>
      <w:r>
        <w:t xml:space="preserve">Прошу предоставить официальную позицию вашей партии по следующему вопросу:</w:t>
      </w:r>
    </w:p>
    <w:p>
      <w:pPr>
        <w:pStyle w:val="BodyText"/>
      </w:pPr>
      <w:r>
        <w:t xml:space="preserve">{question}</w:t>
      </w:r>
    </w:p>
    <w:p>
      <w:pPr>
        <w:pStyle w:val="BodyText"/>
      </w:pPr>
      <w:r>
        <w:t xml:space="preserve">Предпочтительный ответ: «да», «нет» или «да, при условии».</w:t>
      </w:r>
    </w:p>
    <w:p>
      <w:pPr>
        <w:pStyle w:val="BodyText"/>
      </w:pPr>
      <w:r>
        <w:t xml:space="preserve">Полный стандарт вопросов: {campaign_url}</w:t>
      </w:r>
    </w:p>
    <w:p>
      <w:pPr>
        <w:pStyle w:val="BodyText"/>
      </w:pPr>
      <w:r>
        <w:t xml:space="preserve">Это личное обращение гражданина. Платформа, с помощью которой подготовлен текст, не рекомендует голосовать за или против какой-либо партии.</w:t>
      </w:r>
    </w:p>
    <w:p>
      <w:r>
        <w:pict>
          <v:rect style="width:0;height:1.5pt" o:hralign="center" o:hrstd="t" o:hr="t"/>
        </w:pict>
      </w:r>
    </w:p>
    <w:bookmarkEnd w:id="117"/>
    <w:bookmarkStart w:id="118" w:name="Xc6f884243ee977b974ebb1fc8ae130797dc7a62"/>
    <w:p>
      <w:pPr>
        <w:pStyle w:val="Heading2"/>
      </w:pPr>
      <w:r>
        <w:t xml:space="preserve">4. Важное предупреждение перед открытием приложения</w:t>
      </w:r>
    </w:p>
    <w:p>
      <w:pPr>
        <w:pStyle w:val="FirstParagraph"/>
      </w:pPr>
      <w:r>
        <w:t xml:space="preserve">Кнопка откроет ваше почтовое приложение или WhatsApp с подготовленным текстом.</w:t>
      </w:r>
    </w:p>
    <w:p>
      <w:pPr>
        <w:pStyle w:val="BodyText"/>
      </w:pPr>
      <w:r>
        <w:t xml:space="preserve">Платформа:</w:t>
      </w:r>
    </w:p>
    <w:p>
      <w:pPr>
        <w:pStyle w:val="Compact"/>
        <w:numPr>
          <w:ilvl w:val="0"/>
          <w:numId w:val="1037"/>
        </w:numPr>
      </w:pPr>
      <w:r>
        <w:t xml:space="preserve">не отправляет сообщение автоматически;</w:t>
      </w:r>
    </w:p>
    <w:p>
      <w:pPr>
        <w:pStyle w:val="Compact"/>
        <w:numPr>
          <w:ilvl w:val="0"/>
          <w:numId w:val="1037"/>
        </w:numPr>
      </w:pPr>
      <w:r>
        <w:t xml:space="preserve">не получает доступ к вашей переписке;</w:t>
      </w:r>
    </w:p>
    <w:p>
      <w:pPr>
        <w:pStyle w:val="Compact"/>
        <w:numPr>
          <w:ilvl w:val="0"/>
          <w:numId w:val="1037"/>
        </w:numPr>
      </w:pPr>
      <w:r>
        <w:t xml:space="preserve">не подтверждает доставку;</w:t>
      </w:r>
    </w:p>
    <w:p>
      <w:pPr>
        <w:pStyle w:val="Compact"/>
        <w:numPr>
          <w:ilvl w:val="0"/>
          <w:numId w:val="1037"/>
        </w:numPr>
      </w:pPr>
      <w:r>
        <w:t xml:space="preserve">не сохраняет введённые в письмо имя и личный текст.</w:t>
      </w:r>
    </w:p>
    <w:p>
      <w:pPr>
        <w:pStyle w:val="FirstParagraph"/>
      </w:pPr>
      <w:r>
        <w:t xml:space="preserve">Проверьте адресата и содержание перед отправкой.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5" w:name="часть-viii.-статусы-после-действий"/>
    <w:p>
      <w:pPr>
        <w:pStyle w:val="Heading1"/>
      </w:pPr>
      <w:r>
        <w:t xml:space="preserve">Часть VIII. Статусы после действий</w:t>
      </w:r>
    </w:p>
    <w:bookmarkStart w:id="120" w:name="после-заполнения-формы-поддержки"/>
    <w:p>
      <w:pPr>
        <w:pStyle w:val="Heading2"/>
      </w:pPr>
      <w:r>
        <w:t xml:space="preserve">После заполнения формы поддержки</w:t>
      </w:r>
    </w:p>
    <w:p>
      <w:pPr>
        <w:pStyle w:val="FirstParagraph"/>
      </w:pPr>
      <w:r>
        <w:t xml:space="preserve">Проверьте email.</w:t>
      </w:r>
    </w:p>
    <w:p>
      <w:pPr>
        <w:pStyle w:val="BodyText"/>
      </w:pPr>
      <w:r>
        <w:t xml:space="preserve">Поддержка будет добавлена в публичный счётчик после подтверждения адреса.</w:t>
      </w:r>
    </w:p>
    <w:p>
      <w:pPr>
        <w:pStyle w:val="BodyText"/>
      </w:pPr>
      <w:r>
        <w:t xml:space="preserve">Email используется для проверки уникальности. Он не связывается с выбранными вами партиями или вопросами.</w:t>
      </w:r>
    </w:p>
    <w:bookmarkEnd w:id="120"/>
    <w:bookmarkStart w:id="121" w:name="после-подтверждения"/>
    <w:p>
      <w:pPr>
        <w:pStyle w:val="Heading2"/>
      </w:pPr>
      <w:r>
        <w:t xml:space="preserve">После подтверждения</w:t>
      </w:r>
    </w:p>
    <w:p>
      <w:pPr>
        <w:pStyle w:val="FirstParagraph"/>
      </w:pPr>
      <w:r>
        <w:t xml:space="preserve">Поддержка подтверждена.</w:t>
      </w:r>
    </w:p>
    <w:p>
      <w:pPr>
        <w:pStyle w:val="BodyText"/>
      </w:pPr>
      <w:r>
        <w:t xml:space="preserve">Вы поддержали стандарт прозрачности, а не конкретную партию.</w:t>
      </w:r>
    </w:p>
    <w:p>
      <w:pPr>
        <w:pStyle w:val="BodyText"/>
      </w:pPr>
      <w:r>
        <w:t xml:space="preserve">Следующий необязательный шаг — выбрать адресата и самостоятельно отправить ему вопрос.</w:t>
      </w:r>
    </w:p>
    <w:bookmarkEnd w:id="121"/>
    <w:bookmarkStart w:id="122" w:name="после-генерации-письма"/>
    <w:p>
      <w:pPr>
        <w:pStyle w:val="Heading2"/>
      </w:pPr>
      <w:r>
        <w:t xml:space="preserve">После генерации письма</w:t>
      </w:r>
    </w:p>
    <w:p>
      <w:pPr>
        <w:pStyle w:val="FirstParagraph"/>
      </w:pPr>
      <w:r>
        <w:t xml:space="preserve">Текст подготовлен, но сообщение ещё не отправлено.</w:t>
      </w:r>
    </w:p>
    <w:p>
      <w:pPr>
        <w:pStyle w:val="BodyText"/>
      </w:pPr>
      <w:r>
        <w:t xml:space="preserve">Откройте выбранное приложение и самостоятельно завершите отправку.</w:t>
      </w:r>
    </w:p>
    <w:bookmarkEnd w:id="122"/>
    <w:bookmarkStart w:id="123" w:name="после-нажатия-сообщить-об-отправке"/>
    <w:p>
      <w:pPr>
        <w:pStyle w:val="Heading2"/>
      </w:pPr>
      <w:r>
        <w:t xml:space="preserve">После нажатия «сообщить об отправке»</w:t>
      </w:r>
    </w:p>
    <w:p>
      <w:pPr>
        <w:pStyle w:val="FirstParagraph"/>
      </w:pPr>
      <w:r>
        <w:t xml:space="preserve">Мы записали ваше заявление об отправке.</w:t>
      </w:r>
    </w:p>
    <w:p>
      <w:pPr>
        <w:pStyle w:val="BodyText"/>
      </w:pPr>
      <w:r>
        <w:t xml:space="preserve">Платформа не имеет технической возможности проверить доставку сообщения. Поэтому этот показатель публикуется отдельно от числа сформированных обращений.</w:t>
      </w:r>
    </w:p>
    <w:bookmarkEnd w:id="123"/>
    <w:bookmarkStart w:id="124" w:name="после-загрузки-ответа"/>
    <w:p>
      <w:pPr>
        <w:pStyle w:val="Heading2"/>
      </w:pPr>
      <w:r>
        <w:t xml:space="preserve">После загрузки ответа</w:t>
      </w:r>
    </w:p>
    <w:p>
      <w:pPr>
        <w:pStyle w:val="FirstParagraph"/>
      </w:pPr>
      <w:r>
        <w:t xml:space="preserve">Материал принят для проверки.</w:t>
      </w:r>
    </w:p>
    <w:p>
      <w:pPr>
        <w:pStyle w:val="BodyText"/>
      </w:pPr>
      <w:r>
        <w:t xml:space="preserve">Он не публикуется автоматически. Перед публикацией проверяются источник, контекст и отсутствие лишних персональных данных.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часть-ix.-публикации-в-социальных-сетях"/>
    <w:p>
      <w:pPr>
        <w:pStyle w:val="Heading1"/>
      </w:pPr>
      <w:r>
        <w:t xml:space="preserve">Часть IX. Публикации в социальных сетях</w:t>
      </w:r>
    </w:p>
    <w:bookmarkStart w:id="126" w:name="общий-пост"/>
    <w:p>
      <w:pPr>
        <w:pStyle w:val="Heading2"/>
      </w:pPr>
      <w:r>
        <w:t xml:space="preserve">Общий пост</w:t>
      </w:r>
    </w:p>
    <w:p>
      <w:pPr>
        <w:pStyle w:val="FirstParagraph"/>
      </w:pPr>
      <w:r>
        <w:t xml:space="preserve">До выборов партии должны объяснить не только свою программу, но и возможную коалицию, структуру правительства и первые действия после голосования.</w:t>
      </w:r>
    </w:p>
    <w:p>
      <w:pPr>
        <w:pStyle w:val="BodyText"/>
      </w:pPr>
      <w:r>
        <w:t xml:space="preserve">«Договор заранее» задаёт всем партиям одинаковые вопросы и позволяет гражданам самостоятельно направить запрос.</w:t>
      </w:r>
    </w:p>
    <w:p>
      <w:pPr>
        <w:pStyle w:val="BodyText"/>
      </w:pPr>
      <w:r>
        <w:t xml:space="preserve">Проект не рекомендует голосовать за или против какого-либо списка.</w:t>
      </w:r>
    </w:p>
    <w:p>
      <w:pPr>
        <w:pStyle w:val="BodyText"/>
      </w:pPr>
      <w:r>
        <w:t xml:space="preserve">{campaign_url}</w:t>
      </w:r>
    </w:p>
    <w:bookmarkEnd w:id="126"/>
    <w:bookmarkStart w:id="127" w:name="после-поддержки"/>
    <w:p>
      <w:pPr>
        <w:pStyle w:val="Heading2"/>
      </w:pPr>
      <w:r>
        <w:t xml:space="preserve">После поддержки</w:t>
      </w:r>
    </w:p>
    <w:p>
      <w:pPr>
        <w:pStyle w:val="FirstParagraph"/>
      </w:pPr>
      <w:r>
        <w:t xml:space="preserve">Я поддержал право граждан получить от партий ясные ответы до выборов.</w:t>
      </w:r>
    </w:p>
    <w:p>
      <w:pPr>
        <w:pStyle w:val="BodyText"/>
      </w:pPr>
      <w:r>
        <w:t xml:space="preserve">Это не поддержка конкретной партии. Это поддержка прозрачных правил.</w:t>
      </w:r>
    </w:p>
    <w:p>
      <w:pPr>
        <w:pStyle w:val="BodyText"/>
      </w:pPr>
      <w:r>
        <w:t xml:space="preserve">{campaign_url}</w:t>
      </w:r>
    </w:p>
    <w:bookmarkEnd w:id="127"/>
    <w:bookmarkStart w:id="128" w:name="после-обращения"/>
    <w:p>
      <w:pPr>
        <w:pStyle w:val="Heading2"/>
      </w:pPr>
      <w:r>
        <w:t xml:space="preserve">После обращения</w:t>
      </w:r>
    </w:p>
    <w:p>
      <w:pPr>
        <w:pStyle w:val="FirstParagraph"/>
      </w:pPr>
      <w:r>
        <w:t xml:space="preserve">Я направил партии {party_name} вопрос о её планах после выборов.</w:t>
      </w:r>
    </w:p>
    <w:p>
      <w:pPr>
        <w:pStyle w:val="BodyText"/>
      </w:pPr>
      <w:r>
        <w:t xml:space="preserve">Ответ должен быть известен до голосования, а не только после коалиционных переговоров.</w:t>
      </w:r>
    </w:p>
    <w:p>
      <w:pPr>
        <w:pStyle w:val="BodyText"/>
      </w:pPr>
      <w:r>
        <w:t xml:space="preserve">{campaign_url}</w:t>
      </w:r>
    </w:p>
    <w:bookmarkEnd w:id="128"/>
    <w:bookmarkStart w:id="129" w:name="публикация-показателей"/>
    <w:p>
      <w:pPr>
        <w:pStyle w:val="Heading2"/>
      </w:pPr>
      <w:r>
        <w:t xml:space="preserve">Публикация показателей</w:t>
      </w:r>
    </w:p>
    <w:p>
      <w:pPr>
        <w:pStyle w:val="FirstParagraph"/>
      </w:pPr>
      <w:r>
        <w:t xml:space="preserve">Подтверждённая поддержка стандарта: {supporter_count}</w:t>
      </w:r>
    </w:p>
    <w:p>
      <w:pPr>
        <w:pStyle w:val="BodyText"/>
      </w:pPr>
      <w:r>
        <w:t xml:space="preserve">Сформировано обращений: {generated_count}</w:t>
      </w:r>
    </w:p>
    <w:p>
      <w:pPr>
        <w:pStyle w:val="BodyText"/>
      </w:pPr>
      <w:r>
        <w:t xml:space="preserve">Пользователи сообщили об отправке: {reported_sent_count}</w:t>
      </w:r>
    </w:p>
    <w:p>
      <w:pPr>
        <w:pStyle w:val="BodyText"/>
      </w:pPr>
      <w:r>
        <w:t xml:space="preserve">Передано материалов с ответами: {submitted_response_count}</w:t>
      </w:r>
    </w:p>
    <w:p>
      <w:pPr>
        <w:pStyle w:val="BodyText"/>
      </w:pPr>
      <w:r>
        <w:t xml:space="preserve">Каждый показатель считается отдельно.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часть-x.-кто-мы"/>
    <w:p>
      <w:pPr>
        <w:pStyle w:val="Heading1"/>
      </w:pPr>
      <w:r>
        <w:t xml:space="preserve">Часть X. «Кто мы»</w:t>
      </w:r>
    </w:p>
    <w:p>
      <w:pPr>
        <w:pStyle w:val="FirstParagraph"/>
      </w:pPr>
      <w:r>
        <w:t xml:space="preserve">«Договор заранее» — независимая гражданская платформа, посвящённая прозрачности партийных обязательств до выборов.</w:t>
      </w:r>
    </w:p>
    <w:p>
      <w:pPr>
        <w:pStyle w:val="BodyText"/>
      </w:pPr>
      <w:r>
        <w:t xml:space="preserve">Проект:</w:t>
      </w:r>
    </w:p>
    <w:p>
      <w:pPr>
        <w:pStyle w:val="Compact"/>
        <w:numPr>
          <w:ilvl w:val="0"/>
          <w:numId w:val="1038"/>
        </w:numPr>
      </w:pPr>
      <w:r>
        <w:t xml:space="preserve">не является политической партией;</w:t>
      </w:r>
    </w:p>
    <w:p>
      <w:pPr>
        <w:pStyle w:val="Compact"/>
        <w:numPr>
          <w:ilvl w:val="0"/>
          <w:numId w:val="1038"/>
        </w:numPr>
      </w:pPr>
      <w:r>
        <w:t xml:space="preserve">не выдвигает кандидатов;</w:t>
      </w:r>
    </w:p>
    <w:p>
      <w:pPr>
        <w:pStyle w:val="Compact"/>
        <w:numPr>
          <w:ilvl w:val="0"/>
          <w:numId w:val="1038"/>
        </w:numPr>
      </w:pPr>
      <w:r>
        <w:t xml:space="preserve">не рекомендует голосовать за или против конкретного списка;</w:t>
      </w:r>
    </w:p>
    <w:p>
      <w:pPr>
        <w:pStyle w:val="Compact"/>
        <w:numPr>
          <w:ilvl w:val="0"/>
          <w:numId w:val="1038"/>
        </w:numPr>
      </w:pPr>
      <w:r>
        <w:t xml:space="preserve">задаёт партиям единый основной набор вопросов;</w:t>
      </w:r>
    </w:p>
    <w:p>
      <w:pPr>
        <w:pStyle w:val="Compact"/>
        <w:numPr>
          <w:ilvl w:val="0"/>
          <w:numId w:val="1038"/>
        </w:numPr>
      </w:pPr>
      <w:r>
        <w:t xml:space="preserve">позволяет пользователям самостоятельно формировать и отправлять обращения;</w:t>
      </w:r>
    </w:p>
    <w:p>
      <w:pPr>
        <w:pStyle w:val="Compact"/>
        <w:numPr>
          <w:ilvl w:val="0"/>
          <w:numId w:val="1038"/>
        </w:numPr>
      </w:pPr>
      <w:r>
        <w:t xml:space="preserve">не передаёт партиям базу сторонников;</w:t>
      </w:r>
    </w:p>
    <w:p>
      <w:pPr>
        <w:pStyle w:val="Compact"/>
        <w:numPr>
          <w:ilvl w:val="0"/>
          <w:numId w:val="1038"/>
        </w:numPr>
      </w:pPr>
      <w:r>
        <w:t xml:space="preserve">не хранит связь между подтверждённым сторонником и выбранным адресатом.</w:t>
      </w:r>
    </w:p>
    <w:bookmarkStart w:id="131" w:name="инициатор"/>
    <w:p>
      <w:pPr>
        <w:pStyle w:val="Heading2"/>
      </w:pPr>
      <w:r>
        <w:t xml:space="preserve">Инициатор</w:t>
      </w:r>
    </w:p>
    <w:p>
      <w:pPr>
        <w:pStyle w:val="FirstParagraph"/>
      </w:pPr>
      <w:r>
        <w:t xml:space="preserve">Проект инициирован:</w:t>
      </w:r>
    </w:p>
    <w:p>
      <w:pPr>
        <w:pStyle w:val="BodyText"/>
      </w:pPr>
      <w:r>
        <w:rPr>
          <w:b/>
          <w:bCs/>
        </w:rPr>
        <w:t xml:space="preserve">[ФИО либо юридическое название оператора]</w:t>
      </w:r>
    </w:p>
    <w:bookmarkEnd w:id="131"/>
    <w:bookmarkStart w:id="132" w:name="финансирование"/>
    <w:p>
      <w:pPr>
        <w:pStyle w:val="Heading2"/>
      </w:pPr>
      <w:r>
        <w:t xml:space="preserve">Финансирование</w:t>
      </w:r>
    </w:p>
    <w:p>
      <w:pPr>
        <w:pStyle w:val="FirstParagraph"/>
      </w:pPr>
      <w:r>
        <w:t xml:space="preserve">На дату публикации проект финансируется:</w:t>
      </w:r>
    </w:p>
    <w:p>
      <w:pPr>
        <w:pStyle w:val="BodyText"/>
      </w:pPr>
      <w:r>
        <w:rPr>
          <w:b/>
          <w:bCs/>
        </w:rPr>
        <w:t xml:space="preserve">[личными средствами / средствами зарегистрированной организации / иное]</w:t>
      </w:r>
    </w:p>
    <w:p>
      <w:pPr>
        <w:pStyle w:val="BodyText"/>
      </w:pPr>
      <w:r>
        <w:t xml:space="preserve">Публикуются:</w:t>
      </w:r>
    </w:p>
    <w:p>
      <w:pPr>
        <w:pStyle w:val="Compact"/>
        <w:numPr>
          <w:ilvl w:val="0"/>
          <w:numId w:val="1039"/>
        </w:numPr>
      </w:pPr>
      <w:r>
        <w:t xml:space="preserve">источник финансирования;</w:t>
      </w:r>
    </w:p>
    <w:p>
      <w:pPr>
        <w:pStyle w:val="Compact"/>
        <w:numPr>
          <w:ilvl w:val="0"/>
          <w:numId w:val="1039"/>
        </w:numPr>
      </w:pPr>
      <w:r>
        <w:t xml:space="preserve">расходы проекта;</w:t>
      </w:r>
    </w:p>
    <w:p>
      <w:pPr>
        <w:pStyle w:val="Compact"/>
        <w:numPr>
          <w:ilvl w:val="0"/>
          <w:numId w:val="1039"/>
        </w:numPr>
      </w:pPr>
      <w:r>
        <w:t xml:space="preserve">услуги, предоставленные бесплатно;</w:t>
      </w:r>
    </w:p>
    <w:p>
      <w:pPr>
        <w:pStyle w:val="Compact"/>
        <w:numPr>
          <w:ilvl w:val="0"/>
          <w:numId w:val="1039"/>
        </w:numPr>
      </w:pPr>
      <w:r>
        <w:t xml:space="preserve">потенциальные конфликты интересов;</w:t>
      </w:r>
    </w:p>
    <w:p>
      <w:pPr>
        <w:pStyle w:val="Compact"/>
        <w:numPr>
          <w:ilvl w:val="0"/>
          <w:numId w:val="1039"/>
        </w:numPr>
      </w:pPr>
      <w:r>
        <w:t xml:space="preserve">пожертвования, если их приём будет разрешён после юридической проверки.</w:t>
      </w:r>
    </w:p>
    <w:p>
      <w:pPr>
        <w:pStyle w:val="FirstParagraph"/>
      </w:pPr>
      <w:r>
        <w:t xml:space="preserve">До отдельной юридической и бухгалтерской настройки проект не принимает пожертвования на избирательную деятельность.</w:t>
      </w:r>
    </w:p>
    <w:bookmarkEnd w:id="132"/>
    <w:bookmarkStart w:id="133" w:name="связи"/>
    <w:p>
      <w:pPr>
        <w:pStyle w:val="Heading2"/>
      </w:pPr>
      <w:r>
        <w:t xml:space="preserve">Связи</w:t>
      </w:r>
    </w:p>
    <w:p>
      <w:pPr>
        <w:pStyle w:val="FirstParagraph"/>
      </w:pPr>
      <w:r>
        <w:t xml:space="preserve">Руководители и редакторы раскрывают:</w:t>
      </w:r>
    </w:p>
    <w:p>
      <w:pPr>
        <w:pStyle w:val="Compact"/>
        <w:numPr>
          <w:ilvl w:val="0"/>
          <w:numId w:val="1040"/>
        </w:numPr>
      </w:pPr>
      <w:r>
        <w:t xml:space="preserve">оплачиваемую работу на партии;</w:t>
      </w:r>
    </w:p>
    <w:p>
      <w:pPr>
        <w:pStyle w:val="Compact"/>
        <w:numPr>
          <w:ilvl w:val="0"/>
          <w:numId w:val="1040"/>
        </w:numPr>
      </w:pPr>
      <w:r>
        <w:t xml:space="preserve">официальные партийные должности;</w:t>
      </w:r>
    </w:p>
    <w:p>
      <w:pPr>
        <w:pStyle w:val="Compact"/>
        <w:numPr>
          <w:ilvl w:val="0"/>
          <w:numId w:val="1040"/>
        </w:numPr>
      </w:pPr>
      <w:r>
        <w:t xml:space="preserve">значимые услуги кандидатам;</w:t>
      </w:r>
    </w:p>
    <w:p>
      <w:pPr>
        <w:pStyle w:val="Compact"/>
        <w:numPr>
          <w:ilvl w:val="0"/>
          <w:numId w:val="1040"/>
        </w:numPr>
      </w:pPr>
      <w:r>
        <w:t xml:space="preserve">участие в избирательных штабах.</w:t>
      </w:r>
    </w:p>
    <w:bookmarkEnd w:id="133"/>
    <w:bookmarkStart w:id="134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t xml:space="preserve">Общие вопросы: [email]</w:t>
      </w:r>
      <w:r>
        <w:br/>
      </w:r>
      <w:r>
        <w:t xml:space="preserve">Конфиденциальность: [privacy email]</w:t>
      </w:r>
      <w:r>
        <w:br/>
      </w:r>
      <w:r>
        <w:t xml:space="preserve">Доступность: [accessibility email]</w:t>
      </w:r>
      <w:r>
        <w:br/>
      </w:r>
      <w:r>
        <w:t xml:space="preserve">Исправление данных: [corrections email]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3" w:name="часть-xi.-методология"/>
    <w:p>
      <w:pPr>
        <w:pStyle w:val="Heading1"/>
      </w:pPr>
      <w:r>
        <w:t xml:space="preserve">Часть XI. Методология</w:t>
      </w:r>
    </w:p>
    <w:bookmarkStart w:id="136" w:name="подтверждённая-поддержка"/>
    <w:p>
      <w:pPr>
        <w:pStyle w:val="Heading2"/>
      </w:pPr>
      <w:r>
        <w:t xml:space="preserve">Подтверждённая поддержка</w:t>
      </w:r>
    </w:p>
    <w:p>
      <w:pPr>
        <w:pStyle w:val="FirstParagraph"/>
      </w:pPr>
      <w:r>
        <w:t xml:space="preserve">Подтверждённой считается запись, для которой пользователь подтвердил email.</w:t>
      </w:r>
    </w:p>
    <w:p>
      <w:pPr>
        <w:pStyle w:val="BodyText"/>
      </w:pPr>
      <w:r>
        <w:t xml:space="preserve">Для предотвращения повторного учёта после подтверждения может храниться необратимый либо псевдонимизированный идентификатор адреса.</w:t>
      </w:r>
    </w:p>
    <w:p>
      <w:pPr>
        <w:pStyle w:val="BodyText"/>
      </w:pPr>
      <w:r>
        <w:t xml:space="preserve">Email подписчика на обновления хранится отдельно и только при отдельном согласии.</w:t>
      </w:r>
    </w:p>
    <w:bookmarkEnd w:id="136"/>
    <w:bookmarkStart w:id="137" w:name="сформированное-обращение"/>
    <w:p>
      <w:pPr>
        <w:pStyle w:val="Heading2"/>
      </w:pPr>
      <w:r>
        <w:t xml:space="preserve">Сформированное обращение</w:t>
      </w:r>
    </w:p>
    <w:p>
      <w:pPr>
        <w:pStyle w:val="FirstParagraph"/>
      </w:pPr>
      <w:r>
        <w:t xml:space="preserve">Обращение считается сформированным, когда пользователь выбрал адресата и вопросы и получил готовый текст.</w:t>
      </w:r>
    </w:p>
    <w:p>
      <w:pPr>
        <w:pStyle w:val="BodyText"/>
      </w:pPr>
      <w:r>
        <w:t xml:space="preserve">Это не означает отправку.</w:t>
      </w:r>
    </w:p>
    <w:bookmarkEnd w:id="137"/>
    <w:bookmarkStart w:id="138" w:name="переход-к-приложению"/>
    <w:p>
      <w:pPr>
        <w:pStyle w:val="Heading2"/>
      </w:pPr>
      <w:r>
        <w:t xml:space="preserve">Переход к приложению</w:t>
      </w:r>
    </w:p>
    <w:p>
      <w:pPr>
        <w:pStyle w:val="FirstParagraph"/>
      </w:pPr>
      <w:r>
        <w:t xml:space="preserve">Отдельно учитываются:</w:t>
      </w:r>
    </w:p>
    <w:p>
      <w:pPr>
        <w:pStyle w:val="Compact"/>
        <w:numPr>
          <w:ilvl w:val="0"/>
          <w:numId w:val="1041"/>
        </w:numPr>
      </w:pPr>
      <w:r>
        <w:t xml:space="preserve">открытие email;</w:t>
      </w:r>
    </w:p>
    <w:p>
      <w:pPr>
        <w:pStyle w:val="Compact"/>
        <w:numPr>
          <w:ilvl w:val="0"/>
          <w:numId w:val="1041"/>
        </w:numPr>
      </w:pPr>
      <w:r>
        <w:t xml:space="preserve">открытие WhatsApp;</w:t>
      </w:r>
    </w:p>
    <w:p>
      <w:pPr>
        <w:pStyle w:val="Compact"/>
        <w:numPr>
          <w:ilvl w:val="0"/>
          <w:numId w:val="1041"/>
        </w:numPr>
      </w:pPr>
      <w:r>
        <w:t xml:space="preserve">копирование текста.</w:t>
      </w:r>
    </w:p>
    <w:p>
      <w:pPr>
        <w:pStyle w:val="FirstParagraph"/>
      </w:pPr>
      <w:r>
        <w:t xml:space="preserve">Эти действия не считаются подтверждением доставки.</w:t>
      </w:r>
    </w:p>
    <w:bookmarkEnd w:id="138"/>
    <w:bookmarkStart w:id="139" w:name="заявленная-отправка"/>
    <w:p>
      <w:pPr>
        <w:pStyle w:val="Heading2"/>
      </w:pPr>
      <w:r>
        <w:t xml:space="preserve">Заявленная отправка</w:t>
      </w:r>
    </w:p>
    <w:p>
      <w:pPr>
        <w:pStyle w:val="FirstParagraph"/>
      </w:pPr>
      <w:r>
        <w:t xml:space="preserve">Показатель отражает заявление пользователя, что он завершил отправку.</w:t>
      </w:r>
    </w:p>
    <w:p>
      <w:pPr>
        <w:pStyle w:val="BodyText"/>
      </w:pPr>
      <w:r>
        <w:t xml:space="preserve">Он не называется «доставленным обращением».</w:t>
      </w:r>
    </w:p>
    <w:bookmarkEnd w:id="139"/>
    <w:bookmarkStart w:id="140" w:name="переданный-ответ"/>
    <w:p>
      <w:pPr>
        <w:pStyle w:val="Heading2"/>
      </w:pPr>
      <w:r>
        <w:t xml:space="preserve">Переданный ответ</w:t>
      </w:r>
    </w:p>
    <w:p>
      <w:pPr>
        <w:pStyle w:val="FirstParagraph"/>
      </w:pPr>
      <w:r>
        <w:t xml:space="preserve">Материал считается переданным после загрузки пользователем.</w:t>
      </w:r>
    </w:p>
    <w:p>
      <w:pPr>
        <w:pStyle w:val="BodyText"/>
      </w:pPr>
      <w:r>
        <w:t xml:space="preserve">Это не означает, что ответ официальный или достоверный.</w:t>
      </w:r>
    </w:p>
    <w:bookmarkEnd w:id="140"/>
    <w:bookmarkStart w:id="141" w:name="проверенный-ответ"/>
    <w:p>
      <w:pPr>
        <w:pStyle w:val="Heading2"/>
      </w:pPr>
      <w:r>
        <w:t xml:space="preserve">Проверенный ответ</w:t>
      </w:r>
    </w:p>
    <w:p>
      <w:pPr>
        <w:pStyle w:val="FirstParagraph"/>
      </w:pPr>
      <w:r>
        <w:t xml:space="preserve">Возможные статусы:</w:t>
      </w:r>
    </w:p>
    <w:p>
      <w:pPr>
        <w:pStyle w:val="Compact"/>
        <w:numPr>
          <w:ilvl w:val="0"/>
          <w:numId w:val="1042"/>
        </w:numPr>
      </w:pPr>
      <w:r>
        <w:t xml:space="preserve">получен от пользователя;</w:t>
      </w:r>
    </w:p>
    <w:p>
      <w:pPr>
        <w:pStyle w:val="Compact"/>
        <w:numPr>
          <w:ilvl w:val="0"/>
          <w:numId w:val="1042"/>
        </w:numPr>
      </w:pPr>
      <w:r>
        <w:t xml:space="preserve">канал подтверждён;</w:t>
      </w:r>
    </w:p>
    <w:p>
      <w:pPr>
        <w:pStyle w:val="Compact"/>
        <w:numPr>
          <w:ilvl w:val="0"/>
          <w:numId w:val="1042"/>
        </w:numPr>
      </w:pPr>
      <w:r>
        <w:t xml:space="preserve">запрошено подтверждение партии;</w:t>
      </w:r>
    </w:p>
    <w:p>
      <w:pPr>
        <w:pStyle w:val="Compact"/>
        <w:numPr>
          <w:ilvl w:val="0"/>
          <w:numId w:val="1042"/>
        </w:numPr>
      </w:pPr>
      <w:r>
        <w:t xml:space="preserve">подтверждён официальным адресатом;</w:t>
      </w:r>
    </w:p>
    <w:p>
      <w:pPr>
        <w:pStyle w:val="Compact"/>
        <w:numPr>
          <w:ilvl w:val="0"/>
          <w:numId w:val="1042"/>
        </w:numPr>
      </w:pPr>
      <w:r>
        <w:t xml:space="preserve">опубликован с оговоркой;</w:t>
      </w:r>
    </w:p>
    <w:p>
      <w:pPr>
        <w:pStyle w:val="Compact"/>
        <w:numPr>
          <w:ilvl w:val="0"/>
          <w:numId w:val="1042"/>
        </w:numPr>
      </w:pPr>
      <w:r>
        <w:t xml:space="preserve">отклонён;</w:t>
      </w:r>
    </w:p>
    <w:p>
      <w:pPr>
        <w:pStyle w:val="Compact"/>
        <w:numPr>
          <w:ilvl w:val="0"/>
          <w:numId w:val="1042"/>
        </w:numPr>
      </w:pPr>
      <w:r>
        <w:t xml:space="preserve">дубликат.</w:t>
      </w:r>
    </w:p>
    <w:bookmarkEnd w:id="141"/>
    <w:bookmarkStart w:id="142" w:name="запрещённая-аналитика"/>
    <w:p>
      <w:pPr>
        <w:pStyle w:val="Heading2"/>
      </w:pPr>
      <w:r>
        <w:t xml:space="preserve">Запрещённая аналитика</w:t>
      </w:r>
    </w:p>
    <w:p>
      <w:pPr>
        <w:pStyle w:val="FirstParagraph"/>
      </w:pPr>
      <w:r>
        <w:t xml:space="preserve">Платформа не публикует и не использует:</w:t>
      </w:r>
    </w:p>
    <w:p>
      <w:pPr>
        <w:pStyle w:val="Compact"/>
        <w:numPr>
          <w:ilvl w:val="0"/>
          <w:numId w:val="1043"/>
        </w:numPr>
      </w:pPr>
      <w:r>
        <w:t xml:space="preserve">число «потенциальных избирателей» конкретной партии;</w:t>
      </w:r>
    </w:p>
    <w:p>
      <w:pPr>
        <w:pStyle w:val="Compact"/>
        <w:numPr>
          <w:ilvl w:val="0"/>
          <w:numId w:val="1043"/>
        </w:numPr>
      </w:pPr>
      <w:r>
        <w:t xml:space="preserve">историю прошлых голосований пользователя;</w:t>
      </w:r>
    </w:p>
    <w:p>
      <w:pPr>
        <w:pStyle w:val="Compact"/>
        <w:numPr>
          <w:ilvl w:val="0"/>
          <w:numId w:val="1043"/>
        </w:numPr>
      </w:pPr>
      <w:r>
        <w:t xml:space="preserve">предполагаемое будущее голосование;</w:t>
      </w:r>
    </w:p>
    <w:p>
      <w:pPr>
        <w:pStyle w:val="Compact"/>
        <w:numPr>
          <w:ilvl w:val="0"/>
          <w:numId w:val="1043"/>
        </w:numPr>
      </w:pPr>
      <w:r>
        <w:t xml:space="preserve">политический профиль пользователя;</w:t>
      </w:r>
    </w:p>
    <w:p>
      <w:pPr>
        <w:pStyle w:val="Compact"/>
        <w:numPr>
          <w:ilvl w:val="0"/>
          <w:numId w:val="1043"/>
        </w:numPr>
      </w:pPr>
      <w:r>
        <w:t xml:space="preserve">аудитории, сегментированные по политическим взглядам.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9" w:name="часть-xii.-правила-публикации-ответов"/>
    <w:p>
      <w:pPr>
        <w:pStyle w:val="Heading1"/>
      </w:pPr>
      <w:r>
        <w:t xml:space="preserve">Часть XII. Правила публикации ответов</w:t>
      </w:r>
    </w:p>
    <w:bookmarkStart w:id="144" w:name="принимаемые-материалы"/>
    <w:p>
      <w:pPr>
        <w:pStyle w:val="Heading2"/>
      </w:pPr>
      <w:r>
        <w:t xml:space="preserve">Принимаемые материалы</w:t>
      </w:r>
    </w:p>
    <w:p>
      <w:pPr>
        <w:pStyle w:val="Compact"/>
        <w:numPr>
          <w:ilvl w:val="0"/>
          <w:numId w:val="1044"/>
        </w:numPr>
      </w:pPr>
      <w:r>
        <w:t xml:space="preserve">письмо с официального партийного домена;</w:t>
      </w:r>
    </w:p>
    <w:p>
      <w:pPr>
        <w:pStyle w:val="Compact"/>
        <w:numPr>
          <w:ilvl w:val="0"/>
          <w:numId w:val="1044"/>
        </w:numPr>
      </w:pPr>
      <w:r>
        <w:t xml:space="preserve">ответ официального парламентского офиса;</w:t>
      </w:r>
    </w:p>
    <w:p>
      <w:pPr>
        <w:pStyle w:val="Compact"/>
        <w:numPr>
          <w:ilvl w:val="0"/>
          <w:numId w:val="1044"/>
        </w:numPr>
      </w:pPr>
      <w:r>
        <w:t xml:space="preserve">сообщение с опубликованного официального номера;</w:t>
      </w:r>
    </w:p>
    <w:p>
      <w:pPr>
        <w:pStyle w:val="Compact"/>
        <w:numPr>
          <w:ilvl w:val="0"/>
          <w:numId w:val="1044"/>
        </w:numPr>
      </w:pPr>
      <w:r>
        <w:t xml:space="preserve">подписанный документ;</w:t>
      </w:r>
    </w:p>
    <w:p>
      <w:pPr>
        <w:pStyle w:val="Compact"/>
        <w:numPr>
          <w:ilvl w:val="0"/>
          <w:numId w:val="1044"/>
        </w:numPr>
      </w:pPr>
      <w:r>
        <w:t xml:space="preserve">публичное заявление, непосредственно отвечающее на вопрос;</w:t>
      </w:r>
    </w:p>
    <w:p>
      <w:pPr>
        <w:pStyle w:val="Compact"/>
        <w:numPr>
          <w:ilvl w:val="0"/>
          <w:numId w:val="1044"/>
        </w:numPr>
      </w:pPr>
      <w:r>
        <w:t xml:space="preserve">видеозапись либо стенограмма публичного выступления.</w:t>
      </w:r>
    </w:p>
    <w:bookmarkEnd w:id="144"/>
    <w:bookmarkStart w:id="145" w:name="требования-к-материалу"/>
    <w:p>
      <w:pPr>
        <w:pStyle w:val="Heading2"/>
      </w:pPr>
      <w:r>
        <w:t xml:space="preserve">Требования к материалу</w:t>
      </w:r>
    </w:p>
    <w:p>
      <w:pPr>
        <w:pStyle w:val="FirstParagraph"/>
      </w:pPr>
      <w:r>
        <w:t xml:space="preserve">Желательно предоставить:</w:t>
      </w:r>
    </w:p>
    <w:p>
      <w:pPr>
        <w:pStyle w:val="Compact"/>
        <w:numPr>
          <w:ilvl w:val="0"/>
          <w:numId w:val="1045"/>
        </w:numPr>
      </w:pPr>
      <w:r>
        <w:t xml:space="preserve">полный текст;</w:t>
      </w:r>
    </w:p>
    <w:p>
      <w:pPr>
        <w:pStyle w:val="Compact"/>
        <w:numPr>
          <w:ilvl w:val="0"/>
          <w:numId w:val="1045"/>
        </w:numPr>
      </w:pPr>
      <w:r>
        <w:t xml:space="preserve">дату;</w:t>
      </w:r>
    </w:p>
    <w:p>
      <w:pPr>
        <w:pStyle w:val="Compact"/>
        <w:numPr>
          <w:ilvl w:val="0"/>
          <w:numId w:val="1045"/>
        </w:numPr>
      </w:pPr>
      <w:r>
        <w:t xml:space="preserve">адрес отправителя;</w:t>
      </w:r>
    </w:p>
    <w:p>
      <w:pPr>
        <w:pStyle w:val="Compact"/>
        <w:numPr>
          <w:ilvl w:val="0"/>
          <w:numId w:val="1045"/>
        </w:numPr>
      </w:pPr>
      <w:r>
        <w:t xml:space="preserve">вопрос, на который отвечали;</w:t>
      </w:r>
    </w:p>
    <w:p>
      <w:pPr>
        <w:pStyle w:val="Compact"/>
        <w:numPr>
          <w:ilvl w:val="0"/>
          <w:numId w:val="1045"/>
        </w:numPr>
      </w:pPr>
      <w:r>
        <w:t xml:space="preserve">контекст цепочки сообщений;</w:t>
      </w:r>
    </w:p>
    <w:p>
      <w:pPr>
        <w:pStyle w:val="Compact"/>
        <w:numPr>
          <w:ilvl w:val="0"/>
          <w:numId w:val="1045"/>
        </w:numPr>
      </w:pPr>
      <w:r>
        <w:t xml:space="preserve">исходный файл.</w:t>
      </w:r>
    </w:p>
    <w:p>
      <w:pPr>
        <w:pStyle w:val="FirstParagraph"/>
      </w:pPr>
      <w:r>
        <w:t xml:space="preserve">Пользователю предлагается скрыть лишние телефонные номера, подписи и адреса сотрудников.</w:t>
      </w:r>
    </w:p>
    <w:bookmarkEnd w:id="145"/>
    <w:bookmarkStart w:id="146" w:name="публикация"/>
    <w:p>
      <w:pPr>
        <w:pStyle w:val="Heading2"/>
      </w:pPr>
      <w:r>
        <w:t xml:space="preserve">Публикация</w:t>
      </w:r>
    </w:p>
    <w:p>
      <w:pPr>
        <w:pStyle w:val="FirstParagraph"/>
      </w:pPr>
      <w:r>
        <w:t xml:space="preserve">До публикации:</w:t>
      </w:r>
    </w:p>
    <w:p>
      <w:pPr>
        <w:pStyle w:val="Compact"/>
        <w:numPr>
          <w:ilvl w:val="0"/>
          <w:numId w:val="1046"/>
        </w:numPr>
      </w:pPr>
      <w:r>
        <w:t xml:space="preserve">проверяется канал;</w:t>
      </w:r>
    </w:p>
    <w:p>
      <w:pPr>
        <w:pStyle w:val="Compact"/>
        <w:numPr>
          <w:ilvl w:val="0"/>
          <w:numId w:val="1046"/>
        </w:numPr>
      </w:pPr>
      <w:r>
        <w:t xml:space="preserve">удаляются несущественные персональные данные;</w:t>
      </w:r>
    </w:p>
    <w:p>
      <w:pPr>
        <w:pStyle w:val="Compact"/>
        <w:numPr>
          <w:ilvl w:val="0"/>
          <w:numId w:val="1046"/>
        </w:numPr>
      </w:pPr>
      <w:r>
        <w:t xml:space="preserve">партия получает возможность подтвердить либо уточнить ответ;</w:t>
      </w:r>
    </w:p>
    <w:p>
      <w:pPr>
        <w:pStyle w:val="Compact"/>
        <w:numPr>
          <w:ilvl w:val="0"/>
          <w:numId w:val="1046"/>
        </w:numPr>
      </w:pPr>
      <w:r>
        <w:t xml:space="preserve">материал получает точный статус.</w:t>
      </w:r>
    </w:p>
    <w:p>
      <w:pPr>
        <w:pStyle w:val="FirstParagraph"/>
      </w:pPr>
      <w:r>
        <w:t xml:space="preserve">Нельзя обозначать материал как «официальный ответ партии», если подтверждён только факт его получения с неизвестного или личного адреса.</w:t>
      </w:r>
    </w:p>
    <w:bookmarkEnd w:id="146"/>
    <w:bookmarkStart w:id="147" w:name="нейтральная-формулировка"/>
    <w:p>
      <w:pPr>
        <w:pStyle w:val="Heading2"/>
      </w:pPr>
      <w:r>
        <w:t xml:space="preserve">Нейтральная формулировка</w:t>
      </w:r>
    </w:p>
    <w:p>
      <w:pPr>
        <w:pStyle w:val="FirstParagraph"/>
      </w:pPr>
      <w:r>
        <w:t xml:space="preserve">Проект публикует:</w:t>
      </w:r>
    </w:p>
    <w:p>
      <w:pPr>
        <w:pStyle w:val="BlockText"/>
      </w:pPr>
      <w:r>
        <w:t xml:space="preserve">«В ответе от [канал] от [дата] указано следующее…»</w:t>
      </w:r>
    </w:p>
    <w:p>
      <w:pPr>
        <w:pStyle w:val="FirstParagraph"/>
      </w:pPr>
      <w:r>
        <w:t xml:space="preserve">Проект не публикует без доказательств оценки:</w:t>
      </w:r>
    </w:p>
    <w:p>
      <w:pPr>
        <w:pStyle w:val="Compact"/>
        <w:numPr>
          <w:ilvl w:val="0"/>
          <w:numId w:val="1047"/>
        </w:numPr>
      </w:pPr>
      <w:r>
        <w:t xml:space="preserve">«партия солгала»;</w:t>
      </w:r>
    </w:p>
    <w:p>
      <w:pPr>
        <w:pStyle w:val="Compact"/>
        <w:numPr>
          <w:ilvl w:val="0"/>
          <w:numId w:val="1047"/>
        </w:numPr>
      </w:pPr>
      <w:r>
        <w:t xml:space="preserve">«политик коррумпирован»;</w:t>
      </w:r>
    </w:p>
    <w:p>
      <w:pPr>
        <w:pStyle w:val="Compact"/>
        <w:numPr>
          <w:ilvl w:val="0"/>
          <w:numId w:val="1047"/>
        </w:numPr>
      </w:pPr>
      <w:r>
        <w:t xml:space="preserve">«ответ является преступлением»;</w:t>
      </w:r>
    </w:p>
    <w:p>
      <w:pPr>
        <w:pStyle w:val="Compact"/>
        <w:numPr>
          <w:ilvl w:val="0"/>
          <w:numId w:val="1047"/>
        </w:numPr>
      </w:pPr>
      <w:r>
        <w:t xml:space="preserve">«партия предала избирателей».</w:t>
      </w:r>
    </w:p>
    <w:bookmarkEnd w:id="147"/>
    <w:bookmarkStart w:id="148" w:name="право-на-ответ-и-исправление"/>
    <w:p>
      <w:pPr>
        <w:pStyle w:val="Heading2"/>
      </w:pPr>
      <w:r>
        <w:t xml:space="preserve">Право на ответ и исправление</w:t>
      </w:r>
    </w:p>
    <w:p>
      <w:pPr>
        <w:pStyle w:val="FirstParagraph"/>
      </w:pPr>
      <w:r>
        <w:t xml:space="preserve">Партия или политик могут:</w:t>
      </w:r>
    </w:p>
    <w:p>
      <w:pPr>
        <w:pStyle w:val="Compact"/>
        <w:numPr>
          <w:ilvl w:val="0"/>
          <w:numId w:val="1048"/>
        </w:numPr>
      </w:pPr>
      <w:r>
        <w:t xml:space="preserve">подтвердить подлинность;</w:t>
      </w:r>
    </w:p>
    <w:p>
      <w:pPr>
        <w:pStyle w:val="Compact"/>
        <w:numPr>
          <w:ilvl w:val="0"/>
          <w:numId w:val="1048"/>
        </w:numPr>
      </w:pPr>
      <w:r>
        <w:t xml:space="preserve">предоставить полный контекст;</w:t>
      </w:r>
    </w:p>
    <w:p>
      <w:pPr>
        <w:pStyle w:val="Compact"/>
        <w:numPr>
          <w:ilvl w:val="0"/>
          <w:numId w:val="1048"/>
        </w:numPr>
      </w:pPr>
      <w:r>
        <w:t xml:space="preserve">исправить техническую ошибку;</w:t>
      </w:r>
    </w:p>
    <w:p>
      <w:pPr>
        <w:pStyle w:val="Compact"/>
        <w:numPr>
          <w:ilvl w:val="0"/>
          <w:numId w:val="1048"/>
        </w:numPr>
      </w:pPr>
      <w:r>
        <w:t xml:space="preserve">опубликовать новую позицию;</w:t>
      </w:r>
    </w:p>
    <w:p>
      <w:pPr>
        <w:pStyle w:val="Compact"/>
        <w:numPr>
          <w:ilvl w:val="0"/>
          <w:numId w:val="1048"/>
        </w:numPr>
      </w:pPr>
      <w:r>
        <w:t xml:space="preserve">потребовать удаления личных данных.</w:t>
      </w:r>
    </w:p>
    <w:p>
      <w:pPr>
        <w:pStyle w:val="FirstParagraph"/>
      </w:pPr>
      <w:r>
        <w:t xml:space="preserve">История существенных изменений сохраняется.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62" w:name="часть-xiii.-политика-конфиденциальности"/>
    <w:p>
      <w:pPr>
        <w:pStyle w:val="Heading1"/>
      </w:pPr>
      <w:r>
        <w:t xml:space="preserve">Часть XIII. Политика конфиденциальности</w:t>
      </w:r>
    </w:p>
    <w:bookmarkStart w:id="150" w:name="оператор"/>
    <w:p>
      <w:pPr>
        <w:pStyle w:val="Heading2"/>
      </w:pPr>
      <w:r>
        <w:t xml:space="preserve">Оператор</w:t>
      </w:r>
    </w:p>
    <w:p>
      <w:pPr>
        <w:pStyle w:val="FirstParagraph"/>
      </w:pPr>
      <w:r>
        <w:t xml:space="preserve">Оператор данных: [имя / юридическое лицо]</w:t>
      </w:r>
      <w:r>
        <w:br/>
      </w:r>
      <w:r>
        <w:t xml:space="preserve">Контакт: [privacy email]</w:t>
      </w:r>
      <w:r>
        <w:br/>
      </w:r>
      <w:r>
        <w:t xml:space="preserve">Дата действия: [дата]</w:t>
      </w:r>
    </w:p>
    <w:bookmarkEnd w:id="150"/>
    <w:bookmarkStart w:id="155" w:name="какие-данные-собираются"/>
    <w:p>
      <w:pPr>
        <w:pStyle w:val="Heading2"/>
      </w:pPr>
      <w:r>
        <w:t xml:space="preserve">Какие данные собираются</w:t>
      </w:r>
    </w:p>
    <w:bookmarkStart w:id="151" w:name="для-подтверждения-поддержки"/>
    <w:p>
      <w:pPr>
        <w:pStyle w:val="Heading3"/>
      </w:pPr>
      <w:r>
        <w:t xml:space="preserve">Для подтверждения поддержки</w:t>
      </w:r>
    </w:p>
    <w:p>
      <w:pPr>
        <w:pStyle w:val="Compact"/>
        <w:numPr>
          <w:ilvl w:val="0"/>
          <w:numId w:val="1049"/>
        </w:numPr>
      </w:pPr>
      <w:r>
        <w:t xml:space="preserve">email;</w:t>
      </w:r>
    </w:p>
    <w:p>
      <w:pPr>
        <w:pStyle w:val="Compact"/>
        <w:numPr>
          <w:ilvl w:val="0"/>
          <w:numId w:val="1049"/>
        </w:numPr>
      </w:pPr>
      <w:r>
        <w:t xml:space="preserve">язык интерфейса;</w:t>
      </w:r>
    </w:p>
    <w:p>
      <w:pPr>
        <w:pStyle w:val="Compact"/>
        <w:numPr>
          <w:ilvl w:val="0"/>
          <w:numId w:val="1049"/>
        </w:numPr>
      </w:pPr>
      <w:r>
        <w:t xml:space="preserve">дата согласия;</w:t>
      </w:r>
    </w:p>
    <w:p>
      <w:pPr>
        <w:pStyle w:val="Compact"/>
        <w:numPr>
          <w:ilvl w:val="0"/>
          <w:numId w:val="1049"/>
        </w:numPr>
      </w:pPr>
      <w:r>
        <w:t xml:space="preserve">технические данные, необходимые для защиты от злоупотреблений.</w:t>
      </w:r>
    </w:p>
    <w:bookmarkEnd w:id="151"/>
    <w:bookmarkStart w:id="152" w:name="для-подписки-на-обновления"/>
    <w:p>
      <w:pPr>
        <w:pStyle w:val="Heading3"/>
      </w:pPr>
      <w:r>
        <w:t xml:space="preserve">Для подписки на обновления</w:t>
      </w:r>
    </w:p>
    <w:p>
      <w:pPr>
        <w:pStyle w:val="Compact"/>
        <w:numPr>
          <w:ilvl w:val="0"/>
          <w:numId w:val="1050"/>
        </w:numPr>
      </w:pPr>
      <w:r>
        <w:t xml:space="preserve">email;</w:t>
      </w:r>
    </w:p>
    <w:p>
      <w:pPr>
        <w:pStyle w:val="Compact"/>
        <w:numPr>
          <w:ilvl w:val="0"/>
          <w:numId w:val="1050"/>
        </w:numPr>
      </w:pPr>
      <w:r>
        <w:t xml:space="preserve">выбранные категории уведомлений;</w:t>
      </w:r>
    </w:p>
    <w:p>
      <w:pPr>
        <w:pStyle w:val="Compact"/>
        <w:numPr>
          <w:ilvl w:val="0"/>
          <w:numId w:val="1050"/>
        </w:numPr>
      </w:pPr>
      <w:r>
        <w:t xml:space="preserve">дата отдельного согласия.</w:t>
      </w:r>
    </w:p>
    <w:bookmarkEnd w:id="152"/>
    <w:bookmarkStart w:id="153" w:name="при-передаче-ответа"/>
    <w:p>
      <w:pPr>
        <w:pStyle w:val="Heading3"/>
      </w:pPr>
      <w:r>
        <w:t xml:space="preserve">При передаче ответа</w:t>
      </w:r>
    </w:p>
    <w:p>
      <w:pPr>
        <w:pStyle w:val="Compact"/>
        <w:numPr>
          <w:ilvl w:val="0"/>
          <w:numId w:val="1051"/>
        </w:numPr>
      </w:pPr>
      <w:r>
        <w:t xml:space="preserve">контактный email;</w:t>
      </w:r>
    </w:p>
    <w:p>
      <w:pPr>
        <w:pStyle w:val="Compact"/>
        <w:numPr>
          <w:ilvl w:val="0"/>
          <w:numId w:val="1051"/>
        </w:numPr>
      </w:pPr>
      <w:r>
        <w:t xml:space="preserve">текст и файлы;</w:t>
      </w:r>
    </w:p>
    <w:p>
      <w:pPr>
        <w:pStyle w:val="Compact"/>
        <w:numPr>
          <w:ilvl w:val="0"/>
          <w:numId w:val="1051"/>
        </w:numPr>
      </w:pPr>
      <w:r>
        <w:t xml:space="preserve">дата и канал получения;</w:t>
      </w:r>
    </w:p>
    <w:p>
      <w:pPr>
        <w:pStyle w:val="Compact"/>
        <w:numPr>
          <w:ilvl w:val="0"/>
          <w:numId w:val="1051"/>
        </w:numPr>
      </w:pPr>
      <w:r>
        <w:t xml:space="preserve">согласие на проверку и возможную публикацию.</w:t>
      </w:r>
    </w:p>
    <w:bookmarkEnd w:id="153"/>
    <w:bookmarkStart w:id="154" w:name="что-не-хранится"/>
    <w:p>
      <w:pPr>
        <w:pStyle w:val="Heading3"/>
      </w:pPr>
      <w:r>
        <w:t xml:space="preserve">Что не хранится</w:t>
      </w:r>
    </w:p>
    <w:p>
      <w:pPr>
        <w:pStyle w:val="FirstParagraph"/>
      </w:pPr>
      <w:r>
        <w:t xml:space="preserve">Если пользователь специально не просит об обратном, не хранятся:</w:t>
      </w:r>
    </w:p>
    <w:p>
      <w:pPr>
        <w:pStyle w:val="Compact"/>
        <w:numPr>
          <w:ilvl w:val="0"/>
          <w:numId w:val="1052"/>
        </w:numPr>
      </w:pPr>
      <w:r>
        <w:t xml:space="preserve">партия, которой он написал, вместе с его email;</w:t>
      </w:r>
    </w:p>
    <w:p>
      <w:pPr>
        <w:pStyle w:val="Compact"/>
        <w:numPr>
          <w:ilvl w:val="0"/>
          <w:numId w:val="1052"/>
        </w:numPr>
      </w:pPr>
      <w:r>
        <w:t xml:space="preserve">введённое в письмо имя;</w:t>
      </w:r>
    </w:p>
    <w:p>
      <w:pPr>
        <w:pStyle w:val="Compact"/>
        <w:numPr>
          <w:ilvl w:val="0"/>
          <w:numId w:val="1052"/>
        </w:numPr>
      </w:pPr>
      <w:r>
        <w:t xml:space="preserve">город;</w:t>
      </w:r>
    </w:p>
    <w:p>
      <w:pPr>
        <w:pStyle w:val="Compact"/>
        <w:numPr>
          <w:ilvl w:val="0"/>
          <w:numId w:val="1052"/>
        </w:numPr>
      </w:pPr>
      <w:r>
        <w:t xml:space="preserve">личное пояснение;</w:t>
      </w:r>
    </w:p>
    <w:p>
      <w:pPr>
        <w:pStyle w:val="Compact"/>
        <w:numPr>
          <w:ilvl w:val="0"/>
          <w:numId w:val="1052"/>
        </w:numPr>
      </w:pPr>
      <w:r>
        <w:t xml:space="preserve">полный персонализированный текст;</w:t>
      </w:r>
    </w:p>
    <w:p>
      <w:pPr>
        <w:pStyle w:val="Compact"/>
        <w:numPr>
          <w:ilvl w:val="0"/>
          <w:numId w:val="1052"/>
        </w:numPr>
      </w:pPr>
      <w:r>
        <w:t xml:space="preserve">предполагаемое электоральное предпочтение.</w:t>
      </w:r>
    </w:p>
    <w:bookmarkEnd w:id="154"/>
    <w:bookmarkEnd w:id="155"/>
    <w:bookmarkStart w:id="156" w:name="цели-обработки"/>
    <w:p>
      <w:pPr>
        <w:pStyle w:val="Heading2"/>
      </w:pPr>
      <w:r>
        <w:t xml:space="preserve">Цели обработки</w:t>
      </w:r>
    </w:p>
    <w:p>
      <w:pPr>
        <w:pStyle w:val="Compact"/>
        <w:numPr>
          <w:ilvl w:val="0"/>
          <w:numId w:val="1053"/>
        </w:numPr>
      </w:pPr>
      <w:r>
        <w:t xml:space="preserve">подтверждение уникальной поддержки;</w:t>
      </w:r>
    </w:p>
    <w:p>
      <w:pPr>
        <w:pStyle w:val="Compact"/>
        <w:numPr>
          <w:ilvl w:val="0"/>
          <w:numId w:val="1053"/>
        </w:numPr>
      </w:pPr>
      <w:r>
        <w:t xml:space="preserve">защита от накруток;</w:t>
      </w:r>
    </w:p>
    <w:p>
      <w:pPr>
        <w:pStyle w:val="Compact"/>
        <w:numPr>
          <w:ilvl w:val="0"/>
          <w:numId w:val="1053"/>
        </w:numPr>
      </w:pPr>
      <w:r>
        <w:t xml:space="preserve">предоставление запрошенных уведомлений;</w:t>
      </w:r>
    </w:p>
    <w:p>
      <w:pPr>
        <w:pStyle w:val="Compact"/>
        <w:numPr>
          <w:ilvl w:val="0"/>
          <w:numId w:val="1053"/>
        </w:numPr>
      </w:pPr>
      <w:r>
        <w:t xml:space="preserve">проверка переданных материалов;</w:t>
      </w:r>
    </w:p>
    <w:p>
      <w:pPr>
        <w:pStyle w:val="Compact"/>
        <w:numPr>
          <w:ilvl w:val="0"/>
          <w:numId w:val="1053"/>
        </w:numPr>
      </w:pPr>
      <w:r>
        <w:t xml:space="preserve">ведение агрегированной статистики;</w:t>
      </w:r>
    </w:p>
    <w:p>
      <w:pPr>
        <w:pStyle w:val="Compact"/>
        <w:numPr>
          <w:ilvl w:val="0"/>
          <w:numId w:val="1053"/>
        </w:numPr>
      </w:pPr>
      <w:r>
        <w:t xml:space="preserve">безопасность и расследование злоупотреблений.</w:t>
      </w:r>
    </w:p>
    <w:bookmarkEnd w:id="156"/>
    <w:bookmarkStart w:id="157" w:name="отдельность-согласий"/>
    <w:p>
      <w:pPr>
        <w:pStyle w:val="Heading2"/>
      </w:pPr>
      <w:r>
        <w:t xml:space="preserve">Отдельность согласий</w:t>
      </w:r>
    </w:p>
    <w:p>
      <w:pPr>
        <w:pStyle w:val="FirstParagraph"/>
      </w:pPr>
      <w:r>
        <w:t xml:space="preserve">Подтверждение поддержки не означает согласие получать кампанийные сообщения.</w:t>
      </w:r>
    </w:p>
    <w:p>
      <w:pPr>
        <w:pStyle w:val="BodyText"/>
      </w:pPr>
      <w:r>
        <w:t xml:space="preserve">Подписка на обновления оформляется отдельным необязательным флажком, не отмеченным заранее.</w:t>
      </w:r>
    </w:p>
    <w:p>
      <w:pPr>
        <w:pStyle w:val="BodyText"/>
      </w:pPr>
      <w:r>
        <w:t xml:space="preserve">Электронные сообщения с пропагандой могут подпадать под ограничения статьи 30А Закона о связи. Наиболее безопасная модель для проекта — направлять нетранзакционные сообщения только после явно выраженного согласия и предоставлять простой способ отказаться. Закон относит к рекламным сообщениям также массовые сообщения, целью которых является пропаганда.</w:t>
      </w:r>
    </w:p>
    <w:bookmarkEnd w:id="157"/>
    <w:bookmarkStart w:id="158" w:name="хранение"/>
    <w:p>
      <w:pPr>
        <w:pStyle w:val="Heading2"/>
      </w:pPr>
      <w:r>
        <w:t xml:space="preserve">Хранение</w:t>
      </w:r>
    </w:p>
    <w:p>
      <w:pPr>
        <w:pStyle w:val="Compact"/>
        <w:numPr>
          <w:ilvl w:val="0"/>
          <w:numId w:val="1054"/>
        </w:numPr>
      </w:pPr>
      <w:r>
        <w:t xml:space="preserve">неподтверждённый email удаляется не позднее чем через 14 дней;</w:t>
      </w:r>
    </w:p>
    <w:p>
      <w:pPr>
        <w:pStyle w:val="Compact"/>
        <w:numPr>
          <w:ilvl w:val="0"/>
          <w:numId w:val="1054"/>
        </w:numPr>
      </w:pPr>
      <w:r>
        <w:t xml:space="preserve">после подтверждения прямой email может быть удалён и заменён псевдонимизированным идентификатором, если пользователь не подписался на обновления;</w:t>
      </w:r>
    </w:p>
    <w:p>
      <w:pPr>
        <w:pStyle w:val="Compact"/>
        <w:numPr>
          <w:ilvl w:val="0"/>
          <w:numId w:val="1054"/>
        </w:numPr>
      </w:pPr>
      <w:r>
        <w:t xml:space="preserve">подписка хранится до отказа или завершения объявленного периода;</w:t>
      </w:r>
    </w:p>
    <w:p>
      <w:pPr>
        <w:pStyle w:val="Compact"/>
        <w:numPr>
          <w:ilvl w:val="0"/>
          <w:numId w:val="1054"/>
        </w:numPr>
      </w:pPr>
      <w:r>
        <w:t xml:space="preserve">материалы ответов хранятся столько, сколько необходимо для проверки и документирования;</w:t>
      </w:r>
    </w:p>
    <w:p>
      <w:pPr>
        <w:pStyle w:val="Compact"/>
        <w:numPr>
          <w:ilvl w:val="0"/>
          <w:numId w:val="1054"/>
        </w:numPr>
      </w:pPr>
      <w:r>
        <w:t xml:space="preserve">технические журналы удаляются по установленному графику.</w:t>
      </w:r>
    </w:p>
    <w:bookmarkEnd w:id="158"/>
    <w:bookmarkStart w:id="159" w:name="права-пользователя"/>
    <w:p>
      <w:pPr>
        <w:pStyle w:val="Heading2"/>
      </w:pPr>
      <w:r>
        <w:t xml:space="preserve">Права пользователя</w:t>
      </w:r>
    </w:p>
    <w:p>
      <w:pPr>
        <w:pStyle w:val="FirstParagraph"/>
      </w:pPr>
      <w:r>
        <w:t xml:space="preserve">Пользователь может запросить:</w:t>
      </w:r>
    </w:p>
    <w:p>
      <w:pPr>
        <w:pStyle w:val="Compact"/>
        <w:numPr>
          <w:ilvl w:val="0"/>
          <w:numId w:val="1055"/>
        </w:numPr>
      </w:pPr>
      <w:r>
        <w:t xml:space="preserve">доступ к данным;</w:t>
      </w:r>
    </w:p>
    <w:p>
      <w:pPr>
        <w:pStyle w:val="Compact"/>
        <w:numPr>
          <w:ilvl w:val="0"/>
          <w:numId w:val="1055"/>
        </w:numPr>
      </w:pPr>
      <w:r>
        <w:t xml:space="preserve">исправление;</w:t>
      </w:r>
    </w:p>
    <w:p>
      <w:pPr>
        <w:pStyle w:val="Compact"/>
        <w:numPr>
          <w:ilvl w:val="0"/>
          <w:numId w:val="1055"/>
        </w:numPr>
      </w:pPr>
      <w:r>
        <w:t xml:space="preserve">удаление;</w:t>
      </w:r>
    </w:p>
    <w:p>
      <w:pPr>
        <w:pStyle w:val="Compact"/>
        <w:numPr>
          <w:ilvl w:val="0"/>
          <w:numId w:val="1055"/>
        </w:numPr>
      </w:pPr>
      <w:r>
        <w:t xml:space="preserve">отказ от уведомлений;</w:t>
      </w:r>
    </w:p>
    <w:p>
      <w:pPr>
        <w:pStyle w:val="Compact"/>
        <w:numPr>
          <w:ilvl w:val="0"/>
          <w:numId w:val="1055"/>
        </w:numPr>
      </w:pPr>
      <w:r>
        <w:t xml:space="preserve">отзыв согласия на публикацию;</w:t>
      </w:r>
    </w:p>
    <w:p>
      <w:pPr>
        <w:pStyle w:val="Compact"/>
        <w:numPr>
          <w:ilvl w:val="0"/>
          <w:numId w:val="1055"/>
        </w:numPr>
      </w:pPr>
      <w:r>
        <w:t xml:space="preserve">объяснение цели обработки.</w:t>
      </w:r>
    </w:p>
    <w:bookmarkEnd w:id="159"/>
    <w:bookmarkStart w:id="160" w:name="передача-поставщикам"/>
    <w:p>
      <w:pPr>
        <w:pStyle w:val="Heading2"/>
      </w:pPr>
      <w:r>
        <w:t xml:space="preserve">Передача поставщикам</w:t>
      </w:r>
    </w:p>
    <w:p>
      <w:pPr>
        <w:pStyle w:val="FirstParagraph"/>
      </w:pPr>
      <w:r>
        <w:t xml:space="preserve">Данные могут обрабатываться поставщиками:</w:t>
      </w:r>
    </w:p>
    <w:p>
      <w:pPr>
        <w:pStyle w:val="Compact"/>
        <w:numPr>
          <w:ilvl w:val="0"/>
          <w:numId w:val="1056"/>
        </w:numPr>
      </w:pPr>
      <w:r>
        <w:t xml:space="preserve">хостинга;</w:t>
      </w:r>
    </w:p>
    <w:p>
      <w:pPr>
        <w:pStyle w:val="Compact"/>
        <w:numPr>
          <w:ilvl w:val="0"/>
          <w:numId w:val="1056"/>
        </w:numPr>
      </w:pPr>
      <w:r>
        <w:t xml:space="preserve">транзакционной почты;</w:t>
      </w:r>
    </w:p>
    <w:p>
      <w:pPr>
        <w:pStyle w:val="Compact"/>
        <w:numPr>
          <w:ilvl w:val="0"/>
          <w:numId w:val="1056"/>
        </w:numPr>
      </w:pPr>
      <w:r>
        <w:t xml:space="preserve">защиты от ботов;</w:t>
      </w:r>
    </w:p>
    <w:p>
      <w:pPr>
        <w:pStyle w:val="Compact"/>
        <w:numPr>
          <w:ilvl w:val="0"/>
          <w:numId w:val="1056"/>
        </w:numPr>
      </w:pPr>
      <w:r>
        <w:t xml:space="preserve">хранения файлов;</w:t>
      </w:r>
    </w:p>
    <w:p>
      <w:pPr>
        <w:pStyle w:val="Compact"/>
        <w:numPr>
          <w:ilvl w:val="0"/>
          <w:numId w:val="1056"/>
        </w:numPr>
      </w:pPr>
      <w:r>
        <w:t xml:space="preserve">мониторинга безопасности.</w:t>
      </w:r>
    </w:p>
    <w:p>
      <w:pPr>
        <w:pStyle w:val="FirstParagraph"/>
      </w:pPr>
      <w:r>
        <w:t xml:space="preserve">Поставщикам передаётся только необходимый объём данных.</w:t>
      </w:r>
    </w:p>
    <w:bookmarkEnd w:id="160"/>
    <w:bookmarkStart w:id="161" w:name="информационная-безопасность"/>
    <w:p>
      <w:pPr>
        <w:pStyle w:val="Heading2"/>
      </w:pPr>
      <w:r>
        <w:t xml:space="preserve">Информационная безопасность</w:t>
      </w:r>
    </w:p>
    <w:p>
      <w:pPr>
        <w:pStyle w:val="FirstParagraph"/>
      </w:pPr>
      <w:r>
        <w:t xml:space="preserve">Оператор ведёт документ определения базы данных и применяет меры, предусмотренные израильскими правилами информационной безопасности, с учётом масштаба и чувствительности информации. Требование иметь такой документ следует из Правил защиты частной жизни об информационной безопасности.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часть-xiv.-условия-использования"/>
    <w:p>
      <w:pPr>
        <w:pStyle w:val="Heading1"/>
      </w:pPr>
      <w:r>
        <w:t xml:space="preserve">Часть XIV. Условия использования</w:t>
      </w:r>
    </w:p>
    <w:bookmarkStart w:id="163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Платформа предоставляет информацию и технический инструмент для создания пользовательского обращения.</w:t>
      </w:r>
    </w:p>
    <w:p>
      <w:pPr>
        <w:pStyle w:val="BodyText"/>
      </w:pPr>
      <w:r>
        <w:t xml:space="preserve">Она:</w:t>
      </w:r>
    </w:p>
    <w:p>
      <w:pPr>
        <w:pStyle w:val="Compact"/>
        <w:numPr>
          <w:ilvl w:val="0"/>
          <w:numId w:val="1057"/>
        </w:numPr>
      </w:pPr>
      <w:r>
        <w:t xml:space="preserve">не представляет государственный орган;</w:t>
      </w:r>
    </w:p>
    <w:p>
      <w:pPr>
        <w:pStyle w:val="Compact"/>
        <w:numPr>
          <w:ilvl w:val="0"/>
          <w:numId w:val="1057"/>
        </w:numPr>
      </w:pPr>
      <w:r>
        <w:t xml:space="preserve">не является юридическим консультантом;</w:t>
      </w:r>
    </w:p>
    <w:p>
      <w:pPr>
        <w:pStyle w:val="Compact"/>
        <w:numPr>
          <w:ilvl w:val="0"/>
          <w:numId w:val="1057"/>
        </w:numPr>
      </w:pPr>
      <w:r>
        <w:t xml:space="preserve">не гарантирует ответ;</w:t>
      </w:r>
    </w:p>
    <w:p>
      <w:pPr>
        <w:pStyle w:val="Compact"/>
        <w:numPr>
          <w:ilvl w:val="0"/>
          <w:numId w:val="1057"/>
        </w:numPr>
      </w:pPr>
      <w:r>
        <w:t xml:space="preserve">не подтверждает доставку;</w:t>
      </w:r>
    </w:p>
    <w:p>
      <w:pPr>
        <w:pStyle w:val="Compact"/>
        <w:numPr>
          <w:ilvl w:val="0"/>
          <w:numId w:val="1057"/>
        </w:numPr>
      </w:pPr>
      <w:r>
        <w:t xml:space="preserve">не выражает позицию партии вместо неё.</w:t>
      </w:r>
    </w:p>
    <w:bookmarkEnd w:id="163"/>
    <w:bookmarkStart w:id="164" w:name="обязанности-пользователя"/>
    <w:p>
      <w:pPr>
        <w:pStyle w:val="Heading2"/>
      </w:pPr>
      <w:r>
        <w:t xml:space="preserve">Обязанности пользователя</w:t>
      </w:r>
    </w:p>
    <w:p>
      <w:pPr>
        <w:pStyle w:val="FirstParagraph"/>
      </w:pPr>
      <w:r>
        <w:t xml:space="preserve">Пользователь не должен:</w:t>
      </w:r>
    </w:p>
    <w:p>
      <w:pPr>
        <w:pStyle w:val="Compact"/>
        <w:numPr>
          <w:ilvl w:val="0"/>
          <w:numId w:val="1058"/>
        </w:numPr>
      </w:pPr>
      <w:r>
        <w:t xml:space="preserve">выдавать себя за другого человека;</w:t>
      </w:r>
    </w:p>
    <w:p>
      <w:pPr>
        <w:pStyle w:val="Compact"/>
        <w:numPr>
          <w:ilvl w:val="0"/>
          <w:numId w:val="1058"/>
        </w:numPr>
      </w:pPr>
      <w:r>
        <w:t xml:space="preserve">загружать поддельный материал;</w:t>
      </w:r>
    </w:p>
    <w:p>
      <w:pPr>
        <w:pStyle w:val="Compact"/>
        <w:numPr>
          <w:ilvl w:val="0"/>
          <w:numId w:val="1058"/>
        </w:numPr>
      </w:pPr>
      <w:r>
        <w:t xml:space="preserve">изменять ответ так, чтобы исказить смысл;</w:t>
      </w:r>
    </w:p>
    <w:p>
      <w:pPr>
        <w:pStyle w:val="Compact"/>
        <w:numPr>
          <w:ilvl w:val="0"/>
          <w:numId w:val="1058"/>
        </w:numPr>
      </w:pPr>
      <w:r>
        <w:t xml:space="preserve">публиковать ненужные персональные данные;</w:t>
      </w:r>
    </w:p>
    <w:p>
      <w:pPr>
        <w:pStyle w:val="Compact"/>
        <w:numPr>
          <w:ilvl w:val="0"/>
          <w:numId w:val="1058"/>
        </w:numPr>
      </w:pPr>
      <w:r>
        <w:t xml:space="preserve">использовать сервис для угроз или массового спама;</w:t>
      </w:r>
    </w:p>
    <w:p>
      <w:pPr>
        <w:pStyle w:val="Compact"/>
        <w:numPr>
          <w:ilvl w:val="0"/>
          <w:numId w:val="1058"/>
        </w:numPr>
      </w:pPr>
      <w:r>
        <w:t xml:space="preserve">обходить технические ограничения.</w:t>
      </w:r>
    </w:p>
    <w:bookmarkEnd w:id="164"/>
    <w:bookmarkStart w:id="165" w:name="материалы-пользователя"/>
    <w:p>
      <w:pPr>
        <w:pStyle w:val="Heading2"/>
      </w:pPr>
      <w:r>
        <w:t xml:space="preserve">Материалы пользователя</w:t>
      </w:r>
    </w:p>
    <w:p>
      <w:pPr>
        <w:pStyle w:val="FirstParagraph"/>
      </w:pPr>
      <w:r>
        <w:t xml:space="preserve">Загружая материал, пользователь разрешает:</w:t>
      </w:r>
    </w:p>
    <w:p>
      <w:pPr>
        <w:pStyle w:val="Compact"/>
        <w:numPr>
          <w:ilvl w:val="0"/>
          <w:numId w:val="1059"/>
        </w:numPr>
      </w:pPr>
      <w:r>
        <w:t xml:space="preserve">хранить его;</w:t>
      </w:r>
    </w:p>
    <w:p>
      <w:pPr>
        <w:pStyle w:val="Compact"/>
        <w:numPr>
          <w:ilvl w:val="0"/>
          <w:numId w:val="1059"/>
        </w:numPr>
      </w:pPr>
      <w:r>
        <w:t xml:space="preserve">проверить источник;</w:t>
      </w:r>
    </w:p>
    <w:p>
      <w:pPr>
        <w:pStyle w:val="Compact"/>
        <w:numPr>
          <w:ilvl w:val="0"/>
          <w:numId w:val="1059"/>
        </w:numPr>
      </w:pPr>
      <w:r>
        <w:t xml:space="preserve">скрыть личные данные;</w:t>
      </w:r>
    </w:p>
    <w:p>
      <w:pPr>
        <w:pStyle w:val="Compact"/>
        <w:numPr>
          <w:ilvl w:val="0"/>
          <w:numId w:val="1059"/>
        </w:numPr>
      </w:pPr>
      <w:r>
        <w:t xml:space="preserve">связаться с адресатом;</w:t>
      </w:r>
    </w:p>
    <w:p>
      <w:pPr>
        <w:pStyle w:val="Compact"/>
        <w:numPr>
          <w:ilvl w:val="0"/>
          <w:numId w:val="1059"/>
        </w:numPr>
      </w:pPr>
      <w:r>
        <w:t xml:space="preserve">опубликовать подтверждённую часть вместе с контекстом.</w:t>
      </w:r>
    </w:p>
    <w:p>
      <w:pPr>
        <w:pStyle w:val="FirstParagraph"/>
      </w:pPr>
      <w:r>
        <w:t xml:space="preserve">Передача материала не гарантирует публикацию.</w:t>
      </w:r>
    </w:p>
    <w:bookmarkEnd w:id="165"/>
    <w:bookmarkStart w:id="166" w:name="модерация"/>
    <w:p>
      <w:pPr>
        <w:pStyle w:val="Heading2"/>
      </w:pPr>
      <w:r>
        <w:t xml:space="preserve">Модерация</w:t>
      </w:r>
    </w:p>
    <w:p>
      <w:pPr>
        <w:pStyle w:val="FirstParagraph"/>
      </w:pPr>
      <w:r>
        <w:t xml:space="preserve">Оператор вправе:</w:t>
      </w:r>
    </w:p>
    <w:p>
      <w:pPr>
        <w:pStyle w:val="Compact"/>
        <w:numPr>
          <w:ilvl w:val="0"/>
          <w:numId w:val="1060"/>
        </w:numPr>
      </w:pPr>
      <w:r>
        <w:t xml:space="preserve">запросить подтверждение;</w:t>
      </w:r>
    </w:p>
    <w:p>
      <w:pPr>
        <w:pStyle w:val="Compact"/>
        <w:numPr>
          <w:ilvl w:val="0"/>
          <w:numId w:val="1060"/>
        </w:numPr>
      </w:pPr>
      <w:r>
        <w:t xml:space="preserve">скрыть персональные данные;</w:t>
      </w:r>
    </w:p>
    <w:p>
      <w:pPr>
        <w:pStyle w:val="Compact"/>
        <w:numPr>
          <w:ilvl w:val="0"/>
          <w:numId w:val="1060"/>
        </w:numPr>
      </w:pPr>
      <w:r>
        <w:t xml:space="preserve">отклонить материал;</w:t>
      </w:r>
    </w:p>
    <w:p>
      <w:pPr>
        <w:pStyle w:val="Compact"/>
        <w:numPr>
          <w:ilvl w:val="0"/>
          <w:numId w:val="1060"/>
        </w:numPr>
      </w:pPr>
      <w:r>
        <w:t xml:space="preserve">исправить техническую ошибку;</w:t>
      </w:r>
    </w:p>
    <w:p>
      <w:pPr>
        <w:pStyle w:val="Compact"/>
        <w:numPr>
          <w:ilvl w:val="0"/>
          <w:numId w:val="1060"/>
        </w:numPr>
      </w:pPr>
      <w:r>
        <w:t xml:space="preserve">приостановить функцию при злоупотреблении.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часть-xv.-заявление-о-доступности"/>
    <w:p>
      <w:pPr>
        <w:pStyle w:val="Heading1"/>
      </w:pPr>
      <w:r>
        <w:t xml:space="preserve">Часть XV. Заявление о доступности</w:t>
      </w:r>
    </w:p>
    <w:p>
      <w:pPr>
        <w:pStyle w:val="FirstParagraph"/>
      </w:pPr>
      <w:r>
        <w:t xml:space="preserve">Проект стремится соответствовать израильскому стандарту 5568 и уровню AA применимого WCAG.</w:t>
      </w:r>
    </w:p>
    <w:p>
      <w:pPr>
        <w:pStyle w:val="BodyText"/>
      </w:pPr>
      <w:r>
        <w:t xml:space="preserve">Официальные разъяснения указывают, что израильский стандарт веб-доступности основан на WCAG 2.0 уровня AA. Точная юридическая применимость и возможные исключения зависят от статуса оператора и характера услуги, поэтому перед запуском проводится отдельная проверка.</w:t>
      </w:r>
    </w:p>
    <w:p>
      <w:pPr>
        <w:pStyle w:val="BodyText"/>
      </w:pPr>
      <w:r>
        <w:t xml:space="preserve">На сайте предусмотрены:</w:t>
      </w:r>
    </w:p>
    <w:p>
      <w:pPr>
        <w:pStyle w:val="Compact"/>
        <w:numPr>
          <w:ilvl w:val="0"/>
          <w:numId w:val="1061"/>
        </w:numPr>
      </w:pPr>
      <w:r>
        <w:t xml:space="preserve">работа с клавиатуры;</w:t>
      </w:r>
    </w:p>
    <w:p>
      <w:pPr>
        <w:pStyle w:val="Compact"/>
        <w:numPr>
          <w:ilvl w:val="0"/>
          <w:numId w:val="1061"/>
        </w:numPr>
      </w:pPr>
      <w:r>
        <w:t xml:space="preserve">видимый фокус;</w:t>
      </w:r>
    </w:p>
    <w:p>
      <w:pPr>
        <w:pStyle w:val="Compact"/>
        <w:numPr>
          <w:ilvl w:val="0"/>
          <w:numId w:val="1061"/>
        </w:numPr>
      </w:pPr>
      <w:r>
        <w:t xml:space="preserve">семантическая структура;</w:t>
      </w:r>
    </w:p>
    <w:p>
      <w:pPr>
        <w:pStyle w:val="Compact"/>
        <w:numPr>
          <w:ilvl w:val="0"/>
          <w:numId w:val="1061"/>
        </w:numPr>
      </w:pPr>
      <w:r>
        <w:t xml:space="preserve">labels у форм;</w:t>
      </w:r>
    </w:p>
    <w:p>
      <w:pPr>
        <w:pStyle w:val="Compact"/>
        <w:numPr>
          <w:ilvl w:val="0"/>
          <w:numId w:val="1061"/>
        </w:numPr>
      </w:pPr>
      <w:r>
        <w:t xml:space="preserve">сообщения об ошибках для экранных дикторов;</w:t>
      </w:r>
    </w:p>
    <w:p>
      <w:pPr>
        <w:pStyle w:val="Compact"/>
        <w:numPr>
          <w:ilvl w:val="0"/>
          <w:numId w:val="1061"/>
        </w:numPr>
      </w:pPr>
      <w:r>
        <w:t xml:space="preserve">корректные RTL и LTR;</w:t>
      </w:r>
    </w:p>
    <w:p>
      <w:pPr>
        <w:pStyle w:val="Compact"/>
        <w:numPr>
          <w:ilvl w:val="0"/>
          <w:numId w:val="1061"/>
        </w:numPr>
      </w:pPr>
      <w:r>
        <w:t xml:space="preserve">достаточный контраст;</w:t>
      </w:r>
    </w:p>
    <w:p>
      <w:pPr>
        <w:pStyle w:val="Compact"/>
        <w:numPr>
          <w:ilvl w:val="0"/>
          <w:numId w:val="1061"/>
        </w:numPr>
      </w:pPr>
      <w:r>
        <w:t xml:space="preserve">масштабирование;</w:t>
      </w:r>
    </w:p>
    <w:p>
      <w:pPr>
        <w:pStyle w:val="Compact"/>
        <w:numPr>
          <w:ilvl w:val="0"/>
          <w:numId w:val="1061"/>
        </w:numPr>
      </w:pPr>
      <w:r>
        <w:t xml:space="preserve">альтернативный текст;</w:t>
      </w:r>
    </w:p>
    <w:p>
      <w:pPr>
        <w:pStyle w:val="Compact"/>
        <w:numPr>
          <w:ilvl w:val="0"/>
          <w:numId w:val="1061"/>
        </w:numPr>
      </w:pPr>
      <w:r>
        <w:t xml:space="preserve">поддержка reduced motion;</w:t>
      </w:r>
    </w:p>
    <w:p>
      <w:pPr>
        <w:pStyle w:val="Compact"/>
        <w:numPr>
          <w:ilvl w:val="0"/>
          <w:numId w:val="1061"/>
        </w:numPr>
      </w:pPr>
      <w:r>
        <w:t xml:space="preserve">заявление о доступности на всех языках.</w:t>
      </w:r>
    </w:p>
    <w:p>
      <w:pPr>
        <w:pStyle w:val="FirstParagraph"/>
      </w:pPr>
      <w:r>
        <w:t xml:space="preserve">Контакт: [accessibility email]</w:t>
      </w:r>
    </w:p>
    <w:p>
      <w:r>
        <w:pict>
          <v:rect style="width:0;height:1.5pt" o:hralign="center" o:hrstd="t" o:hr="t"/>
        </w:pict>
      </w:r>
    </w:p>
    <w:bookmarkEnd w:id="168"/>
    <w:bookmarkStart w:id="179" w:name="X7a030cc2270e0a6729478d10aed004147b84f56"/>
    <w:p>
      <w:pPr>
        <w:pStyle w:val="Heading1"/>
      </w:pPr>
      <w:r>
        <w:t xml:space="preserve">Часть XVI. Внутренние правила соответствия</w:t>
      </w:r>
    </w:p>
    <w:p>
      <w:pPr>
        <w:pStyle w:val="FirstParagraph"/>
      </w:pPr>
      <w:r>
        <w:t xml:space="preserve">Этот раздел не является политическим текстом сайта.</w:t>
      </w:r>
    </w:p>
    <w:bookmarkStart w:id="169" w:name="равное-обращение-к-партиям"/>
    <w:p>
      <w:pPr>
        <w:pStyle w:val="Heading2"/>
      </w:pPr>
      <w:r>
        <w:t xml:space="preserve">1. Равное обращение к партиям</w:t>
      </w:r>
    </w:p>
    <w:p>
      <w:pPr>
        <w:pStyle w:val="Compact"/>
        <w:numPr>
          <w:ilvl w:val="0"/>
          <w:numId w:val="1062"/>
        </w:numPr>
      </w:pPr>
      <w:r>
        <w:t xml:space="preserve">основной стандарт доступен всем зарегистрированным спискам;</w:t>
      </w:r>
    </w:p>
    <w:p>
      <w:pPr>
        <w:pStyle w:val="Compact"/>
        <w:numPr>
          <w:ilvl w:val="0"/>
          <w:numId w:val="1062"/>
        </w:numPr>
      </w:pPr>
      <w:r>
        <w:t xml:space="preserve">порядок вопросов одинаков;</w:t>
      </w:r>
    </w:p>
    <w:p>
      <w:pPr>
        <w:pStyle w:val="Compact"/>
        <w:numPr>
          <w:ilvl w:val="0"/>
          <w:numId w:val="1062"/>
        </w:numPr>
      </w:pPr>
      <w:r>
        <w:t xml:space="preserve">ответы публикуются по одной методологии;</w:t>
      </w:r>
    </w:p>
    <w:p>
      <w:pPr>
        <w:pStyle w:val="Compact"/>
        <w:numPr>
          <w:ilvl w:val="0"/>
          <w:numId w:val="1062"/>
        </w:numPr>
      </w:pPr>
      <w:r>
        <w:t xml:space="preserve">партиям предоставляется одинаковый срок и право на исправление;</w:t>
      </w:r>
    </w:p>
    <w:p>
      <w:pPr>
        <w:pStyle w:val="Compact"/>
        <w:numPr>
          <w:ilvl w:val="0"/>
          <w:numId w:val="1062"/>
        </w:numPr>
      </w:pPr>
      <w:r>
        <w:t xml:space="preserve">дополнительный коалиционный договор открыт любым партиям, заявившим о намерении совместно формировать правительство.</w:t>
      </w:r>
    </w:p>
    <w:bookmarkEnd w:id="169"/>
    <w:bookmarkStart w:id="170" w:name="запрет-рекомендаций"/>
    <w:p>
      <w:pPr>
        <w:pStyle w:val="Heading2"/>
      </w:pPr>
      <w:r>
        <w:t xml:space="preserve">2. Запрет рекомендаций</w:t>
      </w:r>
    </w:p>
    <w:p>
      <w:pPr>
        <w:pStyle w:val="FirstParagraph"/>
      </w:pPr>
      <w:r>
        <w:t xml:space="preserve">Платформа не публикует:</w:t>
      </w:r>
    </w:p>
    <w:p>
      <w:pPr>
        <w:pStyle w:val="Compact"/>
        <w:numPr>
          <w:ilvl w:val="0"/>
          <w:numId w:val="1063"/>
        </w:numPr>
      </w:pPr>
      <w:r>
        <w:t xml:space="preserve">«голосуйте за»;</w:t>
      </w:r>
    </w:p>
    <w:p>
      <w:pPr>
        <w:pStyle w:val="Compact"/>
        <w:numPr>
          <w:ilvl w:val="0"/>
          <w:numId w:val="1063"/>
        </w:numPr>
      </w:pPr>
      <w:r>
        <w:t xml:space="preserve">«не голосуйте за»;</w:t>
      </w:r>
    </w:p>
    <w:p>
      <w:pPr>
        <w:pStyle w:val="Compact"/>
        <w:numPr>
          <w:ilvl w:val="0"/>
          <w:numId w:val="1063"/>
        </w:numPr>
      </w:pPr>
      <w:r>
        <w:t xml:space="preserve">партийный рейтинг;</w:t>
      </w:r>
    </w:p>
    <w:p>
      <w:pPr>
        <w:pStyle w:val="Compact"/>
        <w:numPr>
          <w:ilvl w:val="0"/>
          <w:numId w:val="1063"/>
        </w:numPr>
      </w:pPr>
      <w:r>
        <w:t xml:space="preserve">знак одобрения;</w:t>
      </w:r>
    </w:p>
    <w:p>
      <w:pPr>
        <w:pStyle w:val="Compact"/>
        <w:numPr>
          <w:ilvl w:val="0"/>
          <w:numId w:val="1063"/>
        </w:numPr>
      </w:pPr>
      <w:r>
        <w:t xml:space="preserve">список «разрешённых» партий;</w:t>
      </w:r>
    </w:p>
    <w:p>
      <w:pPr>
        <w:pStyle w:val="Compact"/>
        <w:numPr>
          <w:ilvl w:val="0"/>
          <w:numId w:val="1063"/>
        </w:numPr>
      </w:pPr>
      <w:r>
        <w:t xml:space="preserve">персонализированные рекомендации.</w:t>
      </w:r>
    </w:p>
    <w:bookmarkEnd w:id="170"/>
    <w:bookmarkStart w:id="171" w:name="запрет-базы-электоральных-намерений"/>
    <w:p>
      <w:pPr>
        <w:pStyle w:val="Heading2"/>
      </w:pPr>
      <w:r>
        <w:t xml:space="preserve">3. Запрет базы электоральных намерений</w:t>
      </w:r>
    </w:p>
    <w:p>
      <w:pPr>
        <w:pStyle w:val="FirstParagraph"/>
      </w:pPr>
      <w:r>
        <w:t xml:space="preserve">Нельзя хранить вместе:</w:t>
      </w:r>
    </w:p>
    <w:p>
      <w:pPr>
        <w:pStyle w:val="Compact"/>
        <w:numPr>
          <w:ilvl w:val="0"/>
          <w:numId w:val="1064"/>
        </w:numPr>
      </w:pPr>
      <w:r>
        <w:t xml:space="preserve">email сторонника;</w:t>
      </w:r>
    </w:p>
    <w:p>
      <w:pPr>
        <w:pStyle w:val="Compact"/>
        <w:numPr>
          <w:ilvl w:val="0"/>
          <w:numId w:val="1064"/>
        </w:numPr>
      </w:pPr>
      <w:r>
        <w:t xml:space="preserve">выбранную им партию;</w:t>
      </w:r>
    </w:p>
    <w:p>
      <w:pPr>
        <w:pStyle w:val="Compact"/>
        <w:numPr>
          <w:ilvl w:val="0"/>
          <w:numId w:val="1064"/>
        </w:numPr>
      </w:pPr>
      <w:r>
        <w:t xml:space="preserve">историю запросов;</w:t>
      </w:r>
    </w:p>
    <w:p>
      <w:pPr>
        <w:pStyle w:val="Compact"/>
        <w:numPr>
          <w:ilvl w:val="0"/>
          <w:numId w:val="1064"/>
        </w:numPr>
      </w:pPr>
      <w:r>
        <w:t xml:space="preserve">прошлое голосование;</w:t>
      </w:r>
    </w:p>
    <w:p>
      <w:pPr>
        <w:pStyle w:val="Compact"/>
        <w:numPr>
          <w:ilvl w:val="0"/>
          <w:numId w:val="1064"/>
        </w:numPr>
      </w:pPr>
      <w:r>
        <w:t xml:space="preserve">вероятный будущий голос.</w:t>
      </w:r>
    </w:p>
    <w:p>
      <w:pPr>
        <w:pStyle w:val="FirstParagraph"/>
      </w:pPr>
      <w:r>
        <w:t xml:space="preserve">События генерации обращений хранятся только анонимно или агрегированно.</w:t>
      </w:r>
    </w:p>
    <w:bookmarkEnd w:id="171"/>
    <w:bookmarkStart w:id="172" w:name="запрет-политического-таргетинга"/>
    <w:p>
      <w:pPr>
        <w:pStyle w:val="Heading2"/>
      </w:pPr>
      <w:r>
        <w:t xml:space="preserve">4. Запрет политического таргетинга</w:t>
      </w:r>
    </w:p>
    <w:p>
      <w:pPr>
        <w:pStyle w:val="FirstParagraph"/>
      </w:pPr>
      <w:r>
        <w:t xml:space="preserve">Нельзя направлять рекламу или прямые сообщения аудиториям, выбранным по:</w:t>
      </w:r>
    </w:p>
    <w:p>
      <w:pPr>
        <w:pStyle w:val="Compact"/>
        <w:numPr>
          <w:ilvl w:val="0"/>
          <w:numId w:val="1065"/>
        </w:numPr>
      </w:pPr>
      <w:r>
        <w:t xml:space="preserve">политическим взглядам;</w:t>
      </w:r>
    </w:p>
    <w:p>
      <w:pPr>
        <w:pStyle w:val="Compact"/>
        <w:numPr>
          <w:ilvl w:val="0"/>
          <w:numId w:val="1065"/>
        </w:numPr>
      </w:pPr>
      <w:r>
        <w:t xml:space="preserve">поддержке партии;</w:t>
      </w:r>
    </w:p>
    <w:p>
      <w:pPr>
        <w:pStyle w:val="Compact"/>
        <w:numPr>
          <w:ilvl w:val="0"/>
          <w:numId w:val="1065"/>
        </w:numPr>
      </w:pPr>
      <w:r>
        <w:t xml:space="preserve">предполагаемому голосованию;</w:t>
      </w:r>
    </w:p>
    <w:p>
      <w:pPr>
        <w:pStyle w:val="Compact"/>
        <w:numPr>
          <w:ilvl w:val="0"/>
          <w:numId w:val="1065"/>
        </w:numPr>
      </w:pPr>
      <w:r>
        <w:t xml:space="preserve">участию в определённом политическом лагере.</w:t>
      </w:r>
    </w:p>
    <w:bookmarkEnd w:id="172"/>
    <w:bookmarkStart w:id="173" w:name="пользователь-отправляет-сообщение-сам"/>
    <w:p>
      <w:pPr>
        <w:pStyle w:val="Heading2"/>
      </w:pPr>
      <w:r>
        <w:t xml:space="preserve">5. Пользователь отправляет сообщение сам</w:t>
      </w:r>
    </w:p>
    <w:p>
      <w:pPr>
        <w:pStyle w:val="Compact"/>
        <w:numPr>
          <w:ilvl w:val="0"/>
          <w:numId w:val="1066"/>
        </w:numPr>
      </w:pPr>
      <w:r>
        <w:t xml:space="preserve">только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, WhatsApp deep link и копирование;</w:t>
      </w:r>
    </w:p>
    <w:p>
      <w:pPr>
        <w:pStyle w:val="Compact"/>
        <w:numPr>
          <w:ilvl w:val="0"/>
          <w:numId w:val="1066"/>
        </w:numPr>
      </w:pPr>
      <w:r>
        <w:t xml:space="preserve">никаких автоматических писем партиям от имени пользователя;</w:t>
      </w:r>
    </w:p>
    <w:p>
      <w:pPr>
        <w:pStyle w:val="Compact"/>
        <w:numPr>
          <w:ilvl w:val="0"/>
          <w:numId w:val="1066"/>
        </w:numPr>
      </w:pPr>
      <w:r>
        <w:t xml:space="preserve">никаких массовых BCC-рассылок;</w:t>
      </w:r>
    </w:p>
    <w:p>
      <w:pPr>
        <w:pStyle w:val="Compact"/>
        <w:numPr>
          <w:ilvl w:val="0"/>
          <w:numId w:val="1066"/>
        </w:numPr>
      </w:pPr>
      <w:r>
        <w:t xml:space="preserve">никаких сообщений на частные номера.</w:t>
      </w:r>
    </w:p>
    <w:bookmarkEnd w:id="173"/>
    <w:bookmarkStart w:id="174" w:name="контроль-расходов"/>
    <w:p>
      <w:pPr>
        <w:pStyle w:val="Heading2"/>
      </w:pPr>
      <w:r>
        <w:t xml:space="preserve">6. Контроль расходов</w:t>
      </w:r>
    </w:p>
    <w:p>
      <w:pPr>
        <w:pStyle w:val="FirstParagraph"/>
      </w:pPr>
      <w:r>
        <w:t xml:space="preserve">Ведётся учёт:</w:t>
      </w:r>
    </w:p>
    <w:p>
      <w:pPr>
        <w:pStyle w:val="Compact"/>
        <w:numPr>
          <w:ilvl w:val="0"/>
          <w:numId w:val="1067"/>
        </w:numPr>
      </w:pPr>
      <w:r>
        <w:t xml:space="preserve">оплаченных услуг;</w:t>
      </w:r>
    </w:p>
    <w:p>
      <w:pPr>
        <w:pStyle w:val="Compact"/>
        <w:numPr>
          <w:ilvl w:val="0"/>
          <w:numId w:val="1067"/>
        </w:numPr>
      </w:pPr>
      <w:r>
        <w:t xml:space="preserve">рекламы;</w:t>
      </w:r>
    </w:p>
    <w:p>
      <w:pPr>
        <w:pStyle w:val="Compact"/>
        <w:numPr>
          <w:ilvl w:val="0"/>
          <w:numId w:val="1067"/>
        </w:numPr>
      </w:pPr>
      <w:r>
        <w:t xml:space="preserve">работы подрядчиков;</w:t>
      </w:r>
    </w:p>
    <w:p>
      <w:pPr>
        <w:pStyle w:val="Compact"/>
        <w:numPr>
          <w:ilvl w:val="0"/>
          <w:numId w:val="1067"/>
        </w:numPr>
      </w:pPr>
      <w:r>
        <w:t xml:space="preserve">безвозмездных услуг;</w:t>
      </w:r>
    </w:p>
    <w:p>
      <w:pPr>
        <w:pStyle w:val="Compact"/>
        <w:numPr>
          <w:ilvl w:val="0"/>
          <w:numId w:val="1067"/>
        </w:numPr>
      </w:pPr>
      <w:r>
        <w:t xml:space="preserve">предоставленной инфраструктуры;</w:t>
      </w:r>
    </w:p>
    <w:p>
      <w:pPr>
        <w:pStyle w:val="Compact"/>
        <w:numPr>
          <w:ilvl w:val="0"/>
          <w:numId w:val="1067"/>
        </w:numPr>
      </w:pPr>
      <w:r>
        <w:t xml:space="preserve">стоимости дизайна и разработки;</w:t>
      </w:r>
    </w:p>
    <w:p>
      <w:pPr>
        <w:pStyle w:val="Compact"/>
        <w:numPr>
          <w:ilvl w:val="0"/>
          <w:numId w:val="1067"/>
        </w:numPr>
      </w:pPr>
      <w:r>
        <w:t xml:space="preserve">пожертвований и обязательств.</w:t>
      </w:r>
    </w:p>
    <w:p>
      <w:pPr>
        <w:pStyle w:val="FirstParagraph"/>
      </w:pPr>
      <w:r>
        <w:t xml:space="preserve">Внутреннее предупреждение юристу и бухгалтеру должно срабатывать задолго до достижения официального порога 120 400 ₪.</w:t>
      </w:r>
    </w:p>
    <w:p>
      <w:pPr>
        <w:pStyle w:val="BodyText"/>
      </w:pPr>
      <w:r>
        <w:t xml:space="preserve">Если фактическая деятельность соответствует определению избирательной деятельности, нельзя искусственно дробить расходы, скрывать натуральные вклады или использовать несколько связанных субъектов для обхода требований.</w:t>
      </w:r>
    </w:p>
    <w:bookmarkEnd w:id="174"/>
    <w:bookmarkStart w:id="175" w:name="пожертвования"/>
    <w:p>
      <w:pPr>
        <w:pStyle w:val="Heading2"/>
      </w:pPr>
      <w:r>
        <w:t xml:space="preserve">7. Пожертвования</w:t>
      </w:r>
    </w:p>
    <w:p>
      <w:pPr>
        <w:pStyle w:val="FirstParagraph"/>
      </w:pPr>
      <w:r>
        <w:t xml:space="preserve">До юридической проверки:</w:t>
      </w:r>
    </w:p>
    <w:p>
      <w:pPr>
        <w:pStyle w:val="Compact"/>
        <w:numPr>
          <w:ilvl w:val="0"/>
          <w:numId w:val="1068"/>
        </w:numPr>
      </w:pPr>
      <w:r>
        <w:t xml:space="preserve">пожертвования не принимаются;</w:t>
      </w:r>
    </w:p>
    <w:p>
      <w:pPr>
        <w:pStyle w:val="Compact"/>
        <w:numPr>
          <w:ilvl w:val="0"/>
          <w:numId w:val="1068"/>
        </w:numPr>
      </w:pPr>
      <w:r>
        <w:t xml:space="preserve">краудфандинг не запускается;</w:t>
      </w:r>
    </w:p>
    <w:p>
      <w:pPr>
        <w:pStyle w:val="Compact"/>
        <w:numPr>
          <w:ilvl w:val="0"/>
          <w:numId w:val="1068"/>
        </w:numPr>
      </w:pPr>
      <w:r>
        <w:t xml:space="preserve">расходы оплачиваются из прозрачного заявленного источника;</w:t>
      </w:r>
    </w:p>
    <w:p>
      <w:pPr>
        <w:pStyle w:val="Compact"/>
        <w:numPr>
          <w:ilvl w:val="0"/>
          <w:numId w:val="1068"/>
        </w:numPr>
      </w:pPr>
      <w:r>
        <w:t xml:space="preserve">сохраняются счета и документы.</w:t>
      </w:r>
    </w:p>
    <w:bookmarkEnd w:id="175"/>
    <w:bookmarkStart w:id="176" w:name="контроль-базы-данных"/>
    <w:p>
      <w:pPr>
        <w:pStyle w:val="Heading2"/>
      </w:pPr>
      <w:r>
        <w:t xml:space="preserve">8. Контроль базы данных</w:t>
      </w:r>
    </w:p>
    <w:p>
      <w:pPr>
        <w:pStyle w:val="FirstParagraph"/>
      </w:pPr>
      <w:r>
        <w:t xml:space="preserve">До достижения 50 000 подтверждённых записей проводится повторная privacy review.</w:t>
      </w:r>
    </w:p>
    <w:p>
      <w:pPr>
        <w:pStyle w:val="BodyText"/>
      </w:pPr>
      <w:r>
        <w:t xml:space="preserve">До достижения 90 000:</w:t>
      </w:r>
    </w:p>
    <w:p>
      <w:pPr>
        <w:pStyle w:val="Compact"/>
        <w:numPr>
          <w:ilvl w:val="0"/>
          <w:numId w:val="1069"/>
        </w:numPr>
      </w:pPr>
      <w:r>
        <w:t xml:space="preserve">готовится документ для возможного уведомления Управления по защите частной жизни;</w:t>
      </w:r>
    </w:p>
    <w:p>
      <w:pPr>
        <w:pStyle w:val="Compact"/>
        <w:numPr>
          <w:ilvl w:val="0"/>
          <w:numId w:val="1069"/>
        </w:numPr>
      </w:pPr>
      <w:r>
        <w:t xml:space="preserve">проверяется правовой статус псевдонимизированных записей;</w:t>
      </w:r>
    </w:p>
    <w:p>
      <w:pPr>
        <w:pStyle w:val="Compact"/>
        <w:numPr>
          <w:ilvl w:val="0"/>
          <w:numId w:val="1069"/>
        </w:numPr>
      </w:pPr>
      <w:r>
        <w:t xml:space="preserve">проверяется необходимость DPO;</w:t>
      </w:r>
    </w:p>
    <w:p>
      <w:pPr>
        <w:pStyle w:val="Compact"/>
        <w:numPr>
          <w:ilvl w:val="0"/>
          <w:numId w:val="1069"/>
        </w:numPr>
      </w:pPr>
      <w:r>
        <w:t xml:space="preserve">проводится тест восстановления и аудит доступа.</w:t>
      </w:r>
    </w:p>
    <w:p>
      <w:pPr>
        <w:pStyle w:val="FirstParagraph"/>
      </w:pPr>
      <w:r>
        <w:t xml:space="preserve">При достижении применимого порога уведомление подаётся в установленный срок.</w:t>
      </w:r>
    </w:p>
    <w:bookmarkEnd w:id="176"/>
    <w:bookmarkStart w:id="177" w:name="почтовые-сообщения"/>
    <w:p>
      <w:pPr>
        <w:pStyle w:val="Heading2"/>
      </w:pPr>
      <w:r>
        <w:t xml:space="preserve">9. Почтовые сообщения</w:t>
      </w:r>
    </w:p>
    <w:p>
      <w:pPr>
        <w:pStyle w:val="FirstParagraph"/>
      </w:pPr>
      <w:r>
        <w:t xml:space="preserve">Без отдельного согласия отправляются только:</w:t>
      </w:r>
    </w:p>
    <w:p>
      <w:pPr>
        <w:pStyle w:val="Compact"/>
        <w:numPr>
          <w:ilvl w:val="0"/>
          <w:numId w:val="1070"/>
        </w:numPr>
      </w:pPr>
      <w:r>
        <w:t xml:space="preserve">подтверждение email;</w:t>
      </w:r>
    </w:p>
    <w:p>
      <w:pPr>
        <w:pStyle w:val="Compact"/>
        <w:numPr>
          <w:ilvl w:val="0"/>
          <w:numId w:val="1070"/>
        </w:numPr>
      </w:pPr>
      <w:r>
        <w:t xml:space="preserve">сообщение безопасности;</w:t>
      </w:r>
    </w:p>
    <w:p>
      <w:pPr>
        <w:pStyle w:val="Compact"/>
        <w:numPr>
          <w:ilvl w:val="0"/>
          <w:numId w:val="1070"/>
        </w:numPr>
      </w:pPr>
      <w:r>
        <w:t xml:space="preserve">ответ на запрос пользователя;</w:t>
      </w:r>
    </w:p>
    <w:p>
      <w:pPr>
        <w:pStyle w:val="Compact"/>
        <w:numPr>
          <w:ilvl w:val="0"/>
          <w:numId w:val="1070"/>
        </w:numPr>
      </w:pPr>
      <w:r>
        <w:t xml:space="preserve">подтверждение удаления данных.</w:t>
      </w:r>
    </w:p>
    <w:p>
      <w:pPr>
        <w:pStyle w:val="FirstParagraph"/>
      </w:pPr>
      <w:r>
        <w:t xml:space="preserve">Новости и призывы к действию отправляются только подписчикам, давшим отдельное согласие.</w:t>
      </w:r>
    </w:p>
    <w:bookmarkEnd w:id="177"/>
    <w:bookmarkStart w:id="178" w:name="юридические-контрольные-точки"/>
    <w:p>
      <w:pPr>
        <w:pStyle w:val="Heading2"/>
      </w:pPr>
      <w:r>
        <w:t xml:space="preserve">10. Юридические контрольные точки</w:t>
      </w:r>
    </w:p>
    <w:p>
      <w:pPr>
        <w:pStyle w:val="FirstParagraph"/>
      </w:pPr>
      <w:r>
        <w:t xml:space="preserve">Обязательная консультация израильского юриста проводится:</w:t>
      </w:r>
    </w:p>
    <w:p>
      <w:pPr>
        <w:pStyle w:val="Compact"/>
        <w:numPr>
          <w:ilvl w:val="0"/>
          <w:numId w:val="1071"/>
        </w:numPr>
      </w:pPr>
      <w:r>
        <w:t xml:space="preserve">до публичного запуска;</w:t>
      </w:r>
    </w:p>
    <w:p>
      <w:pPr>
        <w:pStyle w:val="Compact"/>
        <w:numPr>
          <w:ilvl w:val="0"/>
          <w:numId w:val="1071"/>
        </w:numPr>
      </w:pPr>
      <w:r>
        <w:t xml:space="preserve">после официального объявления избирательного периода;</w:t>
      </w:r>
    </w:p>
    <w:p>
      <w:pPr>
        <w:pStyle w:val="Compact"/>
        <w:numPr>
          <w:ilvl w:val="0"/>
          <w:numId w:val="1071"/>
        </w:numPr>
      </w:pPr>
      <w:r>
        <w:t xml:space="preserve">до покупки политической рекламы;</w:t>
      </w:r>
    </w:p>
    <w:p>
      <w:pPr>
        <w:pStyle w:val="Compact"/>
        <w:numPr>
          <w:ilvl w:val="0"/>
          <w:numId w:val="1071"/>
        </w:numPr>
      </w:pPr>
      <w:r>
        <w:t xml:space="preserve">до приёма пожертвований;</w:t>
      </w:r>
    </w:p>
    <w:p>
      <w:pPr>
        <w:pStyle w:val="Compact"/>
        <w:numPr>
          <w:ilvl w:val="0"/>
          <w:numId w:val="1071"/>
        </w:numPr>
      </w:pPr>
      <w:r>
        <w:t xml:space="preserve">до публикации партийных сравнений;</w:t>
      </w:r>
    </w:p>
    <w:p>
      <w:pPr>
        <w:pStyle w:val="Compact"/>
        <w:numPr>
          <w:ilvl w:val="0"/>
          <w:numId w:val="1071"/>
        </w:numPr>
      </w:pPr>
      <w:r>
        <w:t xml:space="preserve">при достижении существенного объёма расходов;</w:t>
      </w:r>
    </w:p>
    <w:p>
      <w:pPr>
        <w:pStyle w:val="Compact"/>
        <w:numPr>
          <w:ilvl w:val="0"/>
          <w:numId w:val="1071"/>
        </w:numPr>
      </w:pPr>
      <w:r>
        <w:t xml:space="preserve">при достижении 90 000 подтверждённых сторонников;</w:t>
      </w:r>
    </w:p>
    <w:p>
      <w:pPr>
        <w:pStyle w:val="Compact"/>
        <w:numPr>
          <w:ilvl w:val="0"/>
          <w:numId w:val="1071"/>
        </w:numPr>
      </w:pPr>
      <w:r>
        <w:t xml:space="preserve">перед передачей базы или управления другой организации.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3" w:name="итоговая-карта-сайта"/>
    <w:p>
      <w:pPr>
        <w:pStyle w:val="Heading1"/>
      </w:pPr>
      <w:r>
        <w:t xml:space="preserve">Итоговая карта сайта</w:t>
      </w:r>
    </w:p>
    <w:bookmarkStart w:id="180" w:name="публичные-страницы"/>
    <w:p>
      <w:pPr>
        <w:pStyle w:val="Heading2"/>
      </w:pPr>
      <w:r>
        <w:t xml:space="preserve">Публичные страницы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</w:t>
      </w:r>
      <w:r>
        <w:t xml:space="preserve"> </w:t>
      </w:r>
      <w:r>
        <w:t xml:space="preserve">— главная;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/[locale]/standard</w:t>
      </w:r>
      <w:r>
        <w:t xml:space="preserve"> </w:t>
      </w:r>
      <w:r>
        <w:t xml:space="preserve">— стандарт для всех партий;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/[locale]/coalition-agreement</w:t>
      </w:r>
      <w:r>
        <w:t xml:space="preserve"> </w:t>
      </w:r>
      <w:r>
        <w:t xml:space="preserve">— дополнительный договор;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/[locale]/first-100-days</w:t>
      </w:r>
      <w:r>
        <w:t xml:space="preserve"> </w:t>
      </w:r>
      <w:r>
        <w:t xml:space="preserve">— предлагаемая программа;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/[locale]/government-model</w:t>
      </w:r>
      <w:r>
        <w:t xml:space="preserve"> </w:t>
      </w:r>
      <w:r>
        <w:t xml:space="preserve">— модель правительства;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/[locale]/ask</w:t>
      </w:r>
      <w:r>
        <w:t xml:space="preserve"> </w:t>
      </w:r>
      <w:r>
        <w:t xml:space="preserve">— генератор обращения;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/[locale]/submit-response</w:t>
      </w:r>
      <w:r>
        <w:t xml:space="preserve"> </w:t>
      </w:r>
      <w:r>
        <w:t xml:space="preserve">— передача ответа;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/[locale]/methodology</w:t>
      </w:r>
      <w:r>
        <w:t xml:space="preserve"> </w:t>
      </w:r>
      <w:r>
        <w:t xml:space="preserve">— методология;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/[locale]/about</w:t>
      </w:r>
      <w:r>
        <w:t xml:space="preserve"> </w:t>
      </w:r>
      <w:r>
        <w:t xml:space="preserve">— кто мы и финансирование;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/[locale]/privacy</w:t>
      </w:r>
      <w:r>
        <w:t xml:space="preserve">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/[locale]/terms</w:t>
      </w:r>
      <w:r>
        <w:t xml:space="preserve">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/[locale]/accessibility</w:t>
      </w:r>
      <w:r>
        <w:t xml:space="preserve">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/[locale]/corrections</w:t>
      </w:r>
      <w:r>
        <w:t xml:space="preserve">.</w:t>
      </w:r>
    </w:p>
    <w:bookmarkEnd w:id="180"/>
    <w:bookmarkStart w:id="181" w:name="не-публикуется-как-политический-контент"/>
    <w:p>
      <w:pPr>
        <w:pStyle w:val="Heading2"/>
      </w:pPr>
      <w:r>
        <w:t xml:space="preserve">Не публикуется как политический контент</w:t>
      </w:r>
    </w:p>
    <w:p>
      <w:pPr>
        <w:pStyle w:val="Compact"/>
        <w:numPr>
          <w:ilvl w:val="0"/>
          <w:numId w:val="1073"/>
        </w:numPr>
      </w:pPr>
      <w:r>
        <w:t xml:space="preserve">внутренний compliance checklist;</w:t>
      </w:r>
    </w:p>
    <w:p>
      <w:pPr>
        <w:pStyle w:val="Compact"/>
        <w:numPr>
          <w:ilvl w:val="0"/>
          <w:numId w:val="1073"/>
        </w:numPr>
      </w:pPr>
      <w:r>
        <w:t xml:space="preserve">журнал расходов;</w:t>
      </w:r>
    </w:p>
    <w:p>
      <w:pPr>
        <w:pStyle w:val="Compact"/>
        <w:numPr>
          <w:ilvl w:val="0"/>
          <w:numId w:val="1073"/>
        </w:numPr>
      </w:pPr>
      <w:r>
        <w:t xml:space="preserve">реестр согласий;</w:t>
      </w:r>
    </w:p>
    <w:p>
      <w:pPr>
        <w:pStyle w:val="Compact"/>
        <w:numPr>
          <w:ilvl w:val="0"/>
          <w:numId w:val="1073"/>
        </w:numPr>
      </w:pPr>
      <w:r>
        <w:t xml:space="preserve">карта базы данных;</w:t>
      </w:r>
    </w:p>
    <w:p>
      <w:pPr>
        <w:pStyle w:val="Compact"/>
        <w:numPr>
          <w:ilvl w:val="0"/>
          <w:numId w:val="1073"/>
        </w:numPr>
      </w:pPr>
      <w:r>
        <w:t xml:space="preserve">процедура инцидентов;</w:t>
      </w:r>
    </w:p>
    <w:p>
      <w:pPr>
        <w:pStyle w:val="Compact"/>
        <w:numPr>
          <w:ilvl w:val="0"/>
          <w:numId w:val="1073"/>
        </w:numPr>
      </w:pPr>
      <w:r>
        <w:t xml:space="preserve">юридические заключения;</w:t>
      </w:r>
    </w:p>
    <w:p>
      <w:pPr>
        <w:pStyle w:val="Compact"/>
        <w:numPr>
          <w:ilvl w:val="0"/>
          <w:numId w:val="1073"/>
        </w:numPr>
      </w:pPr>
      <w:r>
        <w:t xml:space="preserve">внутренний журнал проверки ответов.</w:t>
      </w:r>
    </w:p>
    <w:bookmarkEnd w:id="181"/>
    <w:bookmarkStart w:id="182" w:name="удалено-из-предыдущей-версии"/>
    <w:p>
      <w:pPr>
        <w:pStyle w:val="Heading2"/>
      </w:pPr>
      <w:r>
        <w:t xml:space="preserve">Удалено из предыдущей версии</w:t>
      </w:r>
    </w:p>
    <w:p>
      <w:pPr>
        <w:pStyle w:val="FirstParagraph"/>
      </w:pPr>
      <w:r>
        <w:t xml:space="preserve">Для снижения юридических и репутационных рисков исключены:</w:t>
      </w:r>
    </w:p>
    <w:p>
      <w:pPr>
        <w:pStyle w:val="Compact"/>
        <w:numPr>
          <w:ilvl w:val="0"/>
          <w:numId w:val="1074"/>
        </w:numPr>
      </w:pPr>
      <w:r>
        <w:t xml:space="preserve">сбор информации, какую партию рассматривает конкретный пользователь;</w:t>
      </w:r>
    </w:p>
    <w:p>
      <w:pPr>
        <w:pStyle w:val="Compact"/>
        <w:numPr>
          <w:ilvl w:val="0"/>
          <w:numId w:val="1074"/>
        </w:numPr>
      </w:pPr>
      <w:r>
        <w:t xml:space="preserve">публичный показатель «потенциальных избирателей партии»;</w:t>
      </w:r>
    </w:p>
    <w:p>
      <w:pPr>
        <w:pStyle w:val="Compact"/>
        <w:numPr>
          <w:ilvl w:val="0"/>
          <w:numId w:val="1074"/>
        </w:numPr>
      </w:pPr>
      <w:r>
        <w:t xml:space="preserve">обещание голосовать только за подписавшую партию;</w:t>
      </w:r>
    </w:p>
    <w:p>
      <w:pPr>
        <w:pStyle w:val="Compact"/>
        <w:numPr>
          <w:ilvl w:val="0"/>
          <w:numId w:val="1074"/>
        </w:numPr>
      </w:pPr>
      <w:r>
        <w:t xml:space="preserve">автоматическое требование снять список на основании фиксированного процента;</w:t>
      </w:r>
    </w:p>
    <w:p>
      <w:pPr>
        <w:pStyle w:val="Compact"/>
        <w:numPr>
          <w:ilvl w:val="0"/>
          <w:numId w:val="1074"/>
        </w:numPr>
      </w:pPr>
      <w:r>
        <w:t xml:space="preserve">утверждение, что силовые структуры должны быть независимы от законного гражданского контроля;</w:t>
      </w:r>
    </w:p>
    <w:p>
      <w:pPr>
        <w:pStyle w:val="Compact"/>
        <w:numPr>
          <w:ilvl w:val="0"/>
          <w:numId w:val="1074"/>
        </w:numPr>
      </w:pPr>
      <w:r>
        <w:t xml:space="preserve">автоматическая публикация пользовательских скриншотов;</w:t>
      </w:r>
    </w:p>
    <w:p>
      <w:pPr>
        <w:pStyle w:val="Compact"/>
        <w:numPr>
          <w:ilvl w:val="0"/>
          <w:numId w:val="1074"/>
        </w:numPr>
      </w:pPr>
      <w:r>
        <w:t xml:space="preserve">автоматическая отправка обращений;</w:t>
      </w:r>
    </w:p>
    <w:p>
      <w:pPr>
        <w:pStyle w:val="Compact"/>
        <w:numPr>
          <w:ilvl w:val="0"/>
          <w:numId w:val="1074"/>
        </w:numPr>
      </w:pPr>
      <w:r>
        <w:t xml:space="preserve">формулировки, представляющие политическое обещание как действующую норму закона;</w:t>
      </w:r>
    </w:p>
    <w:p>
      <w:pPr>
        <w:pStyle w:val="Compact"/>
        <w:numPr>
          <w:ilvl w:val="0"/>
          <w:numId w:val="1074"/>
        </w:numPr>
      </w:pPr>
      <w:r>
        <w:t xml:space="preserve">утверждение, что структура из 18 министров уже обязательна по закону.</w:t>
      </w:r>
    </w:p>
    <w:bookmarkEnd w:id="182"/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2026-07-17T19:43:42Z</dcterms:created>
  <dcterms:modified xsi:type="dcterms:W3CDTF">2026-07-17T19:43:42Z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