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b/>
          <w:b/>
          <w:i/>
          <w:i/>
          <w:sz w:val="24"/>
          <w:szCs w:val="24"/>
        </w:rPr>
      </w:pPr>
      <w:r>
        <w:rPr>
          <w:rFonts w:ascii="Times New Roman" w:hAnsi="Times New Roman"/>
          <w:b/>
          <w:i/>
          <w:sz w:val="24"/>
          <w:szCs w:val="24"/>
        </w:rPr>
        <w:t>ΥΠΟΧΡΕΩΤΙΚΟ ΓΙΑ ΠΡΟΠΤΥΧΙΑΚΟΥΣ ΚΑΙ ΜΕΤΑΠΤΥΧΙΑΚΟΥΣ</w:t>
      </w:r>
    </w:p>
    <w:p>
      <w:pPr>
        <w:pStyle w:val="Normal"/>
        <w:spacing w:lineRule="auto" w:line="240" w:before="0" w:after="0"/>
        <w:jc w:val="both"/>
        <w:rPr>
          <w:rFonts w:ascii="Times New Roman" w:hAnsi="Times New Roman"/>
          <w:b/>
          <w:b/>
          <w:sz w:val="28"/>
          <w:szCs w:val="28"/>
        </w:rPr>
      </w:pPr>
      <w:r>
        <w:rPr>
          <w:rFonts w:ascii="Times New Roman" w:hAnsi="Times New Roman"/>
          <w:b/>
          <w:sz w:val="28"/>
          <w:szCs w:val="28"/>
        </w:rPr>
      </w:r>
    </w:p>
    <w:p>
      <w:pPr>
        <w:pStyle w:val="Normal"/>
        <w:spacing w:lineRule="auto" w:line="240" w:before="0" w:after="0"/>
        <w:jc w:val="both"/>
        <w:rPr>
          <w:rFonts w:ascii="Times New Roman" w:hAnsi="Times New Roman"/>
          <w:szCs w:val="28"/>
        </w:rPr>
      </w:pPr>
      <w:r>
        <w:rPr>
          <w:rFonts w:ascii="Times New Roman" w:hAnsi="Times New Roman"/>
          <w:b/>
          <w:sz w:val="28"/>
          <w:szCs w:val="28"/>
        </w:rPr>
        <w:t xml:space="preserve">Εφαρμογή ΓΑ σε προβλήματα Βελτιστοποίησης </w:t>
      </w:r>
      <w:r>
        <w:rPr>
          <w:rFonts w:ascii="Times New Roman" w:hAnsi="Times New Roman"/>
          <w:sz w:val="28"/>
          <w:szCs w:val="28"/>
        </w:rPr>
        <w:t>[</w:t>
      </w:r>
      <w:r>
        <w:rPr>
          <w:rFonts w:ascii="Times New Roman" w:hAnsi="Times New Roman"/>
          <w:i/>
          <w:sz w:val="28"/>
          <w:szCs w:val="28"/>
        </w:rPr>
        <w:t>100 μονάδες</w:t>
      </w:r>
      <w:r>
        <w:rPr>
          <w:rFonts w:ascii="Times New Roman" w:hAnsi="Times New Roman"/>
          <w:sz w:val="28"/>
          <w:szCs w:val="28"/>
        </w:rPr>
        <w:t>]</w:t>
      </w:r>
      <w:r>
        <w:rPr>
          <w:rFonts w:ascii="Times New Roman" w:hAnsi="Times New Roman"/>
          <w:i/>
          <w:sz w:val="28"/>
          <w:szCs w:val="28"/>
        </w:rPr>
        <w:t xml:space="preserve"> </w:t>
      </w:r>
    </w:p>
    <w:p>
      <w:pPr>
        <w:pStyle w:val="Normal"/>
        <w:spacing w:lineRule="auto" w:line="240" w:before="0" w:after="0"/>
        <w:jc w:val="both"/>
        <w:rPr>
          <w:rFonts w:ascii="Times New Roman" w:hAnsi="Times New Roman"/>
        </w:rPr>
      </w:pPr>
      <w:r>
        <w:rPr>
          <w:rFonts w:ascii="Times New Roman" w:hAnsi="Times New Roman"/>
        </w:rPr>
        <w:t>Οι Γενετικοί Αλγόριθμοι μπορούν να βρουν το μέγιστο (ή το ελάχιστο) μιας αντικειμενικής συνάρτησης. Μάλιστα είναι ικανοί να βελτιστοποιούν δύσκολες, μη γραμμικές και (πιθανά) μη διαφορίσιμες ή/και μη συνεχείς συναρτήσεις πολλών μεταβλητών. Εδώ θα εφαρμόσουμε ένα απλό ΓΑ για την εύρεση του ολικού ελαχίστου της γνωστής συνάρτησης Goldstein-Price:</w:t>
      </w:r>
    </w:p>
    <w:p>
      <w:pPr>
        <w:pStyle w:val="Normal"/>
        <w:spacing w:lineRule="auto" w:line="240" w:before="0" w:after="0"/>
        <w:jc w:val="center"/>
        <w:rPr>
          <w:rFonts w:ascii="Times New Roman" w:hAnsi="Times New Roman"/>
          <w:sz w:val="36"/>
          <w:szCs w:val="36"/>
        </w:rPr>
      </w:pPr>
      <w:r>
        <w:rPr/>
        <w:drawing>
          <wp:inline distT="0" distB="0" distL="19050" distR="9525">
            <wp:extent cx="4562475" cy="257175"/>
            <wp:effectExtent l="0" t="0" r="0" b="0"/>
            <wp:docPr id="1" name="Picture 1" descr="f(x,y) = \left(1+\left(x+y+1\right)^{2}\left(19-14x+3x^{2}-14y+6xy+3y^{2}\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x,y) = \left(1+\left(x+y+1\right)^{2}\left(19-14x+3x^{2}-14y+6xy+3y^{2}\right)\right)"/>
                    <pic:cNvPicPr>
                      <a:picLocks noChangeAspect="1" noChangeArrowheads="1"/>
                    </pic:cNvPicPr>
                  </pic:nvPicPr>
                  <pic:blipFill>
                    <a:blip r:embed="rId2"/>
                    <a:stretch>
                      <a:fillRect/>
                    </a:stretch>
                  </pic:blipFill>
                  <pic:spPr bwMode="auto">
                    <a:xfrm>
                      <a:off x="0" y="0"/>
                      <a:ext cx="4562475" cy="257175"/>
                    </a:xfrm>
                    <a:prstGeom prst="rect">
                      <a:avLst/>
                    </a:prstGeom>
                  </pic:spPr>
                </pic:pic>
              </a:graphicData>
            </a:graphic>
          </wp:inline>
        </w:drawing>
      </w:r>
      <w:r>
        <w:rPr>
          <w:rFonts w:ascii="Times New Roman" w:hAnsi="Times New Roman"/>
          <w:sz w:val="36"/>
          <w:szCs w:val="36"/>
        </w:rPr>
        <w:t>*</w:t>
      </w:r>
    </w:p>
    <w:p>
      <w:pPr>
        <w:pStyle w:val="Normal"/>
        <w:spacing w:lineRule="auto" w:line="240" w:before="0" w:after="0"/>
        <w:jc w:val="center"/>
        <w:rPr>
          <w:rFonts w:ascii="Times New Roman" w:hAnsi="Times New Roman"/>
        </w:rPr>
      </w:pPr>
      <w:r>
        <w:rPr>
          <w:rFonts w:ascii="Times New Roman" w:hAnsi="Times New Roman"/>
          <w:sz w:val="36"/>
          <w:sz w:val="36"/>
          <w:szCs w:val="36"/>
          <w:rtl w:val="true"/>
        </w:rPr>
        <w:t>﮲</w:t>
      </w:r>
      <w:r>
        <w:rPr>
          <w:rFonts w:ascii="Times New Roman" w:hAnsi="Times New Roman"/>
          <w:sz w:val="36"/>
          <w:sz w:val="36"/>
          <w:szCs w:val="36"/>
        </w:rPr>
        <w:drawing>
          <wp:inline distT="0" distB="0" distL="0" distR="9525">
            <wp:extent cx="4257675" cy="276225"/>
            <wp:effectExtent l="0" t="0" r="0" b="0"/>
            <wp:docPr id="2" name="Picture 2" descr="\left(30+\left(2x-3y\right)^{2}\left(18-32x+12x^{2}+48y-36xy+27y^{2}\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ft(30+\left(2x-3y\right)^{2}\left(18-32x+12x^{2}+48y-36xy+27y^{2}\right)\right)"/>
                    <pic:cNvPicPr>
                      <a:picLocks noChangeAspect="1" noChangeArrowheads="1"/>
                    </pic:cNvPicPr>
                  </pic:nvPicPr>
                  <pic:blipFill>
                    <a:blip r:embed="rId3"/>
                    <a:stretch>
                      <a:fillRect/>
                    </a:stretch>
                  </pic:blipFill>
                  <pic:spPr bwMode="auto">
                    <a:xfrm>
                      <a:off x="0" y="0"/>
                      <a:ext cx="4257675" cy="276225"/>
                    </a:xfrm>
                    <a:prstGeom prst="rect">
                      <a:avLst/>
                    </a:prstGeom>
                  </pic:spPr>
                </pic:pic>
              </a:graphicData>
            </a:graphic>
          </wp:inline>
        </w:drawing>
      </w:r>
    </w:p>
    <w:p>
      <w:pPr>
        <w:pStyle w:val="Normal"/>
        <w:spacing w:lineRule="auto" w:line="240" w:before="0" w:after="0"/>
        <w:jc w:val="both"/>
        <w:rPr>
          <w:rFonts w:ascii="Times New Roman" w:hAnsi="Times New Roman"/>
        </w:rPr>
      </w:pPr>
      <w:r>
        <w:rPr>
          <w:rFonts w:ascii="Times New Roman" w:hAnsi="Times New Roman"/>
        </w:rPr>
        <w:t>για -2≤</w:t>
      </w:r>
      <w:r>
        <w:rPr>
          <w:rFonts w:ascii="Times New Roman" w:hAnsi="Times New Roman"/>
          <w:lang w:val="en-US"/>
        </w:rPr>
        <w:t>x</w:t>
      </w:r>
      <w:r>
        <w:rPr>
          <w:rFonts w:ascii="Times New Roman" w:hAnsi="Times New Roman"/>
        </w:rPr>
        <w:t>≤2 και -2≤</w:t>
      </w:r>
      <w:r>
        <w:rPr>
          <w:rFonts w:ascii="Times New Roman" w:hAnsi="Times New Roman"/>
          <w:lang w:val="en-US"/>
        </w:rPr>
        <w:t>y</w:t>
      </w:r>
      <w:r>
        <w:rPr>
          <w:rFonts w:ascii="Times New Roman" w:hAnsi="Times New Roman"/>
        </w:rPr>
        <w:t xml:space="preserve">≤2. Η συνάρτηση </w:t>
      </w:r>
      <w:bookmarkStart w:id="0" w:name="_GoBack"/>
      <w:r>
        <w:rPr>
          <w:rFonts w:ascii="Times New Roman" w:hAnsi="Times New Roman"/>
        </w:rPr>
        <w:t xml:space="preserve">Goldstein-Price </w:t>
      </w:r>
      <w:bookmarkEnd w:id="0"/>
      <w:r>
        <w:rPr>
          <w:rFonts w:ascii="Times New Roman" w:hAnsi="Times New Roman"/>
        </w:rPr>
        <w:t>δίνεται γραφικά στο ακόλουθο διάγραμμα:</w:t>
      </w:r>
    </w:p>
    <w:p>
      <w:pPr>
        <w:pStyle w:val="Normal"/>
        <w:spacing w:lineRule="auto" w:line="240" w:before="0" w:after="0"/>
        <w:jc w:val="center"/>
        <w:rPr>
          <w:rFonts w:ascii="Times New Roman" w:hAnsi="Times New Roman"/>
          <w:lang w:val="en-US"/>
        </w:rPr>
      </w:pPr>
      <w:r>
        <w:rPr/>
        <w:drawing>
          <wp:inline distT="0" distB="0" distL="0" distR="0">
            <wp:extent cx="2979420" cy="2484120"/>
            <wp:effectExtent l="0" t="0" r="0" b="0"/>
            <wp:docPr id="3" name="Εικόνα 2" descr="Goldstein_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 descr="Goldstein_Price"/>
                    <pic:cNvPicPr>
                      <a:picLocks noChangeAspect="1" noChangeArrowheads="1"/>
                    </pic:cNvPicPr>
                  </pic:nvPicPr>
                  <pic:blipFill>
                    <a:blip r:embed="rId4"/>
                    <a:stretch>
                      <a:fillRect/>
                    </a:stretch>
                  </pic:blipFill>
                  <pic:spPr bwMode="auto">
                    <a:xfrm>
                      <a:off x="0" y="0"/>
                      <a:ext cx="2979420" cy="2484120"/>
                    </a:xfrm>
                    <a:prstGeom prst="rect">
                      <a:avLst/>
                    </a:prstGeom>
                  </pic:spPr>
                </pic:pic>
              </a:graphicData>
            </a:graphic>
          </wp:inline>
        </w:drawing>
      </w:r>
    </w:p>
    <w:p>
      <w:pPr>
        <w:pStyle w:val="Normal"/>
        <w:spacing w:lineRule="auto" w:line="240" w:before="0" w:after="0"/>
        <w:jc w:val="center"/>
        <w:rPr>
          <w:rFonts w:ascii="Times New Roman" w:hAnsi="Times New Roman"/>
          <w:vertAlign w:val="subscript"/>
        </w:rPr>
      </w:pPr>
      <w:r>
        <w:rPr>
          <w:rFonts w:ascii="Times New Roman" w:hAnsi="Times New Roman"/>
        </w:rPr>
        <w:t>Γραφική παράσταση της συνάρτησης f</w:t>
      </w:r>
    </w:p>
    <w:p>
      <w:pPr>
        <w:pStyle w:val="Normal"/>
        <w:spacing w:lineRule="auto" w:line="240" w:before="0" w:after="0"/>
        <w:jc w:val="center"/>
        <w:rPr>
          <w:rFonts w:ascii="Times New Roman" w:hAnsi="Times New Roman"/>
        </w:rPr>
      </w:pPr>
      <w:r>
        <w:rPr>
          <w:rFonts w:ascii="Times New Roman" w:hAnsi="Times New Roman"/>
        </w:rPr>
        <w:t xml:space="preserve">(Goldstein-Price </w:t>
      </w:r>
      <w:r>
        <w:rPr>
          <w:rFonts w:ascii="Times New Roman" w:hAnsi="Times New Roman"/>
          <w:lang w:val="en-US"/>
        </w:rPr>
        <w:t>function</w:t>
      </w:r>
      <w:r>
        <w:rPr>
          <w:rFonts w:ascii="Times New Roman" w:hAnsi="Times New Roman"/>
        </w:rPr>
        <w:t>)</w:t>
      </w:r>
    </w:p>
    <w:p>
      <w:pPr>
        <w:pStyle w:val="Normal"/>
        <w:spacing w:lineRule="auto" w:line="240" w:before="0" w:after="0"/>
        <w:jc w:val="both"/>
        <w:rPr>
          <w:rFonts w:ascii="Times New Roman" w:hAnsi="Times New Roman"/>
          <w:b/>
          <w:b/>
        </w:rPr>
      </w:pPr>
      <w:r>
        <w:rPr>
          <w:rFonts w:ascii="Times New Roman" w:hAnsi="Times New Roman"/>
          <w:b/>
        </w:rPr>
        <w:t>Α.</w:t>
      </w:r>
      <w:r>
        <w:rPr>
          <w:rFonts w:ascii="Times New Roman" w:hAnsi="Times New Roman"/>
        </w:rPr>
        <w:t xml:space="preserve"> [30 μονάδες]</w:t>
      </w:r>
    </w:p>
    <w:p>
      <w:pPr>
        <w:pStyle w:val="Normal"/>
        <w:spacing w:lineRule="auto" w:line="240" w:before="0" w:after="0"/>
        <w:jc w:val="both"/>
        <w:rPr>
          <w:rFonts w:ascii="Times New Roman" w:hAnsi="Times New Roman"/>
        </w:rPr>
      </w:pPr>
      <w:r>
        <w:rPr>
          <w:rFonts w:ascii="Times New Roman" w:hAnsi="Times New Roman"/>
        </w:rPr>
        <w:t>Στα αρχεία SGA.C και SGA.H βρίσκεται ο κώδικας που υλοποιεί έναν απλό γενετικό αλγόριθμο για τη μεγιστοποίηση μιας συνάρτησης τριών μεταβλητών. Μετατρέψτε τον κώδικα αυτό έτσι ώστε να μπορεί να βρει ένα ελάχιστο της συνάρτησης Goldstein-Price. Ποιες αλλαγές πρέπει να κάνετε;</w:t>
      </w:r>
    </w:p>
    <w:p>
      <w:pPr>
        <w:pStyle w:val="Normal"/>
        <w:spacing w:lineRule="auto" w:line="240" w:before="0" w:after="0"/>
        <w:jc w:val="both"/>
        <w:rPr>
          <w:rFonts w:ascii="Times New Roman" w:hAnsi="Times New Roman"/>
          <w:b/>
          <w:b/>
        </w:rPr>
      </w:pPr>
      <w:r>
        <w:rPr>
          <w:rFonts w:ascii="Times New Roman" w:hAnsi="Times New Roman"/>
          <w:b/>
        </w:rPr>
        <w:t>Β.</w:t>
      </w:r>
      <w:r>
        <w:rPr>
          <w:rFonts w:ascii="Times New Roman" w:hAnsi="Times New Roman"/>
        </w:rPr>
        <w:t xml:space="preserve"> [30 μονάδες]</w:t>
      </w:r>
    </w:p>
    <w:p>
      <w:pPr>
        <w:pStyle w:val="Normal"/>
        <w:spacing w:lineRule="auto" w:line="240" w:before="0" w:after="0"/>
        <w:jc w:val="both"/>
        <w:rPr>
          <w:rFonts w:ascii="Times New Roman" w:hAnsi="Times New Roman"/>
        </w:rPr>
      </w:pPr>
      <w:r>
        <w:rPr>
          <w:rFonts w:ascii="Times New Roman" w:hAnsi="Times New Roman"/>
        </w:rPr>
        <w:t xml:space="preserve">Να τρέξετε τον αλγόριθμο για τις τιμές των παραμέτρων που φαίνονται στον παρακάτω πίνακα και να τον συμπληρώσετε. Θεωρήστε ότι η πιθανότητα μετάλλαξης έχει τιμή 0.02. Η συνάρτηση Goldstein-Price παρουσιάζει ολικό ελάχιστο στο σημείο </w:t>
      </w:r>
      <w:r>
        <w:rPr>
          <w:rFonts w:ascii="Times New Roman" w:hAnsi="Times New Roman"/>
          <w:lang w:val="en-US"/>
        </w:rPr>
        <w:t>f</w:t>
      </w:r>
      <w:r>
        <w:rPr>
          <w:rFonts w:ascii="Times New Roman" w:hAnsi="Times New Roman"/>
        </w:rPr>
        <w:t>(0,-1)=3. Να σχολιάσετε τα αποτελέσματά σας. Τι συμπεράσματα βγαίνουν σχετικά με την πιθανότητα διασταύρωσης, το μέγεθος του πληθυσμού σε σχέση με το μέγιστο αριθμό γενεών, και την ακρίβεια υπολογισμού του ελαχίστου;</w:t>
      </w:r>
    </w:p>
    <w:p>
      <w:pPr>
        <w:pStyle w:val="Normal"/>
        <w:spacing w:lineRule="auto" w:line="240" w:before="0" w:after="0"/>
        <w:jc w:val="both"/>
        <w:rPr>
          <w:rFonts w:ascii="Times New Roman" w:hAnsi="Times New Roman"/>
        </w:rPr>
      </w:pPr>
      <w:r>
        <w:rPr>
          <w:rFonts w:ascii="Times New Roman" w:hAnsi="Times New Roman"/>
        </w:rPr>
      </w:r>
    </w:p>
    <w:tbl>
      <w:tblPr>
        <w:tblW w:w="6901" w:type="dxa"/>
        <w:jc w:val="center"/>
        <w:tblInd w:w="0"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1e0" w:noVBand="0" w:noHBand="0" w:lastColumn="1" w:firstColumn="1" w:lastRow="1" w:firstRow="1"/>
      </w:tblPr>
      <w:tblGrid>
        <w:gridCol w:w="661"/>
        <w:gridCol w:w="1200"/>
        <w:gridCol w:w="1679"/>
        <w:gridCol w:w="1920"/>
        <w:gridCol w:w="1441"/>
      </w:tblGrid>
      <w:tr>
        <w:trPr/>
        <w:tc>
          <w:tcPr>
            <w:tcW w:w="661" w:type="dxa"/>
            <w:tcBorders>
              <w:top w:val="doub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b/>
                <w:b/>
                <w:caps/>
                <w:sz w:val="20"/>
                <w:highlight w:val="white"/>
              </w:rPr>
            </w:pPr>
            <w:r>
              <w:rPr>
                <w:rFonts w:ascii="Times New Roman" w:hAnsi="Times New Roman"/>
                <w:b/>
                <w:caps/>
                <w:sz w:val="20"/>
                <w:shd w:fill="FFFFFF" w:val="clear"/>
              </w:rPr>
              <w:t>Α/α</w:t>
            </w:r>
          </w:p>
        </w:tc>
        <w:tc>
          <w:tcPr>
            <w:tcW w:w="1200" w:type="dxa"/>
            <w:tcBorders>
              <w:top w:val="doub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b/>
                <w:b/>
                <w:caps/>
                <w:sz w:val="20"/>
                <w:highlight w:val="white"/>
              </w:rPr>
            </w:pPr>
            <w:r>
              <w:rPr>
                <w:rFonts w:ascii="Times New Roman" w:hAnsi="Times New Roman"/>
                <w:b/>
                <w:caps/>
                <w:sz w:val="20"/>
                <w:shd w:fill="FFFFFF" w:val="clear"/>
              </w:rPr>
              <w:t>ΑΡΙΘΜΟς ΓΕΝΕΩΝ</w:t>
            </w:r>
          </w:p>
        </w:tc>
        <w:tc>
          <w:tcPr>
            <w:tcW w:w="1679" w:type="dxa"/>
            <w:tcBorders>
              <w:top w:val="doub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b/>
                <w:b/>
                <w:caps/>
                <w:sz w:val="20"/>
                <w:highlight w:val="white"/>
              </w:rPr>
            </w:pPr>
            <w:r>
              <w:rPr>
                <w:rFonts w:ascii="Times New Roman" w:hAnsi="Times New Roman"/>
                <w:b/>
                <w:caps/>
                <w:sz w:val="20"/>
                <w:shd w:fill="FFFFFF" w:val="clear"/>
              </w:rPr>
              <w:t>ΜΕγεθος πληθυσμου</w:t>
            </w:r>
          </w:p>
        </w:tc>
        <w:tc>
          <w:tcPr>
            <w:tcW w:w="1920" w:type="dxa"/>
            <w:tcBorders>
              <w:top w:val="doub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b/>
                <w:b/>
                <w:caps/>
                <w:sz w:val="20"/>
                <w:highlight w:val="white"/>
              </w:rPr>
            </w:pPr>
            <w:r>
              <w:rPr>
                <w:rFonts w:ascii="Times New Roman" w:hAnsi="Times New Roman"/>
                <w:b/>
                <w:caps/>
                <w:sz w:val="20"/>
                <w:shd w:fill="FFFFFF" w:val="clear"/>
              </w:rPr>
              <w:t>πιθανοτητα διασταυρωσης</w:t>
            </w:r>
          </w:p>
        </w:tc>
        <w:tc>
          <w:tcPr>
            <w:tcW w:w="1441" w:type="dxa"/>
            <w:tcBorders>
              <w:top w:val="doub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b/>
                <w:b/>
                <w:caps/>
                <w:sz w:val="20"/>
                <w:highlight w:val="white"/>
              </w:rPr>
            </w:pPr>
            <w:r>
              <w:rPr>
                <w:rFonts w:ascii="Times New Roman" w:hAnsi="Times New Roman"/>
                <w:b/>
                <w:caps/>
                <w:sz w:val="20"/>
                <w:shd w:fill="FFFFFF" w:val="clear"/>
              </w:rPr>
              <w:t>ΜΕΣΗ ΤΙΜΗ ελαχιστΟΥ</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24.8645804</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2</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3.114124</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3</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3.028912</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4</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7.640023</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5</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3.264874</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6</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3.007305</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7</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4.987467</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8</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3.018070</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9</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0.1</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3.006085</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3.214541</w:t>
            </w:r>
          </w:p>
        </w:tc>
      </w:tr>
      <w:tr>
        <w:trPr/>
        <w:tc>
          <w:tcPr>
            <w:tcW w:w="661"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11</w:t>
            </w:r>
          </w:p>
        </w:tc>
        <w:tc>
          <w:tcPr>
            <w:tcW w:w="12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w:t>
            </w:r>
          </w:p>
        </w:tc>
        <w:tc>
          <w:tcPr>
            <w:tcW w:w="19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3.119864</w:t>
            </w:r>
          </w:p>
        </w:tc>
      </w:tr>
      <w:tr>
        <w:trPr/>
        <w:tc>
          <w:tcPr>
            <w:tcW w:w="661" w:type="dxa"/>
            <w:tcBorders>
              <w:top w:val="single" w:sz="6" w:space="0" w:color="000001"/>
              <w:left w:val="double" w:sz="6" w:space="0" w:color="000001"/>
              <w:bottom w:val="double" w:sz="6" w:space="0" w:color="000001"/>
              <w:right w:val="single" w:sz="6" w:space="0" w:color="000001"/>
              <w:insideH w:val="double" w:sz="6" w:space="0" w:color="000001"/>
              <w:insideV w:val="single" w:sz="6" w:space="0" w:color="000001"/>
            </w:tcBorders>
            <w:shd w:color="auto" w:fill="auto" w:val="clear"/>
            <w:tcMar>
              <w:left w:w="107"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12</w:t>
            </w:r>
          </w:p>
        </w:tc>
        <w:tc>
          <w:tcPr>
            <w:tcW w:w="1200"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679"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1000</w:t>
            </w:r>
          </w:p>
        </w:tc>
        <w:tc>
          <w:tcPr>
            <w:tcW w:w="1920" w:type="dxa"/>
            <w:tcBorders>
              <w:top w:val="single" w:sz="6" w:space="0" w:color="000001"/>
              <w:left w:val="single" w:sz="6" w:space="0" w:color="000001"/>
              <w:bottom w:val="double" w:sz="6" w:space="0" w:color="000001"/>
              <w:right w:val="single" w:sz="6" w:space="0" w:color="000001"/>
              <w:insideH w:val="double" w:sz="6" w:space="0" w:color="000001"/>
              <w:insideV w:val="single" w:sz="6" w:space="0" w:color="000001"/>
            </w:tcBorders>
            <w:shd w:color="auto" w:fill="auto" w:val="clear"/>
            <w:tcMar>
              <w:left w:w="122" w:type="dxa"/>
            </w:tcMar>
            <w:vAlign w:val="center"/>
          </w:tcPr>
          <w:p>
            <w:pPr>
              <w:pStyle w:val="Normal"/>
              <w:spacing w:lineRule="auto" w:line="240" w:before="0" w:after="0"/>
              <w:jc w:val="center"/>
              <w:rPr>
                <w:rFonts w:ascii="Times New Roman" w:hAnsi="Times New Roman"/>
                <w:sz w:val="20"/>
                <w:highlight w:val="white"/>
              </w:rPr>
            </w:pPr>
            <w:r>
              <w:rPr>
                <w:rFonts w:ascii="Times New Roman" w:hAnsi="Times New Roman"/>
                <w:sz w:val="20"/>
                <w:shd w:fill="FFFFFF" w:val="clear"/>
              </w:rPr>
              <w:t>0.9</w:t>
            </w:r>
          </w:p>
        </w:tc>
        <w:tc>
          <w:tcPr>
            <w:tcW w:w="1441" w:type="dxa"/>
            <w:tcBorders>
              <w:top w:val="single" w:sz="6" w:space="0" w:color="000001"/>
              <w:left w:val="single" w:sz="6" w:space="0" w:color="000001"/>
              <w:bottom w:val="double" w:sz="6" w:space="0" w:color="000001"/>
              <w:right w:val="double" w:sz="6" w:space="0" w:color="000001"/>
              <w:insideH w:val="double" w:sz="6" w:space="0" w:color="000001"/>
              <w:insideV w:val="double" w:sz="6" w:space="0" w:color="000001"/>
            </w:tcBorders>
            <w:shd w:fill="auto" w:val="clear"/>
            <w:tcMar>
              <w:left w:w="122" w:type="dxa"/>
            </w:tcMar>
          </w:tcPr>
          <w:p>
            <w:pPr>
              <w:pStyle w:val="Normal"/>
              <w:spacing w:lineRule="auto" w:line="240" w:before="0" w:after="0"/>
              <w:jc w:val="center"/>
              <w:rPr>
                <w:rFonts w:ascii="Times New Roman" w:hAnsi="Times New Roman"/>
                <w:sz w:val="20"/>
                <w:shd w:fill="FFFFFF" w:val="clear"/>
              </w:rPr>
            </w:pPr>
            <w:r>
              <w:rPr>
                <w:rFonts w:ascii="Times New Roman" w:hAnsi="Times New Roman"/>
                <w:sz w:val="20"/>
                <w:shd w:fill="FFFFFF" w:val="clear"/>
              </w:rPr>
              <w:t>3.002352</w:t>
            </w:r>
          </w:p>
        </w:tc>
      </w:tr>
    </w:tbl>
    <w:p>
      <w:pPr>
        <w:pStyle w:val="Normal"/>
        <w:spacing w:lineRule="auto" w:line="240" w:before="0" w:after="0"/>
        <w:jc w:val="both"/>
        <w:rPr>
          <w:rFonts w:ascii="Times New Roman" w:hAnsi="Times New Roman"/>
          <w:sz w:val="18"/>
          <w:szCs w:val="18"/>
          <w:shd w:fill="FFFFFF" w:val="clear"/>
        </w:rPr>
      </w:pPr>
      <w:r>
        <w:rPr>
          <w:rFonts w:ascii="Times New Roman" w:hAnsi="Times New Roman"/>
          <w:sz w:val="18"/>
          <w:szCs w:val="18"/>
          <w:shd w:fill="FFFFFF" w:val="clear"/>
        </w:rPr>
      </w:r>
    </w:p>
    <w:p>
      <w:pPr>
        <w:pStyle w:val="Normal"/>
        <w:spacing w:lineRule="auto" w:line="240" w:before="0" w:after="0"/>
        <w:jc w:val="both"/>
        <w:rPr>
          <w:rFonts w:ascii="Times New Roman" w:hAnsi="Times New Roman"/>
          <w:sz w:val="20"/>
        </w:rPr>
      </w:pPr>
      <w:r>
        <w:rPr>
          <w:rFonts w:ascii="Times New Roman" w:hAnsi="Times New Roman"/>
          <w:sz w:val="18"/>
          <w:szCs w:val="18"/>
          <w:shd w:fill="FFFFFF" w:val="clear"/>
        </w:rPr>
        <w:t>ΠΡΟΣΟΧΗ: Επειδή οι Γενετικοί είναι στοχαστικοί αλγόριθμοι και συνεπώς δεν εξασφαλίζουν την ίδια απόδοση σε κάθε εκτέλεσή τους, θα πρέπει να εκτελέσετε τον αλγόριθμο τουλάχιστον δέκα φορές. Στον πίνακα να σημειώσετε το μέσο όρο των λύσεων.</w:t>
      </w:r>
      <w:r>
        <w:rPr>
          <w:rFonts w:ascii="Times New Roman" w:hAnsi="Times New Roman"/>
          <w:sz w:val="20"/>
        </w:rPr>
        <w:t xml:space="preserve">  </w:t>
      </w:r>
    </w:p>
    <w:p>
      <w:pPr>
        <w:pStyle w:val="Normal"/>
        <w:spacing w:lineRule="auto" w:line="240" w:before="0" w:after="0"/>
        <w:jc w:val="both"/>
        <w:rPr>
          <w:rFonts w:ascii="Times New Roman" w:hAnsi="Times New Roman"/>
          <w:b/>
          <w:b/>
        </w:rPr>
      </w:pPr>
      <w:r>
        <w:rPr>
          <w:rFonts w:ascii="Times New Roman" w:hAnsi="Times New Roman"/>
          <w:b/>
        </w:rPr>
        <w:t>Γ.</w:t>
      </w:r>
      <w:r>
        <w:rPr>
          <w:rFonts w:ascii="Times New Roman" w:hAnsi="Times New Roman"/>
        </w:rPr>
        <w:t xml:space="preserve"> [10 μονάδες]</w:t>
      </w:r>
    </w:p>
    <w:p>
      <w:pPr>
        <w:pStyle w:val="Normal"/>
        <w:spacing w:lineRule="auto" w:line="240" w:before="0" w:after="0"/>
        <w:jc w:val="both"/>
        <w:rPr>
          <w:rFonts w:ascii="Times New Roman" w:hAnsi="Times New Roman"/>
          <w:highlight w:val="cyan"/>
        </w:rPr>
      </w:pPr>
      <w:r>
        <w:rPr>
          <w:rFonts w:ascii="Times New Roman" w:hAnsi="Times New Roman"/>
        </w:rPr>
        <w:t>Για ένα επιτυχημένο τρέξιμο του ΓΑ για τον υπολογισμού του ολικού ελαχίστου της συνάρτησης f, να κάνετε τη γραφική παράσταση της συναρτησιακής τιμής του καλύτερου ατόμου κάθε γενιά.</w:t>
      </w:r>
    </w:p>
    <w:p>
      <w:pPr>
        <w:pStyle w:val="Normal"/>
        <w:spacing w:lineRule="auto" w:line="240" w:before="0" w:after="0"/>
        <w:jc w:val="both"/>
        <w:rPr>
          <w:rFonts w:ascii="Times New Roman" w:hAnsi="Times New Roman"/>
          <w:b/>
          <w:b/>
        </w:rPr>
      </w:pPr>
      <w:r>
        <w:rPr>
          <w:rFonts w:ascii="Times New Roman" w:hAnsi="Times New Roman"/>
          <w:b/>
        </w:rPr>
        <w:t>Δ.</w:t>
      </w:r>
      <w:r>
        <w:rPr>
          <w:rFonts w:ascii="Times New Roman" w:hAnsi="Times New Roman"/>
        </w:rPr>
        <w:t xml:space="preserve"> [20 μονάδες]</w:t>
      </w:r>
    </w:p>
    <w:p>
      <w:pPr>
        <w:pStyle w:val="Normal"/>
        <w:spacing w:lineRule="auto" w:line="240" w:before="0" w:after="0"/>
        <w:jc w:val="both"/>
        <w:rPr>
          <w:rFonts w:ascii="Times New Roman" w:hAnsi="Times New Roman"/>
        </w:rPr>
      </w:pPr>
      <w:r>
        <w:rPr>
          <w:rFonts w:ascii="Times New Roman" w:hAnsi="Times New Roman"/>
        </w:rPr>
        <w:t xml:space="preserve">Αν υποθέσουμε ότι γνωρίζουμε ότι η ελάχιστη τιμή της συνάρτησης Goldstein-Price εμφανίζεται για κάποιες ακέραιες τιμές των μεταβλητών </w:t>
      </w:r>
      <w:r>
        <w:rPr>
          <w:rFonts w:ascii="Times New Roman" w:hAnsi="Times New Roman"/>
          <w:lang w:val="en-US"/>
        </w:rPr>
        <w:t>x</w:t>
      </w:r>
      <w:r>
        <w:rPr>
          <w:rFonts w:ascii="Times New Roman" w:hAnsi="Times New Roman"/>
        </w:rPr>
        <w:t xml:space="preserve"> και </w:t>
      </w:r>
      <w:r>
        <w:rPr>
          <w:rFonts w:ascii="Times New Roman" w:hAnsi="Times New Roman"/>
          <w:lang w:val="en-US"/>
        </w:rPr>
        <w:t>y</w:t>
      </w:r>
      <w:r>
        <w:rPr>
          <w:rFonts w:ascii="Times New Roman" w:hAnsi="Times New Roman"/>
        </w:rPr>
        <w:t xml:space="preserve"> (ή αν για κάποια συγκεκριμένη εφαρμογή ζητάμε ακέραιες λύσεις) ποιες αλλαγές θα κάνατε στο κώδικά σας;</w:t>
      </w:r>
    </w:p>
    <w:p>
      <w:pPr>
        <w:pStyle w:val="Normal"/>
        <w:spacing w:lineRule="auto" w:line="240" w:before="0" w:after="0"/>
        <w:jc w:val="both"/>
        <w:rPr>
          <w:rFonts w:ascii="Times New Roman" w:hAnsi="Times New Roman"/>
          <w:b/>
          <w:b/>
        </w:rPr>
      </w:pPr>
      <w:r>
        <w:rPr>
          <w:rFonts w:ascii="Times New Roman" w:hAnsi="Times New Roman"/>
          <w:b/>
        </w:rPr>
        <w:t>Ε.</w:t>
      </w:r>
      <w:r>
        <w:rPr>
          <w:rFonts w:ascii="Times New Roman" w:hAnsi="Times New Roman"/>
        </w:rPr>
        <w:t xml:space="preserve"> [10 μονάδες]</w:t>
      </w:r>
    </w:p>
    <w:p>
      <w:pPr>
        <w:pStyle w:val="Normal"/>
        <w:spacing w:lineRule="auto" w:line="240" w:before="0" w:after="0"/>
        <w:jc w:val="both"/>
        <w:rPr>
          <w:rFonts w:ascii="Times New Roman" w:hAnsi="Times New Roman"/>
        </w:rPr>
      </w:pPr>
      <w:r>
        <w:rPr>
          <w:rFonts w:ascii="Times New Roman" w:hAnsi="Times New Roman"/>
        </w:rPr>
        <w:t>Δοκιμάστε να βρείτε ακέραιο σημείο ελαχίστου για τη συνάρτηση Goldstein-Price, για κάποιο σύνολο παραμέτρων που στο προηγούμενο ερώτημα έδινε καλά αποτελέσματα. Θεωρείτε ότι τώρα θα βρούμε τη λύση με μεγαλύτερη ακρίβεια; Θα βρεθεί η λύση γρηγορότερα ή όχι; Σχολιάστε τη λύση που βρήκατε.</w:t>
      </w:r>
    </w:p>
    <w:p>
      <w:pPr>
        <w:pStyle w:val="Normal"/>
        <w:spacing w:lineRule="auto" w:line="240" w:before="0" w:after="0"/>
        <w:jc w:val="both"/>
        <w:rPr>
          <w:rFonts w:ascii="Times New Roman" w:hAnsi="Times New Roman"/>
          <w:sz w:val="18"/>
          <w:szCs w:val="18"/>
          <w:shd w:fill="FFFFFF" w:val="clear"/>
        </w:rPr>
      </w:pPr>
      <w:r>
        <w:rPr>
          <w:rFonts w:ascii="Times New Roman" w:hAnsi="Times New Roman"/>
          <w:sz w:val="18"/>
          <w:szCs w:val="18"/>
          <w:shd w:fill="FFFFFF" w:val="clear"/>
        </w:rPr>
      </w:r>
    </w:p>
    <w:p>
      <w:pPr>
        <w:pStyle w:val="Normal"/>
        <w:spacing w:lineRule="auto" w:line="240" w:before="0" w:after="0"/>
        <w:jc w:val="both"/>
        <w:rPr>
          <w:rFonts w:ascii="Times New Roman" w:hAnsi="Times New Roman"/>
          <w:sz w:val="18"/>
          <w:szCs w:val="18"/>
          <w:highlight w:val="white"/>
        </w:rPr>
      </w:pPr>
      <w:r>
        <w:rPr>
          <w:rFonts w:ascii="Times New Roman" w:hAnsi="Times New Roman"/>
          <w:sz w:val="18"/>
          <w:szCs w:val="18"/>
          <w:shd w:fill="FFFFFF" w:val="clear"/>
        </w:rPr>
        <w:t xml:space="preserve">Σημείωση: Θέλουμε η κωδικοποίηση των χρωμοσωμάτων να είναι ακέραια, δηλ. κάθε χρωμόσωμα θα αποτελείται από ακέραιους αριθμούς και επίσης θεωρούμε ότι δεν επιτρέπεται η εξαντλητική (brute force) αναζήτηση του χώρου (λόγω του πολύ μικρού χώρου αναζήτησης στο συγκεκριμένο πρόβλημα). </w:t>
      </w:r>
    </w:p>
    <w:p>
      <w:pPr>
        <w:pStyle w:val="Normal"/>
        <w:rPr/>
      </w:pPr>
      <w:r>
        <w:rPr/>
      </w:r>
    </w:p>
    <w:p>
      <w:pPr>
        <w:pStyle w:val="Normal"/>
        <w:rPr>
          <w:b/>
          <w:b/>
          <w:color w:val="FF0000"/>
          <w:u w:val="single"/>
        </w:rPr>
      </w:pPr>
      <w:r>
        <w:rPr>
          <w:b/>
          <w:color w:val="FF0000"/>
          <w:u w:val="single"/>
        </w:rPr>
        <w:t>ΑΠΑΛΛΑΚΤΙΚΟ ΑΠΟ ΤΕΛΙΚΕΣ ΕΞΕΤΑΣΕΙΣ</w:t>
      </w:r>
    </w:p>
    <w:p>
      <w:pPr>
        <w:pStyle w:val="Normal"/>
        <w:spacing w:lineRule="auto" w:line="240" w:before="0" w:after="0"/>
        <w:jc w:val="both"/>
        <w:rPr>
          <w:rFonts w:ascii="Times New Roman" w:hAnsi="Times New Roman"/>
          <w:sz w:val="28"/>
          <w:szCs w:val="28"/>
        </w:rPr>
      </w:pPr>
      <w:r>
        <w:rPr>
          <w:rFonts w:ascii="Times New Roman" w:hAnsi="Times New Roman"/>
          <w:b/>
          <w:i/>
          <w:sz w:val="28"/>
          <w:szCs w:val="28"/>
        </w:rPr>
        <w:t>Εξελικτικοί Αλγόριθμοι και Γενετικός Προγραμματισμός</w:t>
      </w:r>
      <w:r>
        <w:rPr>
          <w:rFonts w:ascii="Times New Roman" w:hAnsi="Times New Roman"/>
          <w:b/>
          <w:sz w:val="28"/>
          <w:szCs w:val="28"/>
        </w:rPr>
        <w:t xml:space="preserve"> </w:t>
      </w:r>
      <w:r>
        <w:rPr>
          <w:rFonts w:ascii="Times New Roman" w:hAnsi="Times New Roman"/>
          <w:sz w:val="28"/>
          <w:szCs w:val="28"/>
        </w:rPr>
        <w:t>[</w:t>
      </w:r>
      <w:r>
        <w:rPr>
          <w:rFonts w:ascii="Times New Roman" w:hAnsi="Times New Roman"/>
          <w:i/>
          <w:sz w:val="28"/>
          <w:szCs w:val="28"/>
        </w:rPr>
        <w:t>100 μονάδες</w:t>
      </w:r>
      <w:r>
        <w:rPr>
          <w:rFonts w:ascii="Times New Roman" w:hAnsi="Times New Roman"/>
          <w:sz w:val="28"/>
          <w:szCs w:val="28"/>
        </w:rPr>
        <w:t>]</w:t>
      </w:r>
    </w:p>
    <w:p>
      <w:pPr>
        <w:pStyle w:val="Normal"/>
        <w:spacing w:lineRule="auto" w:line="240" w:before="0" w:after="0"/>
        <w:jc w:val="both"/>
        <w:rPr>
          <w:rFonts w:ascii="Times New Roman" w:hAnsi="Times New Roman"/>
          <w:b/>
          <w:b/>
          <w:sz w:val="28"/>
          <w:szCs w:val="28"/>
        </w:rPr>
      </w:pPr>
      <w:r>
        <w:rPr>
          <w:rFonts w:ascii="Times New Roman" w:hAnsi="Times New Roman"/>
          <w:b/>
          <w:sz w:val="28"/>
          <w:szCs w:val="28"/>
        </w:rPr>
      </w:r>
    </w:p>
    <w:p>
      <w:pPr>
        <w:pStyle w:val="NormalWeb"/>
        <w:spacing w:beforeAutospacing="0" w:before="0" w:afterAutospacing="0" w:after="0"/>
        <w:jc w:val="both"/>
        <w:rPr>
          <w:sz w:val="22"/>
        </w:rPr>
      </w:pPr>
      <w:r>
        <w:rPr>
          <w:b/>
          <w:sz w:val="22"/>
        </w:rPr>
        <w:t>1.</w:t>
      </w:r>
      <w:r>
        <w:rPr>
          <w:sz w:val="22"/>
        </w:rPr>
        <w:t xml:space="preserve"> [10 μονάδες] Προγραμματίζοντας ένα ρομπότ με ένα ΓΑ. Θεωρείστε τον παρακάτω λαβύρινθο: </w:t>
      </w:r>
    </w:p>
    <w:p>
      <w:pPr>
        <w:pStyle w:val="NormalWeb"/>
        <w:spacing w:beforeAutospacing="0" w:before="0" w:afterAutospacing="0" w:after="0"/>
        <w:jc w:val="both"/>
        <w:rPr>
          <w:sz w:val="22"/>
        </w:rPr>
      </w:pPr>
      <w:r>
        <w:rPr>
          <w:sz w:val="22"/>
        </w:rPr>
      </w:r>
    </w:p>
    <w:tbl>
      <w:tblPr>
        <w:tblStyle w:val="a4"/>
        <w:tblW w:w="6983" w:type="dxa"/>
        <w:jc w:val="center"/>
        <w:tblInd w:w="0" w:type="dxa"/>
        <w:tblCellMar>
          <w:top w:w="0" w:type="dxa"/>
          <w:left w:w="108" w:type="dxa"/>
          <w:bottom w:w="0" w:type="dxa"/>
          <w:right w:w="108" w:type="dxa"/>
        </w:tblCellMar>
        <w:tblLook w:val="04a0" w:noVBand="1" w:noHBand="0" w:lastColumn="0" w:firstColumn="1" w:lastRow="0" w:firstRow="1"/>
      </w:tblPr>
      <w:tblGrid>
        <w:gridCol w:w="1107"/>
        <w:gridCol w:w="1032"/>
        <w:gridCol w:w="397"/>
        <w:gridCol w:w="396"/>
        <w:gridCol w:w="397"/>
        <w:gridCol w:w="397"/>
        <w:gridCol w:w="396"/>
        <w:gridCol w:w="397"/>
        <w:gridCol w:w="397"/>
        <w:gridCol w:w="1032"/>
        <w:gridCol w:w="2"/>
        <w:gridCol w:w="1032"/>
      </w:tblGrid>
      <w:tr>
        <w:trPr>
          <w:trHeight w:val="397" w:hRule="atLeast"/>
        </w:trPr>
        <w:tc>
          <w:tcPr>
            <w:tcW w:w="110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4843" w:type="dxa"/>
            <w:gridSpan w:val="10"/>
            <w:tcBorders>
              <w:top w:val="nil"/>
              <w:left w:val="nil"/>
              <w:bottom w:val="nil"/>
              <w:right w:val="nil"/>
              <w:insideH w:val="nil"/>
              <w:insideV w:val="nil"/>
            </w:tcBorders>
            <w:shd w:color="auto" w:fill="auto" w:val="clear"/>
            <w:vAlign w:val="center"/>
          </w:tcPr>
          <w:p>
            <w:pPr>
              <w:pStyle w:val="NormalWeb"/>
              <w:spacing w:lineRule="auto" w:line="240" w:beforeAutospacing="0" w:before="0" w:afterAutospacing="0" w:after="0"/>
              <w:jc w:val="center"/>
              <w:rPr>
                <w:sz w:val="22"/>
              </w:rPr>
            </w:pPr>
            <w:r>
              <w:rPr>
                <w:sz w:val="22"/>
                <w:lang w:val="en-US"/>
              </w:rPr>
              <w:t>Left</w:t>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r>
      <w:tr>
        <w:trPr>
          <w:trHeight w:val="397" w:hRule="atLeast"/>
        </w:trPr>
        <w:tc>
          <w:tcPr>
            <w:tcW w:w="1107" w:type="dxa"/>
            <w:vMerge w:val="restart"/>
            <w:tcBorders>
              <w:top w:val="nil"/>
              <w:left w:val="nil"/>
              <w:bottom w:val="nil"/>
              <w:right w:val="nil"/>
              <w:insideH w:val="nil"/>
              <w:insideV w:val="nil"/>
            </w:tcBorders>
            <w:shd w:fill="auto" w:val="clear"/>
            <w:vAlign w:val="center"/>
          </w:tcPr>
          <w:p>
            <w:pPr>
              <w:pStyle w:val="NormalWeb"/>
              <w:spacing w:lineRule="auto" w:line="240" w:before="0" w:after="0"/>
              <w:jc w:val="center"/>
              <w:rPr>
                <w:sz w:val="22"/>
              </w:rPr>
            </w:pPr>
            <w:r>
              <w:rPr>
                <w:sz w:val="22"/>
                <w:lang w:val="en-US"/>
              </w:rPr>
              <w:t>Backward</w:t>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4" w:type="dxa"/>
            <w:gridSpan w:val="2"/>
            <w:vMerge w:val="restart"/>
            <w:tcBorders>
              <w:top w:val="nil"/>
              <w:left w:val="nil"/>
              <w:bottom w:val="nil"/>
              <w:right w:val="nil"/>
              <w:insideH w:val="nil"/>
              <w:insideV w:val="nil"/>
            </w:tcBorders>
            <w:shd w:fill="auto" w:val="clear"/>
            <w:vAlign w:val="center"/>
          </w:tcPr>
          <w:p>
            <w:pPr>
              <w:pStyle w:val="NormalWeb"/>
              <w:spacing w:lineRule="auto" w:line="240" w:before="0" w:after="0"/>
              <w:jc w:val="center"/>
              <w:rPr>
                <w:sz w:val="22"/>
              </w:rPr>
            </w:pPr>
            <w:r>
              <w:rPr>
                <w:sz w:val="22"/>
                <w:lang w:val="en-US"/>
              </w:rPr>
              <w:t>Forward</w:t>
            </w:r>
          </w:p>
        </w:tc>
      </w:tr>
      <w:tr>
        <w:trPr>
          <w:trHeight w:val="397" w:hRule="atLeast"/>
        </w:trPr>
        <w:tc>
          <w:tcPr>
            <w:tcW w:w="1107" w:type="dxa"/>
            <w:vMerge w:val="continue"/>
            <w:tcBorders>
              <w:top w:val="nil"/>
              <w:left w:val="nil"/>
              <w:bottom w:val="nil"/>
              <w:right w:val="nil"/>
              <w:insideH w:val="nil"/>
              <w:insideV w:val="nil"/>
            </w:tcBorders>
            <w:shd w:fill="auto" w:val="clear"/>
          </w:tcPr>
          <w:p>
            <w:pPr>
              <w:pStyle w:val="NormalWeb"/>
              <w:spacing w:lineRule="auto" w:line="240" w:before="0" w:after="0"/>
              <w:jc w:val="both"/>
              <w:rPr>
                <w:sz w:val="22"/>
                <w:lang w:val="en-US"/>
              </w:rPr>
            </w:pPr>
            <w:r>
              <w:rPr>
                <w:sz w:val="22"/>
                <w:lang w:val="en-US"/>
              </w:rPr>
            </w:r>
          </w:p>
        </w:tc>
        <w:tc>
          <w:tcPr>
            <w:tcW w:w="1032" w:type="dxa"/>
            <w:tcBorders>
              <w:top w:val="nil"/>
              <w:left w:val="nil"/>
              <w:bottom w:val="nil"/>
              <w:right w:val="nil"/>
              <w:insideH w:val="nil"/>
              <w:insideV w:val="nil"/>
            </w:tcBorders>
            <w:shd w:fill="auto" w:val="clear"/>
            <w:vAlign w:val="center"/>
          </w:tcPr>
          <w:p>
            <w:pPr>
              <w:pStyle w:val="NormalWeb"/>
              <w:spacing w:lineRule="auto" w:line="240" w:beforeAutospacing="0" w:before="0" w:afterAutospacing="0" w:after="0"/>
              <w:jc w:val="right"/>
              <w:rPr>
                <w:sz w:val="22"/>
                <w:lang w:val="en-US"/>
              </w:rPr>
            </w:pPr>
            <w:r>
              <w:rPr>
                <w:sz w:val="22"/>
                <w:lang w:val="en-US"/>
              </w:rPr>
              <w:t>&gt;&gt;&gt;&gt;&gt;</w:t>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4" w:type="dxa"/>
            <w:gridSpan w:val="2"/>
            <w:vMerge w:val="continue"/>
            <w:tcBorders>
              <w:top w:val="nil"/>
              <w:left w:val="nil"/>
              <w:bottom w:val="nil"/>
              <w:right w:val="nil"/>
              <w:insideH w:val="nil"/>
              <w:insideV w:val="nil"/>
            </w:tcBorders>
            <w:shd w:fill="auto" w:val="clear"/>
          </w:tcPr>
          <w:p>
            <w:pPr>
              <w:pStyle w:val="NormalWeb"/>
              <w:spacing w:lineRule="auto" w:line="240" w:before="0" w:after="0"/>
              <w:rPr>
                <w:sz w:val="22"/>
              </w:rPr>
            </w:pPr>
            <w:r>
              <w:rPr>
                <w:sz w:val="22"/>
              </w:rPr>
            </w:r>
          </w:p>
        </w:tc>
      </w:tr>
      <w:tr>
        <w:trPr>
          <w:trHeight w:val="397" w:hRule="atLeast"/>
        </w:trPr>
        <w:tc>
          <w:tcPr>
            <w:tcW w:w="1107" w:type="dxa"/>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lang w:val="en-US"/>
              </w:rPr>
            </w:pPr>
            <w:r>
              <w:rPr>
                <w:sz w:val="22"/>
                <w:lang w:val="en-US"/>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vAlign w:val="center"/>
          </w:tcPr>
          <w:p>
            <w:pPr>
              <w:pStyle w:val="NormalWeb"/>
              <w:spacing w:lineRule="auto" w:line="240" w:beforeAutospacing="0" w:before="0" w:afterAutospacing="0" w:after="0"/>
              <w:rPr>
                <w:sz w:val="22"/>
                <w:lang w:val="en-US"/>
              </w:rPr>
            </w:pPr>
            <w:r>
              <w:rPr>
                <w:sz w:val="22"/>
                <w:lang w:val="en-US"/>
              </w:rPr>
              <w:t>&gt;&gt;&gt;&gt;&gt;</w:t>
            </w:r>
          </w:p>
        </w:tc>
        <w:tc>
          <w:tcPr>
            <w:tcW w:w="1034" w:type="dxa"/>
            <w:gridSpan w:val="2"/>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rPr>
                <w:sz w:val="22"/>
                <w:lang w:val="en-US"/>
              </w:rPr>
            </w:pPr>
            <w:r>
              <w:rPr>
                <w:sz w:val="22"/>
                <w:lang w:val="en-US"/>
              </w:rPr>
            </w:r>
          </w:p>
        </w:tc>
      </w:tr>
      <w:tr>
        <w:trPr>
          <w:trHeight w:val="397" w:hRule="atLeast"/>
        </w:trPr>
        <w:tc>
          <w:tcPr>
            <w:tcW w:w="1107" w:type="dxa"/>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right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4" w:type="dxa"/>
            <w:gridSpan w:val="2"/>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r>
      <w:tr>
        <w:trPr>
          <w:trHeight w:val="397" w:hRule="atLeast"/>
        </w:trPr>
        <w:tc>
          <w:tcPr>
            <w:tcW w:w="1107" w:type="dxa"/>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6" w:type="dxa"/>
            <w:tcBorders>
              <w:top w:val="nil"/>
              <w:left w:val="nil"/>
              <w:bottom w:val="nil"/>
              <w:right w:val="nil"/>
              <w:insideH w:val="nil"/>
              <w:insideV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top w:val="nil"/>
              <w:left w:val="nil"/>
              <w:bottom w:val="nil"/>
              <w:insideH w:val="nil"/>
            </w:tcBorders>
            <w:shd w:color="auto" w:fill="000000" w:themeFill="text1" w:val="clear"/>
          </w:tcPr>
          <w:p>
            <w:pPr>
              <w:pStyle w:val="NormalWeb"/>
              <w:spacing w:lineRule="auto" w:line="240" w:beforeAutospacing="0" w:before="0" w:afterAutospacing="0" w:after="0"/>
              <w:jc w:val="both"/>
              <w:rPr>
                <w:sz w:val="22"/>
              </w:rPr>
            </w:pPr>
            <w:r>
              <w:rPr>
                <w:sz w:val="22"/>
              </w:rPr>
            </w:r>
          </w:p>
        </w:tc>
        <w:tc>
          <w:tcPr>
            <w:tcW w:w="397" w:type="dxa"/>
            <w:tcBorders/>
            <w:shd w:color="auto" w:fill="000000" w:themeFill="text1" w:val="clear"/>
            <w:tcMar>
              <w:left w:w="103" w:type="dxa"/>
            </w:tcMar>
          </w:tcPr>
          <w:p>
            <w:pPr>
              <w:pStyle w:val="NormalWeb"/>
              <w:spacing w:lineRule="auto" w:line="240" w:beforeAutospacing="0" w:before="0" w:afterAutospacing="0" w:after="0"/>
              <w:jc w:val="both"/>
              <w:rPr>
                <w:sz w:val="22"/>
              </w:rPr>
            </w:pPr>
            <w:r>
              <w:rPr>
                <w:sz w:val="22"/>
              </w:rPr>
            </w:r>
          </w:p>
        </w:tc>
        <w:tc>
          <w:tcPr>
            <w:tcW w:w="1032" w:type="dxa"/>
            <w:tcBorders>
              <w:top w:val="nil"/>
              <w:bottom w:val="nil"/>
              <w:right w:val="nil"/>
              <w:insideH w:val="nil"/>
              <w:insideV w:val="nil"/>
            </w:tcBorders>
            <w:shd w:fill="auto" w:val="clear"/>
            <w:tcMar>
              <w:left w:w="103" w:type="dxa"/>
            </w:tcMar>
          </w:tcPr>
          <w:p>
            <w:pPr>
              <w:pStyle w:val="NormalWeb"/>
              <w:spacing w:lineRule="auto" w:line="240" w:beforeAutospacing="0" w:before="0" w:afterAutospacing="0" w:after="0"/>
              <w:jc w:val="both"/>
              <w:rPr>
                <w:sz w:val="22"/>
              </w:rPr>
            </w:pPr>
            <w:r>
              <w:rPr>
                <w:sz w:val="22"/>
              </w:rPr>
            </w:r>
          </w:p>
        </w:tc>
        <w:tc>
          <w:tcPr>
            <w:tcW w:w="1034" w:type="dxa"/>
            <w:gridSpan w:val="2"/>
            <w:vMerge w:val="continue"/>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r>
      <w:tr>
        <w:trPr>
          <w:trHeight w:val="397" w:hRule="atLeast"/>
        </w:trPr>
        <w:tc>
          <w:tcPr>
            <w:tcW w:w="1107"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c>
          <w:tcPr>
            <w:tcW w:w="4843" w:type="dxa"/>
            <w:gridSpan w:val="10"/>
            <w:tcBorders>
              <w:top w:val="nil"/>
              <w:left w:val="nil"/>
              <w:bottom w:val="nil"/>
              <w:right w:val="nil"/>
              <w:insideH w:val="nil"/>
              <w:insideV w:val="nil"/>
            </w:tcBorders>
            <w:shd w:fill="auto" w:val="clear"/>
            <w:vAlign w:val="center"/>
          </w:tcPr>
          <w:p>
            <w:pPr>
              <w:pStyle w:val="NormalWeb"/>
              <w:spacing w:lineRule="auto" w:line="240" w:beforeAutospacing="0" w:before="0" w:afterAutospacing="0" w:after="0"/>
              <w:jc w:val="center"/>
              <w:rPr>
                <w:sz w:val="22"/>
              </w:rPr>
            </w:pPr>
            <w:r>
              <w:rPr>
                <w:sz w:val="22"/>
                <w:lang w:val="en-US"/>
              </w:rPr>
              <w:t>Right</w:t>
            </w:r>
          </w:p>
        </w:tc>
        <w:tc>
          <w:tcPr>
            <w:tcW w:w="1032" w:type="dxa"/>
            <w:tcBorders>
              <w:top w:val="nil"/>
              <w:left w:val="nil"/>
              <w:bottom w:val="nil"/>
              <w:right w:val="nil"/>
              <w:insideH w:val="nil"/>
              <w:insideV w:val="nil"/>
            </w:tcBorders>
            <w:shd w:fill="auto" w:val="clear"/>
          </w:tcPr>
          <w:p>
            <w:pPr>
              <w:pStyle w:val="NormalWeb"/>
              <w:spacing w:lineRule="auto" w:line="240" w:beforeAutospacing="0" w:before="0" w:afterAutospacing="0" w:after="0"/>
              <w:jc w:val="both"/>
              <w:rPr>
                <w:sz w:val="22"/>
              </w:rPr>
            </w:pPr>
            <w:r>
              <w:rPr>
                <w:sz w:val="22"/>
              </w:rPr>
            </w:r>
          </w:p>
        </w:tc>
      </w:tr>
    </w:tbl>
    <w:p>
      <w:pPr>
        <w:pStyle w:val="NormalWeb"/>
        <w:spacing w:beforeAutospacing="0" w:before="0" w:afterAutospacing="0" w:after="0"/>
        <w:jc w:val="both"/>
        <w:rPr>
          <w:sz w:val="22"/>
          <w:lang w:val="en-US"/>
        </w:rPr>
      </w:pPr>
      <w:r>
        <w:rPr>
          <w:sz w:val="22"/>
          <w:lang w:val="en-US"/>
        </w:rPr>
      </w:r>
    </w:p>
    <w:p>
      <w:pPr>
        <w:pStyle w:val="NormalWeb"/>
        <w:spacing w:beforeAutospacing="0" w:before="0" w:afterAutospacing="0" w:after="0"/>
        <w:jc w:val="both"/>
        <w:rPr>
          <w:sz w:val="22"/>
        </w:rPr>
      </w:pPr>
      <w:r>
        <w:rPr>
          <w:sz w:val="22"/>
        </w:rPr>
        <w:t>Ένα ρομπότ που εισέρχεται στο λαβύρινθο χρειάζεται να πλοηγηθεί μέχρι να φθάσει στην έξοδο. Ας υποθέσουμε ότι το ρομπότ μπορεί να κάνει σε κάθε  βήμα μία από τις παρακάτω ενέργειες:</w:t>
      </w:r>
    </w:p>
    <w:p>
      <w:pPr>
        <w:pStyle w:val="Normal"/>
        <w:numPr>
          <w:ilvl w:val="0"/>
          <w:numId w:val="1"/>
        </w:numPr>
        <w:spacing w:lineRule="auto" w:line="240" w:before="0" w:after="0"/>
        <w:rPr>
          <w:rFonts w:ascii="Times New Roman" w:hAnsi="Times New Roman"/>
        </w:rPr>
      </w:pPr>
      <w:r>
        <w:rPr>
          <w:rFonts w:ascii="Times New Roman" w:hAnsi="Times New Roman"/>
        </w:rPr>
        <w:t xml:space="preserve">Move Forward 1 box </w:t>
      </w:r>
    </w:p>
    <w:p>
      <w:pPr>
        <w:pStyle w:val="Normal"/>
        <w:numPr>
          <w:ilvl w:val="0"/>
          <w:numId w:val="1"/>
        </w:numPr>
        <w:spacing w:lineRule="auto" w:line="240" w:before="0" w:after="0"/>
        <w:rPr>
          <w:rFonts w:ascii="Times New Roman" w:hAnsi="Times New Roman"/>
        </w:rPr>
      </w:pPr>
      <w:r>
        <w:rPr>
          <w:rFonts w:ascii="Times New Roman" w:hAnsi="Times New Roman"/>
        </w:rPr>
        <w:t xml:space="preserve">Move Backward 1 box </w:t>
      </w:r>
    </w:p>
    <w:p>
      <w:pPr>
        <w:pStyle w:val="Normal"/>
        <w:numPr>
          <w:ilvl w:val="0"/>
          <w:numId w:val="1"/>
        </w:numPr>
        <w:spacing w:lineRule="auto" w:line="240" w:before="0" w:after="0"/>
        <w:rPr>
          <w:rFonts w:ascii="Times New Roman" w:hAnsi="Times New Roman"/>
        </w:rPr>
      </w:pPr>
      <w:r>
        <w:rPr>
          <w:rFonts w:ascii="Times New Roman" w:hAnsi="Times New Roman"/>
        </w:rPr>
        <w:t xml:space="preserve">Move Left 1 box </w:t>
      </w:r>
    </w:p>
    <w:p>
      <w:pPr>
        <w:pStyle w:val="Normal"/>
        <w:numPr>
          <w:ilvl w:val="0"/>
          <w:numId w:val="1"/>
        </w:numPr>
        <w:spacing w:lineRule="auto" w:line="240" w:before="0" w:after="0"/>
        <w:rPr>
          <w:rFonts w:ascii="Times New Roman" w:hAnsi="Times New Roman"/>
        </w:rPr>
      </w:pPr>
      <w:r>
        <w:rPr>
          <w:rFonts w:ascii="Times New Roman" w:hAnsi="Times New Roman"/>
        </w:rPr>
        <w:t xml:space="preserve">Move Right 1 box </w:t>
      </w:r>
    </w:p>
    <w:p>
      <w:pPr>
        <w:pStyle w:val="NormalWeb"/>
        <w:spacing w:beforeAutospacing="0" w:before="0" w:afterAutospacing="0" w:after="0"/>
        <w:jc w:val="both"/>
        <w:rPr>
          <w:sz w:val="22"/>
        </w:rPr>
      </w:pPr>
      <w:r>
        <w:rPr>
          <w:sz w:val="22"/>
        </w:rPr>
        <w:t xml:space="preserve">Να σχεδιάσετε ένα Γ.Α. για την επίλυση του παραπάνω προβλήματος. Να αναφέρετε τη συνάρτηση αξιολόγησης, την κωδικοποίηση και τους τελεστές επιλογής, διασταύρωσης και μετάλλαξης. </w:t>
      </w:r>
    </w:p>
    <w:p>
      <w:pPr>
        <w:pStyle w:val="NormalWeb"/>
        <w:spacing w:beforeAutospacing="0" w:before="0" w:afterAutospacing="0" w:after="0"/>
        <w:jc w:val="both"/>
        <w:rPr>
          <w:sz w:val="22"/>
        </w:rPr>
      </w:pPr>
      <w:r>
        <w:rPr>
          <w:b/>
          <w:i/>
          <w:sz w:val="22"/>
          <w:u w:val="single"/>
        </w:rPr>
        <w:t>Υπόδειξη:</w:t>
      </w:r>
      <w:r>
        <w:rPr>
          <w:sz w:val="22"/>
        </w:rPr>
        <w:t xml:space="preserve"> Η συνάρτηση αξιολόγησης πρέπει να παρέχει ένα μέτρο της απόδοσης μιας συγκεκριμένης ακολουθίας ενεργειών, π.χ. τον αριθμό των βημάτων που απαιτήθηκαν για την πλοήγηση στο λαβύρινθο, ίσως μια ποινή για πλοήγηση σε τοίχο κ.λ.π.</w:t>
      </w:r>
    </w:p>
    <w:p>
      <w:pPr>
        <w:pStyle w:val="NormalWeb"/>
        <w:spacing w:beforeAutospacing="0" w:before="0" w:afterAutospacing="0" w:after="0"/>
        <w:jc w:val="both"/>
        <w:rPr>
          <w:sz w:val="22"/>
        </w:rPr>
      </w:pPr>
      <w:r>
        <w:rPr>
          <w:sz w:val="22"/>
        </w:rPr>
      </w:r>
    </w:p>
    <w:p>
      <w:pPr>
        <w:pStyle w:val="Normal"/>
        <w:spacing w:lineRule="auto" w:line="240" w:before="0" w:after="0"/>
        <w:jc w:val="both"/>
        <w:rPr>
          <w:rFonts w:ascii="Times New Roman" w:hAnsi="Times New Roman"/>
          <w:szCs w:val="24"/>
        </w:rPr>
      </w:pPr>
      <w:r>
        <w:rPr>
          <w:rFonts w:ascii="Times New Roman" w:hAnsi="Times New Roman"/>
          <w:b/>
          <w:szCs w:val="24"/>
        </w:rPr>
        <w:t>2.</w:t>
      </w:r>
      <w:r>
        <w:rPr>
          <w:rFonts w:ascii="Times New Roman" w:hAnsi="Times New Roman"/>
          <w:szCs w:val="24"/>
        </w:rPr>
        <w:t xml:space="preserve"> [20 μονάδες] Στο παραπάνω πρόβλημα του ρομπότ, ζητείται να “προγραμματίσετε” τη συμπεριφορά του ρομπότ, ώστε να εξέρχεται από το λαβύρινθο, με τη βοήθεια Γενετικού Προγραμματισμού. Να αναφέρετε την αναπαράσταση που θα χρησιμοποιήσετε, το σύνολο τερματικών και συναρτήσεων και τη συνάρτηση αξιολόγησης. Επίσης τους τελεστές επιλογής, διασταύρωσης και μετάλλαξης που προτείνετε.</w:t>
      </w:r>
    </w:p>
    <w:p>
      <w:pPr>
        <w:pStyle w:val="Normal"/>
        <w:spacing w:lineRule="auto" w:line="240" w:before="0" w:after="0"/>
        <w:jc w:val="both"/>
        <w:rPr>
          <w:rFonts w:ascii="Times New Roman" w:hAnsi="Times New Roman"/>
          <w:szCs w:val="24"/>
        </w:rPr>
      </w:pPr>
      <w:r>
        <w:rPr>
          <w:rFonts w:ascii="Times New Roman" w:hAnsi="Times New Roman"/>
          <w:szCs w:val="24"/>
        </w:rPr>
      </w:r>
    </w:p>
    <w:p>
      <w:pPr>
        <w:pStyle w:val="Normal"/>
        <w:spacing w:lineRule="auto" w:line="240" w:before="0" w:after="0"/>
        <w:rPr>
          <w:rFonts w:ascii="Courier New" w:hAnsi="Courier New" w:cs="Courier New"/>
          <w:sz w:val="20"/>
        </w:rPr>
      </w:pPr>
      <w:r>
        <w:rPr>
          <w:rFonts w:ascii="Times New Roman" w:hAnsi="Times New Roman"/>
          <w:b/>
          <w:szCs w:val="24"/>
        </w:rPr>
        <w:t>3.</w:t>
      </w:r>
      <w:r>
        <w:rPr>
          <w:rFonts w:ascii="Times New Roman" w:hAnsi="Times New Roman"/>
          <w:szCs w:val="24"/>
        </w:rPr>
        <w:t xml:space="preserve"> [70 μονάδες] Να υλοποιήσετε τον αλγόριθμο ΓΠ που σχεδιάσατε στο ερώτημα 3, σε γλώσσα προγραμματισμού της επιλογής σας.</w:t>
      </w:r>
    </w:p>
    <w:p>
      <w:pPr>
        <w:pStyle w:val="Normal"/>
        <w:rPr/>
      </w:pPr>
      <w:r>
        <w:rPr/>
      </w:r>
    </w:p>
    <w:p>
      <w:pPr>
        <w:pStyle w:val="Normal"/>
        <w:rPr/>
      </w:pPr>
      <w:r>
        <w:rPr/>
      </w:r>
    </w:p>
    <w:p>
      <w:pPr>
        <w:pStyle w:val="Normal"/>
        <w:jc w:val="both"/>
        <w:rPr>
          <w:b/>
          <w:b/>
          <w:u w:val="single"/>
        </w:rPr>
      </w:pPr>
      <w:r>
        <w:rPr>
          <w:b/>
          <w:u w:val="single"/>
        </w:rPr>
        <w:t>ΠΑΡΑΤΗΡΗΣΕΙΣ:</w:t>
      </w:r>
    </w:p>
    <w:p>
      <w:pPr>
        <w:pStyle w:val="Normal"/>
        <w:jc w:val="both"/>
        <w:rPr>
          <w:b/>
          <w:b/>
          <w:u w:val="single"/>
        </w:rPr>
      </w:pPr>
      <w:r>
        <w:rPr>
          <w:b/>
          <w:u w:val="single"/>
        </w:rPr>
      </w:r>
    </w:p>
    <w:p>
      <w:pPr>
        <w:pStyle w:val="Default"/>
        <w:numPr>
          <w:ilvl w:val="0"/>
          <w:numId w:val="2"/>
        </w:numPr>
        <w:jc w:val="both"/>
        <w:rPr/>
      </w:pPr>
      <w:r>
        <w:rPr>
          <w:rFonts w:cs="Times New Roman" w:ascii="Times New Roman" w:hAnsi="Times New Roman"/>
        </w:rPr>
        <w:t xml:space="preserve">Οι απαντήσεις σας πρέπει να σταλούν ηλεκτρονικά (.pdf και το όνομα του αρχείου θα έχει τη μορφή: ΧΨ_ΥΝ, όπου Χ = επώνυμο και Ψ= αρχικό ονόματος) στη σελίδα του μαθήματος στο e-class. Απαιτείται η εγγραφή σας στο μάθημα για να την αποστείλετε. ΜΟΝΟ οι μεταπτυχιακοί μπορούν να στείλουν τις απαντήσεις στο </w:t>
      </w:r>
      <w:hyperlink r:id="rId5">
        <w:r>
          <w:rPr>
            <w:rStyle w:val="InternetLink"/>
            <w:rFonts w:ascii="Times New Roman" w:hAnsi="Times New Roman"/>
            <w:lang w:val="en-US"/>
          </w:rPr>
          <w:t>vlantis</w:t>
        </w:r>
        <w:r>
          <w:rPr>
            <w:rStyle w:val="InternetLink"/>
            <w:rFonts w:ascii="Times New Roman" w:hAnsi="Times New Roman"/>
          </w:rPr>
          <w:t>@</w:t>
        </w:r>
        <w:r>
          <w:rPr>
            <w:rStyle w:val="InternetLink"/>
            <w:rFonts w:ascii="Times New Roman" w:hAnsi="Times New Roman"/>
            <w:lang w:val="en-US"/>
          </w:rPr>
          <w:t>ceid</w:t>
        </w:r>
        <w:r>
          <w:rPr>
            <w:rStyle w:val="InternetLink"/>
            <w:rFonts w:ascii="Times New Roman" w:hAnsi="Times New Roman"/>
          </w:rPr>
          <w:t>.</w:t>
        </w:r>
        <w:r>
          <w:rPr>
            <w:rStyle w:val="InternetLink"/>
            <w:rFonts w:ascii="Times New Roman" w:hAnsi="Times New Roman"/>
            <w:lang w:val="en-US"/>
          </w:rPr>
          <w:t>upatras</w:t>
        </w:r>
        <w:r>
          <w:rPr>
            <w:rStyle w:val="InternetLink"/>
            <w:rFonts w:ascii="Times New Roman" w:hAnsi="Times New Roman"/>
          </w:rPr>
          <w:t>.</w:t>
        </w:r>
        <w:r>
          <w:rPr>
            <w:rStyle w:val="InternetLink"/>
            <w:rFonts w:ascii="Times New Roman" w:hAnsi="Times New Roman"/>
            <w:lang w:val="en-US"/>
          </w:rPr>
          <w:t>gr</w:t>
        </w:r>
      </w:hyperlink>
      <w:r>
        <w:rPr>
          <w:rFonts w:ascii="Times New Roman" w:hAnsi="Times New Roman"/>
        </w:rPr>
        <w:t>.</w:t>
      </w:r>
    </w:p>
    <w:p>
      <w:pPr>
        <w:pStyle w:val="Default"/>
        <w:numPr>
          <w:ilvl w:val="0"/>
          <w:numId w:val="2"/>
        </w:numPr>
        <w:jc w:val="both"/>
        <w:rPr>
          <w:rFonts w:ascii="Times New Roman" w:hAnsi="Times New Roman" w:cs="Times New Roman"/>
        </w:rPr>
      </w:pPr>
      <w:r>
        <w:rPr>
          <w:rFonts w:cs="Times New Roman" w:ascii="Times New Roman" w:hAnsi="Times New Roman"/>
        </w:rPr>
        <w:t>Στην αρχή πρέπει να έχετε τα πλήρη στοιχεία σας (Ονομ/μο, ΑΜ., Εξάμηνο) και θα πρέπει να έχετε αριθμήσει κατάλληλα τις απαντήσεις σας (π.χ. A., B, κλπ.).</w:t>
      </w:r>
    </w:p>
    <w:p>
      <w:pPr>
        <w:pStyle w:val="ListParagraph"/>
        <w:numPr>
          <w:ilvl w:val="0"/>
          <w:numId w:val="2"/>
        </w:numPr>
        <w:jc w:val="both"/>
        <w:rPr/>
      </w:pPr>
      <w:r>
        <w:rPr>
          <w:rFonts w:ascii="Times New Roman" w:hAnsi="Times New Roman"/>
          <w:sz w:val="24"/>
          <w:szCs w:val="24"/>
        </w:rPr>
        <w:t>Για απορίες θα απευθύνεστε στον κο Ανδρέα Βλάντη (</w:t>
      </w:r>
      <w:hyperlink r:id="rId6">
        <w:r>
          <w:rPr>
            <w:rStyle w:val="InternetLink"/>
            <w:rFonts w:ascii="Times New Roman" w:hAnsi="Times New Roman"/>
            <w:sz w:val="24"/>
            <w:szCs w:val="24"/>
            <w:lang w:val="en-US"/>
          </w:rPr>
          <w:t>vlantis</w:t>
        </w:r>
        <w:r>
          <w:rPr>
            <w:rStyle w:val="InternetLink"/>
            <w:rFonts w:ascii="Times New Roman" w:hAnsi="Times New Roman"/>
            <w:sz w:val="24"/>
            <w:szCs w:val="24"/>
          </w:rPr>
          <w:t>@</w:t>
        </w:r>
        <w:r>
          <w:rPr>
            <w:rStyle w:val="InternetLink"/>
            <w:rFonts w:ascii="Times New Roman" w:hAnsi="Times New Roman"/>
            <w:sz w:val="24"/>
            <w:szCs w:val="24"/>
            <w:lang w:val="en-US"/>
          </w:rPr>
          <w:t>ceid</w:t>
        </w:r>
        <w:r>
          <w:rPr>
            <w:rStyle w:val="InternetLink"/>
            <w:rFonts w:ascii="Times New Roman" w:hAnsi="Times New Roman"/>
            <w:sz w:val="24"/>
            <w:szCs w:val="24"/>
          </w:rPr>
          <w:t>.</w:t>
        </w:r>
        <w:r>
          <w:rPr>
            <w:rStyle w:val="InternetLink"/>
            <w:rFonts w:ascii="Times New Roman" w:hAnsi="Times New Roman"/>
            <w:sz w:val="24"/>
            <w:szCs w:val="24"/>
            <w:lang w:val="en-US"/>
          </w:rPr>
          <w:t>upatras</w:t>
        </w:r>
        <w:r>
          <w:rPr>
            <w:rStyle w:val="InternetLink"/>
            <w:rFonts w:ascii="Times New Roman" w:hAnsi="Times New Roman"/>
            <w:sz w:val="24"/>
            <w:szCs w:val="24"/>
          </w:rPr>
          <w:t>.</w:t>
        </w:r>
        <w:r>
          <w:rPr>
            <w:rStyle w:val="InternetLink"/>
            <w:rFonts w:ascii="Times New Roman" w:hAnsi="Times New Roman"/>
            <w:sz w:val="24"/>
            <w:szCs w:val="24"/>
            <w:lang w:val="en-US"/>
          </w:rPr>
          <w:t>gr</w:t>
        </w:r>
      </w:hyperlink>
      <w:r>
        <w:rPr>
          <w:rFonts w:ascii="Times New Roman" w:hAnsi="Times New Roman"/>
          <w:sz w:val="24"/>
          <w:szCs w:val="24"/>
        </w:rPr>
        <w:t>).</w:t>
      </w:r>
    </w:p>
    <w:p>
      <w:pPr>
        <w:pStyle w:val="ListParagraph"/>
        <w:numPr>
          <w:ilvl w:val="0"/>
          <w:numId w:val="2"/>
        </w:numPr>
        <w:jc w:val="both"/>
        <w:rPr>
          <w:rFonts w:ascii="Times New Roman" w:hAnsi="Times New Roman"/>
          <w:sz w:val="24"/>
          <w:szCs w:val="24"/>
        </w:rPr>
      </w:pPr>
      <w:r>
        <w:rPr>
          <w:rFonts w:ascii="Times New Roman" w:hAnsi="Times New Roman"/>
          <w:sz w:val="24"/>
          <w:szCs w:val="24"/>
        </w:rPr>
        <w:t>Οι ώρες γραφείου είναι Τρίτη 13.00-15.00.</w:t>
      </w:r>
    </w:p>
    <w:p>
      <w:pPr>
        <w:pStyle w:val="ListParagraph"/>
        <w:numPr>
          <w:ilvl w:val="0"/>
          <w:numId w:val="2"/>
        </w:numPr>
        <w:jc w:val="both"/>
        <w:rPr>
          <w:rFonts w:ascii="Times New Roman" w:hAnsi="Times New Roman"/>
          <w:sz w:val="24"/>
          <w:szCs w:val="24"/>
        </w:rPr>
      </w:pPr>
      <w:r>
        <w:rPr>
          <w:rFonts w:ascii="Times New Roman" w:hAnsi="Times New Roman"/>
          <w:sz w:val="24"/>
          <w:szCs w:val="24"/>
        </w:rPr>
        <w:t>Το ποσοστό του τελικού βαθμού που αντιστοιχεί στο πρώτο μέρος της εργασίας είναι 15%.</w:t>
      </w:r>
    </w:p>
    <w:p>
      <w:pPr>
        <w:pStyle w:val="ListParagraph"/>
        <w:numPr>
          <w:ilvl w:val="0"/>
          <w:numId w:val="2"/>
        </w:numPr>
        <w:jc w:val="both"/>
        <w:rPr>
          <w:rFonts w:ascii="Times New Roman" w:hAnsi="Times New Roman"/>
          <w:sz w:val="24"/>
          <w:szCs w:val="24"/>
        </w:rPr>
      </w:pPr>
      <w:r>
        <w:rPr>
          <w:rFonts w:ascii="Times New Roman" w:hAnsi="Times New Roman"/>
          <w:sz w:val="24"/>
          <w:szCs w:val="24"/>
        </w:rPr>
        <w:t>Ημερομηνία παράδοσης: Η προηγούμενη της γραπτής εξέτασης έως 23:59.</w:t>
      </w:r>
    </w:p>
    <w:p>
      <w:pPr>
        <w:pStyle w:val="Normal"/>
        <w:widowControl/>
        <w:bidi w:val="0"/>
        <w:spacing w:lineRule="auto" w:line="259" w:before="0" w:after="160"/>
        <w:jc w:val="left"/>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da3cbe"/>
    <w:pPr>
      <w:widowControl/>
      <w:bidi w:val="0"/>
      <w:spacing w:lineRule="auto" w:line="259" w:before="0" w:after="160"/>
      <w:jc w:val="left"/>
    </w:pPr>
    <w:rPr>
      <w:rFonts w:ascii="Calibri" w:hAnsi="Calibri" w:eastAsia="Calibri" w:cs="Times New Roman" w:asciiTheme="minorHAnsi" w:eastAsiaTheme="minorHAnsi" w:hAnsiTheme="minorHAnsi"/>
      <w:color w:val="auto"/>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a3"/>
    <w:uiPriority w:val="99"/>
    <w:semiHidden/>
    <w:qFormat/>
    <w:rsid w:val="00da3cbe"/>
    <w:rPr>
      <w:rFonts w:ascii="Tahoma" w:hAnsi="Tahoma" w:eastAsia="Calibri" w:cs="Tahoma"/>
      <w:sz w:val="16"/>
      <w:szCs w:val="16"/>
    </w:rPr>
  </w:style>
  <w:style w:type="character" w:styleId="InternetLink">
    <w:name w:val="Internet Link"/>
    <w:rsid w:val="00be1122"/>
    <w:rPr>
      <w:color w:val="0000FF"/>
      <w:u w:val="single"/>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Char"/>
    <w:uiPriority w:val="99"/>
    <w:semiHidden/>
    <w:unhideWhenUsed/>
    <w:qFormat/>
    <w:rsid w:val="00da3cbe"/>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852c2"/>
    <w:pPr>
      <w:spacing w:lineRule="auto" w:line="240" w:beforeAutospacing="1" w:afterAutospacing="1"/>
    </w:pPr>
    <w:rPr>
      <w:rFonts w:ascii="Times New Roman" w:hAnsi="Times New Roman" w:eastAsia="Times New Roman"/>
      <w:color w:val="000000"/>
      <w:sz w:val="24"/>
      <w:szCs w:val="24"/>
      <w:lang w:eastAsia="el-GR"/>
    </w:rPr>
  </w:style>
  <w:style w:type="paragraph" w:styleId="ListParagraph">
    <w:name w:val="List Paragraph"/>
    <w:basedOn w:val="Normal"/>
    <w:uiPriority w:val="34"/>
    <w:qFormat/>
    <w:rsid w:val="00be1122"/>
    <w:pPr>
      <w:spacing w:lineRule="auto" w:line="276" w:before="0" w:after="200"/>
      <w:ind w:left="720" w:hanging="0"/>
      <w:contextualSpacing/>
    </w:pPr>
    <w:rPr/>
  </w:style>
  <w:style w:type="paragraph" w:styleId="Default" w:customStyle="1">
    <w:name w:val="Default"/>
    <w:qFormat/>
    <w:rsid w:val="00be1122"/>
    <w:pPr>
      <w:widowControl/>
      <w:bidi w:val="0"/>
      <w:spacing w:lineRule="auto" w:line="240" w:before="0" w:after="0"/>
      <w:jc w:val="left"/>
    </w:pPr>
    <w:rPr>
      <w:rFonts w:ascii="Arial" w:hAnsi="Arial" w:eastAsia="Calibri" w:cs="Arial"/>
      <w:color w:val="000000"/>
      <w:sz w:val="24"/>
      <w:szCs w:val="24"/>
      <w:lang w:val="el-GR" w:eastAsia="en-US" w:bidi="ar-SA"/>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5852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vlantis@ceid.upatras.gr" TargetMode="External"/><Relationship Id="rId6" Type="http://schemas.openxmlformats.org/officeDocument/2006/relationships/hyperlink" Target="mailto:vlantis@ceid.upatras.g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LibreOffice/5.0.6.1$Linux_X86_64 LibreOffice_project/00$Build-1</Application>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2016-04-17T21:42:00Z</dcterms:created>
  <dc:creator>likothan</dc:creator>
  <dc:language>el-GR</dc:language>
  <cp:lastModifiedBy>Spiros Kaftanis</cp:lastModifiedBy>
  <dcterms:modified xsi:type="dcterms:W3CDTF">2016-05-14T18:48:38Z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