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Table of Contents</w:t>
      </w:r>
    </w:p>
    <w:p/>
    <w:p>
      <w:r>
        <w:rPr>
          <w:b/>
        </w:rPr>
        <w:t xml:space="preserve">1. </w:t>
      </w:r>
      <w:r>
        <w:t>Makale 88: Peyzaj Tasarımı Tasarım İlkeleri</w:t>
      </w:r>
      <w:r>
        <w:rPr>
          <w:i/>
        </w:rPr>
        <w:t xml:space="preserve"> (theory, s. 38-72)</w:t>
      </w:r>
    </w:p>
    <w:p>
      <w:pPr>
        <w:ind w:left="720"/>
      </w:pPr>
      <w:r>
        <w:rPr>
          <w:i/>
        </w:rPr>
        <w:t xml:space="preserve">Authors: </w:t>
      </w:r>
      <w:r>
        <w:t>Author 14</w:t>
      </w:r>
    </w:p>
    <w:p>
      <w:pPr>
        <w:ind w:left="720"/>
      </w:pPr>
      <w:r>
        <w:rPr>
          <w:i/>
        </w:rPr>
        <w:t xml:space="preserve">Abstract: </w:t>
      </w:r>
      <w:r>
        <w:t>TR Abstract for article 88 exploring important aspects of the subject matter with detailed methodology and findings.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