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Makale 90: Kentsel Ekoloji Metodolojisi</w:t>
      </w:r>
      <w:r>
        <w:rPr>
          <w:i/>
        </w:rPr>
        <w:t xml:space="preserve"> (research, s. 47-63)</w:t>
      </w:r>
    </w:p>
    <w:p>
      <w:pPr>
        <w:ind w:left="720"/>
      </w:pPr>
      <w:r>
        <w:rPr>
          <w:i/>
        </w:rPr>
        <w:t xml:space="preserve">Authors: </w:t>
      </w:r>
      <w:r>
        <w:t>Author 12</w:t>
      </w:r>
    </w:p>
    <w:p>
      <w:pPr>
        <w:ind w:left="720"/>
      </w:pPr>
      <w:r>
        <w:rPr>
          <w:i/>
        </w:rPr>
        <w:t xml:space="preserve">Abstract: </w:t>
      </w:r>
      <w:r>
        <w:t>TR Abstract for article 90 exploring important aspects of the subject matter with detailed methodology and findings.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