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90: Kentsel Ekoloji Metodolojisi</w:t>
      </w:r>
      <w:r>
        <w:rPr>
          <w:i/>
        </w:rPr>
        <w:t xml:space="preserve"> (research, s. 47-63)</w:t>
      </w:r>
    </w:p>
    <w:p>
      <w:pPr>
        <w:ind w:left="720"/>
      </w:pPr>
      <w:r>
        <w:rPr>
          <w:i/>
        </w:rPr>
        <w:t xml:space="preserve">Authors: </w:t>
      </w:r>
      <w:r>
        <w:t>Author 12</w:t>
      </w:r>
    </w:p>
    <w:p>
      <w:pPr>
        <w:ind w:left="720"/>
      </w:pPr>
      <w:r>
        <w:rPr>
          <w:i/>
        </w:rPr>
        <w:t xml:space="preserve">Abstract: </w:t>
      </w:r>
      <w:r>
        <w:t>TR Abstract for article 90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