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104: Kamusal Mekanlar Vaka Çalışması</w:t>
      </w:r>
      <w:r>
        <w:rPr>
          <w:i/>
        </w:rPr>
        <w:t xml:space="preserve"> (research, s. 41-86)</w:t>
      </w:r>
    </w:p>
    <w:p>
      <w:pPr>
        <w:ind w:left="720"/>
      </w:pPr>
      <w:r>
        <w:rPr>
          <w:i/>
        </w:rPr>
        <w:t xml:space="preserve">Authors: </w:t>
      </w:r>
      <w:r>
        <w:t>Author 4, Author 7, Author 9</w:t>
      </w:r>
    </w:p>
    <w:p>
      <w:pPr>
        <w:ind w:left="720"/>
      </w:pPr>
      <w:r>
        <w:rPr>
          <w:i/>
        </w:rPr>
        <w:t xml:space="preserve">Abstract: </w:t>
      </w:r>
      <w:r>
        <w:t>TR Abstract for article 104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