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Kentsel Dönüşümde Kapsayıcılık</w:t>
      </w:r>
      <w:r>
        <w:rPr>
          <w:i/>
        </w:rPr>
        <w:t xml:space="preserve"> (N/A, s. 5-35)</w:t>
      </w:r>
    </w:p>
    <w:p>
      <w:pPr>
        <w:ind w:left="720"/>
      </w:pPr>
      <w:r>
        <w:rPr>
          <w:i/>
        </w:rPr>
        <w:t xml:space="preserve">Authors: </w:t>
      </w:r>
      <w:r>
        <w:t>Murat Köse, Ahmet Yazar</w:t>
      </w:r>
    </w:p>
    <w:p>
      <w:pPr>
        <w:ind w:left="720"/>
      </w:pPr>
      <w:r>
        <w:rPr>
          <w:i/>
        </w:rPr>
        <w:t xml:space="preserve">Abstract: </w:t>
      </w:r>
      <w:r>
        <w:t>Kentsel dönüşümde, bölgede evi olan herkesin proje ile yine evinin olması açısından Kentsel Dönüşüm Projelerinin incelenmesi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