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Service Level Credit Memo</w:t>
      </w:r>
    </w:p>
    <w:p>
      <w:pPr>
        <w:spacing w:after="80"/>
      </w:pPr>
      <w:r>
        <w:rPr>
          <w:b/>
          <w:sz w:val="24"/>
        </w:rPr>
        <w:t>{!Account[0].Name} — {!Account[0].Tier} agreement</w:t>
      </w:r>
    </w:p>
    <w:p>
      <w:pPr>
        <w:spacing w:after="80"/>
      </w:pPr>
      <w:r>
        <w:rPr>
          <w:b w:val="0"/>
          <w:sz w:val="20"/>
        </w:rPr>
        <w:t>Billing period {!Account[0].PeriodStart} to {!Account[0].PeriodEnd}  ·  contract availability {!Account[0].ContractUptimePct}%  ·  monthly fee ${!Account[0].MonthlyFeeUsd}</w:t>
      </w:r>
    </w:p>
    <w:p>
      <w:pPr>
        <w:pStyle w:val="Heading1"/>
      </w:pPr>
      <w:r>
        <w:t>Reconciled outcome</w:t>
      </w:r>
    </w:p>
    <w:p>
      <w:pPr>
        <w:spacing w:after="80"/>
      </w:pPr>
      <w:r>
        <w:rPr>
          <w:b/>
          <w:sz w:val="20"/>
        </w:rPr>
        <w:t>{!Account[0].Outcome}</w:t>
      </w:r>
    </w:p>
    <w:p>
      <w:pPr>
        <w:spacing w:after="80"/>
      </w:pPr>
      <w:r>
        <w:rPr>
          <w:b w:val="0"/>
          <w:sz w:val="20"/>
        </w:rPr>
        <w:t>Services reviewed: {!Account[0].ServiceCount}  ·  services in breach: {!Account[0].BreachCount}  ·  excluded source rows: {!Account[0].ExcludedCount}</w:t>
      </w:r>
    </w:p>
    <w:p>
      <w:pPr>
        <w:spacing w:after="80"/>
      </w:pPr>
      <w:r>
        <w:rPr>
          <w:b w:val="0"/>
          <w:sz w:val="20"/>
        </w:rPr>
        <w:t>Regulatory status: {!Account[0].RegulatoryStatus}</w:t>
      </w:r>
    </w:p>
    <w:p>
      <w:pPr>
        <w:pStyle w:val="Heading1"/>
      </w:pPr>
      <w:r>
        <w:t>Availability by service</w:t>
      </w:r>
    </w:p>
    <w:p>
      <w:pPr>
        <w:spacing w:after="80"/>
      </w:pPr>
      <w:r>
        <w:rPr>
          <w:b w:val="0"/>
          <w:sz w:val="20"/>
        </w:rPr>
        <w:t>{!Account[0].ServiceAudit}</w:t>
      </w:r>
    </w:p>
    <w:p>
      <w:pPr>
        <w:pStyle w:val="Heading1"/>
      </w:pPr>
      <w:r>
        <w:t>Reconciled outage audit</w:t>
      </w:r>
    </w:p>
    <w:p>
      <w:pPr>
        <w:spacing w:after="80"/>
      </w:pPr>
      <w:r>
        <w:rPr>
          <w:b w:val="0"/>
          <w:sz w:val="20"/>
        </w:rPr>
        <w:t>{!Account[0].OutageAudit}</w:t>
      </w:r>
    </w:p>
    <w:p>
      <w:pPr>
        <w:pStyle w:val="Heading1"/>
      </w:pPr>
      <w:r>
        <w:t>Excluded source rows</w:t>
      </w:r>
    </w:p>
    <w:p>
      <w:pPr>
        <w:spacing w:after="80"/>
      </w:pPr>
      <w:r>
        <w:rPr>
          <w:b w:val="0"/>
          <w:sz w:val="20"/>
        </w:rPr>
        <w:t>{!Account[0].ExclusionAudit}</w:t>
      </w:r>
    </w:p>
    <w:p>
      <w:pPr>
        <w:pStyle w:val="Heading1"/>
      </w:pPr>
      <w:r>
        <w:t>Total</w:t>
      </w:r>
    </w:p>
    <w:p>
      <w:pPr>
        <w:spacing w:after="80"/>
      </w:pPr>
      <w:r>
        <w:rPr>
          <w:b w:val="0"/>
          <w:sz w:val="20"/>
        </w:rPr>
        <w:t>Period minutes: {!Account[0].PeriodMinutes}  ·  reconciled downtime: {!Account[0].TotalDowntimeMinutes} minutes</w:t>
      </w:r>
    </w:p>
    <w:p>
      <w:pPr>
        <w:spacing w:after="80"/>
      </w:pPr>
      <w:r>
        <w:rPr>
          <w:b/>
          <w:sz w:val="24"/>
        </w:rPr>
        <w:t>Credit payable: ${!Account[0].TotalCreditUsd}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