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</w:p>
    <w:p>
      <w:pPr>
        <w:jc w:val="center"/>
      </w:pPr>
      <w:r>
        <w:rPr>
          <w:rFonts w:ascii="Georgia" w:hAnsi="Georgia"/>
          <w:b/>
          <w:color w:val="4C2B73"/>
          <w:sz w:val="52"/>
        </w:rPr>
        <w:t>KSK Farmos — Intensivpflege</w:t>
      </w:r>
    </w:p>
    <w:p>
      <w:pPr>
        <w:spacing w:after="4000"/>
        <w:jc w:val="center"/>
      </w:pPr>
      <w:r>
        <w:rPr>
          <w:rFonts w:ascii="Georgia" w:hAnsi="Georgia"/>
          <w:i/>
          <w:color w:val="2C2C2C"/>
          <w:sz w:val="26"/>
        </w:rPr>
        <w:t>Inhalt der Patienten-Landingpage (Deutsch / Original)</w:t>
      </w:r>
    </w:p>
    <w:p>
      <w:pPr>
        <w:jc w:val="center"/>
      </w:pPr>
      <w:r>
        <w:rPr>
          <w:rFonts w:ascii="Arial" w:hAnsi="Arial"/>
          <w:color w:val="6E6E6E"/>
          <w:sz w:val="19"/>
        </w:rPr>
        <w:t>Dokumententyp: Landingpage-Textgliederung (ohne Menü und Fußzeile)</w:t>
        <w:br/>
        <w:t>Generiert am: 18. Mai 2026</w:t>
        <w:br/>
        <w:t>Patienten-Werbelandingpage Nordhessen</w:t>
      </w:r>
    </w:p>
    <w:p>
      <w:r>
        <w:br w:type="page"/>
      </w:r>
    </w:p>
    <w:p>
      <w:pPr>
        <w:spacing w:before="480" w:after="80"/>
      </w:pPr>
      <w:r>
        <w:rPr>
          <w:rFonts w:ascii="Georgia" w:hAnsi="Georgia"/>
          <w:b/>
          <w:color w:val="4C2B73"/>
          <w:sz w:val="32"/>
        </w:rPr>
        <w:t>PATIENTEN-LANDINGPAGE</w:t>
      </w:r>
    </w:p>
    <w:p>
      <w:pPr>
        <w:spacing w:after="320"/>
      </w:pPr>
      <w:r>
        <w:rPr>
          <w:rFonts w:ascii="Georgia" w:hAnsi="Georgia"/>
          <w:i/>
          <w:color w:val="6E6E6E"/>
          <w:sz w:val="22"/>
        </w:rPr>
        <w:t>Ambulante Intensivpflege Nordhessen</w:t>
      </w:r>
    </w:p>
    <w:p>
      <w:pPr>
        <w:keepNext/>
        <w:spacing w:before="280" w:after="160"/>
      </w:pPr>
      <w:r>
        <w:rPr>
          <w:rFonts w:ascii="Georgia" w:hAnsi="Georgia"/>
          <w:b/>
          <w:color w:val="4C2B73"/>
          <w:sz w:val="26"/>
        </w:rPr>
        <w:t>Ihr Angehöriger braucht Pflege? Wir sind für Sie da.</w:t>
      </w:r>
    </w:p>
    <w:p>
      <w:pPr>
        <w:spacing w:after="120"/>
      </w:pPr>
      <w:r>
        <w:rPr>
          <w:rFonts w:ascii="Arial" w:hAnsi="Arial"/>
          <w:color w:val="2C2C2C"/>
          <w:sz w:val="20"/>
        </w:rPr>
        <w:t>Kostenlose Erstberatung zur ambulanten Intensivpflege in Nordhessen. Wir klären die Finanzierung — die Krankenkasse übernimmt die Kosten.</w:t>
      </w:r>
    </w:p>
    <w:p>
      <w:pPr>
        <w:spacing w:after="120"/>
      </w:pPr>
      <w:r>
        <w:rPr>
          <w:rFonts w:ascii="Arial" w:hAnsi="Arial"/>
          <w:color w:val="2C2C2C"/>
          <w:sz w:val="20"/>
        </w:rPr>
        <w:t>Die Krankenkasse übernimmt die Kosten für die Intensivpflege in der Regel vollständig. Wir kümmern uns um die gesamte Kommunikation mit den Kostenträgern — Sie müssen sich um nichts kümmern.</w:t>
      </w:r>
    </w:p>
    <w:p>
      <w:pPr>
        <w:keepNext/>
        <w:spacing w:before="280" w:after="160"/>
      </w:pPr>
      <w:r>
        <w:rPr>
          <w:rFonts w:ascii="Georgia" w:hAnsi="Georgia"/>
          <w:b/>
          <w:color w:val="4C2B73"/>
          <w:sz w:val="26"/>
        </w:rPr>
        <w:t>Was wir für Sie tun (Wir nehmen Ihnen alles ab)</w:t>
      </w:r>
    </w:p>
    <w:p>
      <w:pPr>
        <w:spacing w:after="80"/>
      </w:pPr>
      <w:r>
        <w:rPr>
          <w:rFonts w:ascii="Arial" w:hAnsi="Arial"/>
          <w:color w:val="2C2C2C"/>
          <w:sz w:val="20"/>
        </w:rPr>
        <w:t>•  Kostenlose Erstberatung — unverbindlich und persönlich</w:t>
      </w:r>
    </w:p>
    <w:p>
      <w:pPr>
        <w:spacing w:after="80"/>
      </w:pPr>
      <w:r>
        <w:rPr>
          <w:rFonts w:ascii="Arial" w:hAnsi="Arial"/>
          <w:color w:val="2C2C2C"/>
          <w:sz w:val="20"/>
        </w:rPr>
        <w:t>•  Kostenübernahme durch Krankenkasse — wir übernehmen die Kommunikation</w:t>
      </w:r>
    </w:p>
    <w:p>
      <w:pPr>
        <w:spacing w:after="80"/>
      </w:pPr>
      <w:r>
        <w:rPr>
          <w:rFonts w:ascii="Arial" w:hAnsi="Arial"/>
          <w:color w:val="2C2C2C"/>
          <w:sz w:val="20"/>
        </w:rPr>
        <w:t>•  Pflege bei Ihnen zu Hause — oder in unserer Einrichtung in Kassel</w:t>
      </w:r>
    </w:p>
    <w:p>
      <w:pPr>
        <w:spacing w:after="80"/>
      </w:pPr>
      <w:r>
        <w:rPr>
          <w:rFonts w:ascii="Arial" w:hAnsi="Arial"/>
          <w:color w:val="2C2C2C"/>
          <w:sz w:val="20"/>
        </w:rPr>
        <w:t>•  Examinierte Pflegefachkräfte — 5,5 Mitarbeiter pro Patient</w:t>
      </w:r>
    </w:p>
    <w:p>
      <w:pPr>
        <w:spacing w:after="80"/>
      </w:pPr>
      <w:r>
        <w:rPr>
          <w:rFonts w:ascii="Arial" w:hAnsi="Arial"/>
          <w:color w:val="2C2C2C"/>
          <w:sz w:val="20"/>
        </w:rPr>
        <w:t>•  Rückmeldung innerhalb 24 Stunden — garantiert</w:t>
      </w:r>
    </w:p>
    <w:p>
      <w:pPr>
        <w:spacing w:after="80"/>
      </w:pPr>
      <w:r>
        <w:rPr>
          <w:rFonts w:ascii="Arial" w:hAnsi="Arial"/>
          <w:color w:val="2C2C2C"/>
          <w:sz w:val="20"/>
        </w:rPr>
        <w:t>•  Versorgung in ganz Hessen — seit 2013</w:t>
      </w:r>
    </w:p>
    <w:p>
      <w:pPr>
        <w:spacing w:after="120"/>
      </w:pPr>
      <w:r>
        <w:rPr>
          <w:rFonts w:ascii="Arial" w:hAnsi="Arial"/>
          <w:i/>
          <w:color w:val="6E6E6E"/>
          <w:sz w:val="19"/>
        </w:rPr>
        <w:t>"Das Wohl des Patienten ist oberstes Gesetz." — Unser Leitbild</w:t>
      </w:r>
    </w:p>
    <w:p>
      <w:pPr>
        <w:keepNext/>
        <w:spacing w:before="280" w:after="160"/>
      </w:pPr>
      <w:r>
        <w:rPr>
          <w:rFonts w:ascii="Georgia" w:hAnsi="Georgia"/>
          <w:b/>
          <w:color w:val="4C2B73"/>
          <w:sz w:val="26"/>
        </w:rPr>
        <w:t>Welche Patienten wir versorgen (Diagnosen)</w:t>
      </w:r>
    </w:p>
    <w:p>
      <w:pPr>
        <w:spacing w:after="160"/>
      </w:pPr>
      <w:r>
        <w:rPr>
          <w:rFonts w:ascii="Arial" w:hAnsi="Arial"/>
          <w:b/>
          <w:color w:val="2C2C2C"/>
          <w:sz w:val="20"/>
        </w:rPr>
        <w:t>Beatmungspatienten</w:t>
      </w:r>
      <w:r>
        <w:br/>
      </w:r>
      <w:r>
        <w:rPr>
          <w:rFonts w:ascii="Arial" w:hAnsi="Arial"/>
          <w:color w:val="2C2C2C"/>
          <w:sz w:val="20"/>
        </w:rPr>
        <w:t>Invasive und nicht-invasive Beatmung</w:t>
      </w:r>
    </w:p>
    <w:p>
      <w:pPr>
        <w:spacing w:after="160"/>
      </w:pPr>
      <w:r>
        <w:rPr>
          <w:rFonts w:ascii="Arial" w:hAnsi="Arial"/>
          <w:b/>
          <w:color w:val="2C2C2C"/>
          <w:sz w:val="20"/>
        </w:rPr>
        <w:t>Wachkoma (Apallisches Syndrom)</w:t>
      </w:r>
      <w:r>
        <w:br/>
      </w:r>
      <w:r>
        <w:rPr>
          <w:rFonts w:ascii="Arial" w:hAnsi="Arial"/>
          <w:color w:val="2C2C2C"/>
          <w:sz w:val="20"/>
        </w:rPr>
        <w:t>Langzeitversorgung und Stimulation</w:t>
      </w:r>
    </w:p>
    <w:p>
      <w:pPr>
        <w:spacing w:after="160"/>
      </w:pPr>
      <w:r>
        <w:rPr>
          <w:rFonts w:ascii="Arial" w:hAnsi="Arial"/>
          <w:b/>
          <w:color w:val="2C2C2C"/>
          <w:sz w:val="20"/>
        </w:rPr>
        <w:t>ALS</w:t>
      </w:r>
      <w:r>
        <w:br/>
      </w:r>
      <w:r>
        <w:rPr>
          <w:rFonts w:ascii="Arial" w:hAnsi="Arial"/>
          <w:color w:val="2C2C2C"/>
          <w:sz w:val="20"/>
        </w:rPr>
        <w:t>Progressive Begleitung bei ALS und neurologischen Erkrankungen</w:t>
      </w:r>
    </w:p>
    <w:p>
      <w:pPr>
        <w:spacing w:after="160"/>
      </w:pPr>
      <w:r>
        <w:rPr>
          <w:rFonts w:ascii="Arial" w:hAnsi="Arial"/>
          <w:b/>
          <w:color w:val="2C2C2C"/>
          <w:sz w:val="20"/>
        </w:rPr>
        <w:t>Neurologische Erkrankungen</w:t>
      </w:r>
      <w:r>
        <w:br/>
      </w:r>
      <w:r>
        <w:rPr>
          <w:rFonts w:ascii="Arial" w:hAnsi="Arial"/>
          <w:color w:val="2C2C2C"/>
          <w:sz w:val="20"/>
        </w:rPr>
        <w:t>Ganzheitliche Pflege und Unterstützung</w:t>
      </w:r>
    </w:p>
    <w:p>
      <w:pPr>
        <w:spacing w:after="160"/>
      </w:pPr>
      <w:r>
        <w:rPr>
          <w:rFonts w:ascii="Arial" w:hAnsi="Arial"/>
          <w:b/>
          <w:color w:val="2C2C2C"/>
          <w:sz w:val="20"/>
        </w:rPr>
        <w:t>Querschnittslähmung</w:t>
      </w:r>
      <w:r>
        <w:br/>
      </w:r>
      <w:r>
        <w:rPr>
          <w:rFonts w:ascii="Arial" w:hAnsi="Arial"/>
          <w:color w:val="2C2C2C"/>
          <w:sz w:val="20"/>
        </w:rPr>
        <w:t>Spezialisierte Pflege bei Rückenmarksverletzungen</w:t>
      </w:r>
    </w:p>
    <w:p>
      <w:pPr>
        <w:spacing w:after="160"/>
      </w:pPr>
      <w:r>
        <w:rPr>
          <w:rFonts w:ascii="Arial" w:hAnsi="Arial"/>
          <w:b/>
          <w:color w:val="2C2C2C"/>
          <w:sz w:val="20"/>
        </w:rPr>
        <w:t>Schädel-Hirn-Trauma</w:t>
      </w:r>
      <w:r>
        <w:br/>
      </w:r>
      <w:r>
        <w:rPr>
          <w:rFonts w:ascii="Arial" w:hAnsi="Arial"/>
          <w:color w:val="2C2C2C"/>
          <w:sz w:val="20"/>
        </w:rPr>
        <w:t>Rehabilitation, Pflege und langfristige Stabilisierung</w:t>
      </w:r>
    </w:p>
    <w:p>
      <w:pPr>
        <w:keepNext/>
        <w:spacing w:before="280" w:after="160"/>
      </w:pPr>
      <w:r>
        <w:rPr>
          <w:rFonts w:ascii="Georgia" w:hAnsi="Georgia"/>
          <w:b/>
          <w:color w:val="4C2B73"/>
          <w:sz w:val="26"/>
        </w:rPr>
        <w:t>In 3 Schritten zur Versorgung</w:t>
      </w:r>
    </w:p>
    <w:p>
      <w:pPr>
        <w:spacing w:after="160"/>
      </w:pPr>
      <w:r>
        <w:rPr>
          <w:rFonts w:ascii="Arial" w:hAnsi="Arial"/>
          <w:b/>
          <w:color w:val="2C2C2C"/>
          <w:sz w:val="20"/>
        </w:rPr>
        <w:t>1. Kostenloses Erstgespräch</w:t>
      </w:r>
      <w:r>
        <w:br/>
      </w:r>
      <w:r>
        <w:rPr>
          <w:rFonts w:ascii="Arial" w:hAnsi="Arial"/>
          <w:color w:val="2C2C2C"/>
          <w:sz w:val="20"/>
        </w:rPr>
        <w:t>Wir lernen Ihre Situation kennen — telefonisch oder persönlich.</w:t>
      </w:r>
    </w:p>
    <w:p>
      <w:pPr>
        <w:spacing w:after="160"/>
      </w:pPr>
      <w:r>
        <w:rPr>
          <w:rFonts w:ascii="Arial" w:hAnsi="Arial"/>
          <w:b/>
          <w:color w:val="2C2C2C"/>
          <w:sz w:val="20"/>
        </w:rPr>
        <w:t>2. Individuelle Planung</w:t>
      </w:r>
      <w:r>
        <w:br/>
      </w:r>
      <w:r>
        <w:rPr>
          <w:rFonts w:ascii="Arial" w:hAnsi="Arial"/>
          <w:color w:val="2C2C2C"/>
          <w:sz w:val="20"/>
        </w:rPr>
        <w:t>Wir erstellen den Pflegeplan und klären die Kostenübernahme mit der Kasse.</w:t>
      </w:r>
    </w:p>
    <w:p>
      <w:pPr>
        <w:spacing w:after="160"/>
      </w:pPr>
      <w:r>
        <w:rPr>
          <w:rFonts w:ascii="Arial" w:hAnsi="Arial"/>
          <w:b/>
          <w:color w:val="2C2C2C"/>
          <w:sz w:val="20"/>
        </w:rPr>
        <w:t>3. Versorgungsbeginn</w:t>
      </w:r>
      <w:r>
        <w:br/>
      </w:r>
      <w:r>
        <w:rPr>
          <w:rFonts w:ascii="Arial" w:hAnsi="Arial"/>
          <w:color w:val="2C2C2C"/>
          <w:sz w:val="20"/>
        </w:rPr>
        <w:t>Ihr persönliches Pflegeteam beginnt die Betreuung — zuverlässig und menschlich.</w:t>
      </w:r>
    </w:p>
    <w:p>
      <w:pPr>
        <w:keepNext/>
        <w:spacing w:before="280" w:after="160"/>
      </w:pPr>
      <w:r>
        <w:rPr>
          <w:rFonts w:ascii="Georgia" w:hAnsi="Georgia"/>
          <w:b/>
          <w:color w:val="4C2B73"/>
          <w:sz w:val="26"/>
        </w:rPr>
        <w:t>Jetzt kostenlos anfragen</w:t>
      </w:r>
    </w:p>
    <w:p>
      <w:pPr>
        <w:spacing w:after="120"/>
      </w:pPr>
      <w:r>
        <w:rPr>
          <w:rFonts w:ascii="Arial" w:hAnsi="Arial"/>
          <w:color w:val="2C2C2C"/>
          <w:sz w:val="20"/>
        </w:rPr>
        <w:t>Wir sind für Sie da — persönlich, schnell und ohne Verpflichtung.</w:t>
      </w:r>
    </w:p>
    <w:p>
      <w:pPr>
        <w:keepNext/>
        <w:spacing w:before="280" w:after="160"/>
      </w:pPr>
      <w:r>
        <w:rPr>
          <w:rFonts w:ascii="Georgia" w:hAnsi="Georgia"/>
          <w:b/>
          <w:color w:val="4C2B73"/>
          <w:sz w:val="26"/>
        </w:rPr>
        <w:t>Erfahren Sie mehr über uns</w:t>
      </w:r>
    </w:p>
    <w:p>
      <w:pPr>
        <w:spacing w:after="120"/>
      </w:pPr>
      <w:r>
        <w:rPr>
          <w:rFonts w:ascii="Arial" w:hAnsi="Arial"/>
          <w:color w:val="2C2C2C"/>
          <w:sz w:val="20"/>
        </w:rPr>
        <w:t>Besuchen Sie unsere Hauptseite für ausführliche Informationen zu unseren Leistungen, dem Team und unserer Philosophie.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