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0F52" w14:textId="494ED9C5" w:rsidR="00C45740" w:rsidRDefault="00C45740" w:rsidP="0018099F">
      <w:pPr>
        <w:spacing w:after="0"/>
        <w:jc w:val="center"/>
        <w:rPr>
          <w:rFonts w:asciiTheme="majorBidi" w:hAnsiTheme="majorBidi" w:cstheme="majorBidi"/>
          <w:b/>
          <w:bCs/>
          <w:sz w:val="20"/>
          <w:szCs w:val="20"/>
        </w:rPr>
      </w:pPr>
      <w:r w:rsidRPr="0007257D">
        <w:rPr>
          <w:rFonts w:asciiTheme="majorBidi" w:hAnsiTheme="majorBidi" w:cstheme="majorBidi"/>
          <w:b/>
          <w:bCs/>
          <w:sz w:val="20"/>
          <w:szCs w:val="20"/>
        </w:rPr>
        <w:t>Decomposing Arabic Complementizers</w:t>
      </w:r>
      <w:r w:rsidR="00A719EA">
        <w:rPr>
          <w:rFonts w:asciiTheme="majorBidi" w:hAnsiTheme="majorBidi" w:cstheme="majorBidi"/>
          <w:b/>
          <w:bCs/>
          <w:sz w:val="20"/>
          <w:szCs w:val="20"/>
        </w:rPr>
        <w:t xml:space="preserve"> </w:t>
      </w:r>
    </w:p>
    <w:p w14:paraId="7105439D" w14:textId="05821A5A" w:rsidR="00EF62A3" w:rsidRDefault="00EF62A3" w:rsidP="0018099F">
      <w:pPr>
        <w:spacing w:after="0"/>
        <w:jc w:val="center"/>
        <w:rPr>
          <w:rFonts w:asciiTheme="majorBidi" w:hAnsiTheme="majorBidi" w:cstheme="majorBidi"/>
          <w:b/>
          <w:bCs/>
          <w:sz w:val="20"/>
          <w:szCs w:val="20"/>
        </w:rPr>
      </w:pPr>
      <w:r>
        <w:rPr>
          <w:rFonts w:asciiTheme="majorBidi" w:hAnsiTheme="majorBidi" w:cstheme="majorBidi"/>
          <w:b/>
          <w:bCs/>
          <w:sz w:val="20"/>
          <w:szCs w:val="20"/>
        </w:rPr>
        <w:t>Saleem Abdel</w:t>
      </w:r>
      <w:r w:rsidR="0018099F">
        <w:rPr>
          <w:rFonts w:asciiTheme="majorBidi" w:hAnsiTheme="majorBidi" w:cstheme="majorBidi"/>
          <w:b/>
          <w:bCs/>
          <w:sz w:val="20"/>
          <w:szCs w:val="20"/>
        </w:rPr>
        <w:t>h</w:t>
      </w:r>
      <w:r>
        <w:rPr>
          <w:rFonts w:asciiTheme="majorBidi" w:hAnsiTheme="majorBidi" w:cstheme="majorBidi"/>
          <w:b/>
          <w:bCs/>
          <w:sz w:val="20"/>
          <w:szCs w:val="20"/>
        </w:rPr>
        <w:t>ady</w:t>
      </w:r>
      <w:r w:rsidR="00F17ECB">
        <w:rPr>
          <w:rFonts w:asciiTheme="majorBidi" w:hAnsiTheme="majorBidi" w:cstheme="majorBidi"/>
          <w:b/>
          <w:bCs/>
          <w:sz w:val="18"/>
          <w:szCs w:val="18"/>
          <w:vertAlign w:val="superscript"/>
        </w:rPr>
        <w:t>*</w:t>
      </w:r>
      <w:r>
        <w:rPr>
          <w:rFonts w:asciiTheme="majorBidi" w:hAnsiTheme="majorBidi" w:cstheme="majorBidi"/>
          <w:b/>
          <w:bCs/>
          <w:sz w:val="20"/>
          <w:szCs w:val="20"/>
        </w:rPr>
        <w:t xml:space="preserve">, Phil Branigan and </w:t>
      </w:r>
      <w:r w:rsidR="0018099F" w:rsidRPr="0018099F">
        <w:rPr>
          <w:rFonts w:asciiTheme="majorBidi" w:hAnsiTheme="majorBidi" w:cstheme="majorBidi"/>
          <w:b/>
          <w:bCs/>
          <w:sz w:val="20"/>
          <w:szCs w:val="20"/>
        </w:rPr>
        <w:t>Hussein Al-</w:t>
      </w:r>
      <w:proofErr w:type="spellStart"/>
      <w:r w:rsidR="0018099F" w:rsidRPr="0018099F">
        <w:rPr>
          <w:rFonts w:asciiTheme="majorBidi" w:hAnsiTheme="majorBidi" w:cstheme="majorBidi"/>
          <w:b/>
          <w:bCs/>
          <w:sz w:val="20"/>
          <w:szCs w:val="20"/>
        </w:rPr>
        <w:t>Bataineh</w:t>
      </w:r>
      <w:proofErr w:type="spellEnd"/>
    </w:p>
    <w:p w14:paraId="14A59270" w14:textId="11FA8A61" w:rsidR="0018099F" w:rsidRPr="00D116CE" w:rsidRDefault="0018099F" w:rsidP="0018099F">
      <w:pPr>
        <w:spacing w:after="0"/>
        <w:jc w:val="center"/>
        <w:rPr>
          <w:rFonts w:asciiTheme="majorBidi" w:hAnsiTheme="majorBidi" w:cstheme="majorBidi"/>
          <w:i/>
          <w:iCs/>
          <w:sz w:val="20"/>
          <w:szCs w:val="20"/>
          <w:rtl/>
        </w:rPr>
      </w:pPr>
      <w:r w:rsidRPr="00D116CE">
        <w:rPr>
          <w:rFonts w:asciiTheme="majorBidi" w:hAnsiTheme="majorBidi" w:cstheme="majorBidi"/>
          <w:i/>
          <w:iCs/>
          <w:sz w:val="20"/>
          <w:szCs w:val="20"/>
        </w:rPr>
        <w:t>Memorial University of Newfoundland, Canada</w:t>
      </w:r>
    </w:p>
    <w:p w14:paraId="539B562C" w14:textId="37723754" w:rsidR="00986676" w:rsidRPr="0007257D" w:rsidRDefault="00F17ECB" w:rsidP="0018099F">
      <w:pPr>
        <w:spacing w:after="0"/>
        <w:jc w:val="center"/>
        <w:rPr>
          <w:rFonts w:asciiTheme="majorBidi" w:hAnsiTheme="majorBidi" w:cstheme="majorBidi"/>
          <w:b/>
          <w:bCs/>
          <w:sz w:val="20"/>
          <w:szCs w:val="20"/>
        </w:rPr>
      </w:pPr>
      <w:r>
        <w:rPr>
          <w:rFonts w:asciiTheme="majorBidi" w:hAnsiTheme="majorBidi" w:cstheme="majorBidi"/>
          <w:b/>
          <w:bCs/>
          <w:sz w:val="20"/>
          <w:szCs w:val="20"/>
        </w:rPr>
        <w:t>sma</w:t>
      </w:r>
      <w:bookmarkStart w:id="0" w:name="_GoBack"/>
      <w:bookmarkEnd w:id="0"/>
      <w:r>
        <w:rPr>
          <w:rFonts w:asciiTheme="majorBidi" w:hAnsiTheme="majorBidi" w:cstheme="majorBidi"/>
          <w:b/>
          <w:bCs/>
          <w:sz w:val="20"/>
          <w:szCs w:val="20"/>
        </w:rPr>
        <w:t>bdelhady@mun.ca</w:t>
      </w:r>
    </w:p>
    <w:p w14:paraId="575D5799" w14:textId="2D1192CE" w:rsidR="00C45740" w:rsidRPr="0007257D" w:rsidRDefault="00C45740" w:rsidP="002A19FD">
      <w:pPr>
        <w:spacing w:after="0" w:line="240" w:lineRule="auto"/>
        <w:jc w:val="both"/>
        <w:rPr>
          <w:rFonts w:asciiTheme="majorBidi" w:hAnsiTheme="majorBidi" w:cstheme="majorBidi"/>
          <w:sz w:val="20"/>
          <w:szCs w:val="20"/>
        </w:rPr>
      </w:pPr>
      <w:r w:rsidRPr="0007257D">
        <w:rPr>
          <w:rFonts w:asciiTheme="majorBidi" w:hAnsiTheme="majorBidi" w:cstheme="majorBidi"/>
          <w:sz w:val="20"/>
          <w:szCs w:val="20"/>
        </w:rPr>
        <w:t>This study investigates the internal structure of Arabic declarative complementizers</w:t>
      </w:r>
      <w:r w:rsidR="0007257D" w:rsidRPr="0007257D">
        <w:rPr>
          <w:rFonts w:asciiTheme="majorBidi" w:hAnsiTheme="majorBidi" w:cstheme="majorBidi"/>
          <w:sz w:val="20"/>
          <w:szCs w:val="20"/>
        </w:rPr>
        <w:t xml:space="preserve"> (Cs)</w:t>
      </w:r>
      <w:r w:rsidRPr="0007257D">
        <w:rPr>
          <w:rFonts w:asciiTheme="majorBidi" w:hAnsiTheme="majorBidi" w:cstheme="majorBidi"/>
          <w:sz w:val="20"/>
          <w:szCs w:val="20"/>
        </w:rPr>
        <w:t xml:space="preserve">. Most studies have looked at the role of Arabic </w:t>
      </w:r>
      <w:r w:rsidR="0007257D" w:rsidRPr="0007257D">
        <w:rPr>
          <w:rFonts w:asciiTheme="majorBidi" w:hAnsiTheme="majorBidi" w:cstheme="majorBidi"/>
          <w:sz w:val="20"/>
          <w:szCs w:val="20"/>
        </w:rPr>
        <w:t>Cs</w:t>
      </w:r>
      <w:r w:rsidRPr="0007257D">
        <w:rPr>
          <w:rFonts w:asciiTheme="majorBidi" w:hAnsiTheme="majorBidi" w:cstheme="majorBidi"/>
          <w:sz w:val="20"/>
          <w:szCs w:val="20"/>
        </w:rPr>
        <w:t xml:space="preserve"> in forming complex constructions and how case-assignment takes place </w:t>
      </w:r>
      <w:r w:rsidRPr="0007257D">
        <w:rPr>
          <w:rFonts w:asciiTheme="majorBidi" w:hAnsiTheme="majorBidi" w:cstheme="majorBidi"/>
          <w:sz w:val="20"/>
          <w:szCs w:val="20"/>
        </w:rPr>
        <w:fldChar w:fldCharType="begin"/>
      </w:r>
      <w:r w:rsidR="00482565" w:rsidRPr="0007257D">
        <w:rPr>
          <w:rFonts w:asciiTheme="majorBidi" w:hAnsiTheme="majorBidi" w:cstheme="majorBidi"/>
          <w:sz w:val="20"/>
          <w:szCs w:val="20"/>
        </w:rPr>
        <w:instrText xml:space="preserve"> ADDIN ZOTERO_ITEM CSL_CITATION {"citationID":"brtK6NBJ","properties":{"formattedCitation":"(Ahmed, 2015; Jarrah, 2019b; Ouhalla, 1994; Shlonsky, 1997; Soltan, 2006)","plainCitation":"(Ahmed, 2015; Jarrah, 2019b; Ouhalla, 1994; Shlonsky, 1997; Soltan, 2006)","noteIndex":0},"citationItems":[{"id":551,"uris":["http://zotero.org/users/4439491/items/F5WSCXNX"],"uri":["http://zotero.org/users/4439491/items/F5WSCXNX"],"itemData":{"id":551,"type":"thesis","title":"Verbal Complementizers in Arabic","publisher":"The University of Utah","publisher-place":"United States","event-place":"United States","author":[{"family":"Ahmed","given":"Hossam"}],"issued":{"date-parts":[["2015"]]}}},{"id":635,"uris":["http://zotero.org/users/4439491/items/HY8HAL3Y"],"uri":["http://zotero.org/users/4439491/items/HY8HAL3Y"],"itemData":{"id":635,"type":"article-journal","title":"Record your Agree: A case study of the Arabic complementizer &lt;i&gt;ʔinn&lt;/i&gt;","container-title":"Journal of Linguistics","page":"83-122","volume":"55","issue":"1","source":"Crossref","abstract":"This research investigates the morpho-syntactic behaviour of the Arabic complementizer Pinn in a range of Arabic varieties (Modern Standard Arabic, Jordanian Arabic, and Lebanese Arabic). It essentially argues that this complementizer SHARES (not DONATES or KEEPS, pace Ouali 2008, 2011) its unvalued φ-features with its complement T0, something that makes Pinn and T0 separate agreeing heads. An inﬂectional sufﬁx attached to Pinn is treated as a PF reﬂex (i.e. an overt morphological realization) of valuation of Pinn’s unvalued φ-features or lack thereof. This research also argues that the occurrence of such an inﬂectional sufﬁx is ruled by the postulated AGREE CHAIN RECORD, an interface condition that demands an Agree relation to have a PF reﬂex, called a RECORD (i.e. an overt Case marking on the goal or, if not, a φ-afﬁx on the probe). This way, we account for the complementary distribution of overt Case and φ-Agree in Arabic. We also show how a host of other phenomena, including word order agreement asymmetries in Modern Standard Arabic and lack of such asymmetries in Arabic vernaculars, fares well with this view.","DOI":"10.1017/S0022226718000282","ISSN":"0022-2267, 1469-7742","shortTitle":"Record your Agree","language":"en","author":[{"family":"Jarrah","given":"Marwan"}],"issued":{"date-parts":[["2019",2,1]]}}},{"id":664,"uris":["http://zotero.org/users/4439491/items/KJX24YFW"],"uri":["http://zotero.org/users/4439491/items/KJX24YFW"],"itemData":{"id":664,"type":"chapter","title":"Verb movement and word order in Arabic","container-title":"Verb Movement","publisher":"Cambridge University Press","publisher-place":"Cambridge","event-place":"Cambridge","note":"DOI: 10.1017/CBO9780511627705.004","language":"en","author":[{"family":"Ouhalla","given":"Jamal"}],"editor":[{"family":"Lightfoot","given":"David"},{"family":"Hornstein","given":"Norbert"}],"issued":{"date-parts":[["1994"]]},"accessed":{"date-parts":[["2019",3,15]]}}},{"id":669,"uris":["http://zotero.org/users/4439491/items/2SWMMC3S"],"uri":["http://zotero.org/users/4439491/items/2SWMMC3S"],"itemData":{"id":669,"type":"book","title":"Clause Structure and Word Order in Hebrew and Arabic: An Essay in Comparative Semitic Syntax","publisher":"Oxford University Press","number-of-pages":"304","source":"Google Books","abstract":"Shlonsky uses Chomsky's Government and Binding Approach to examine clausal architecture and verb movement in Hebrew and several varieties of Arabic. He establishes a syntactic analysis of Hebrew and then extends that analysis to certain aspects of Arabic clausal syntax. Through this comparative lens of Hebrew, Shlonsky hopes to resolve a number of problems in Arabic syntax. His results generate some novel and important conclusions concerning the patterns of negations, verb movement, the nature of participles, and the gamut of positions available to clausal subjects in both languages.","ISBN":"978-0-19-535524-6","note":"Google-Books-ID: rQIg1_gJ2cMC","shortTitle":"Clause Structure and Word Order in Hebrew and Arabic","language":"en","author":[{"family":"Shlonsky","given":"Ur"}],"issued":{"date-parts":[["1997",6,12]]}}},{"id":668,"uris":["http://zotero.org/users/4439491/items/SWXT376E"],"uri":["http://zotero.org/users/4439491/items/SWXT376E"],"itemData":{"id":668,"type":"chapter","title":"Standard Arabic subject-verb agreement asymmetry revisited in an Agree-based minimalist syntax","container-title":"Linguistik Aktuell/Linguistics Today","publisher":"John Benjamins Publishing Company","publisher-place":"Amsterdam","page":"239-265","volume":"92","source":"Crossref","event-place":"Amsterdam","abstract":"This paper provides a syntactic analysis of the classical subject-verb agreement asymmetry (SVAA) in Standard Arabic (SA) in terms of a minimalist approach to syntactic derivations in which the role of the operation Agree is central (Chomsky 2000, 2001a,b). It is argued here that the SV-VS word order alternation in SA is not due to the presence versus absence of subject movement to SpecTP, but is instead a consequence of two different base-generated structural representations. As a consequence of this analysis, the full-versus-partial agreement asymmetry is shown to follow not from a Spec-head analysis as previously proposed (Mohammad 1990, 2000; Aoun et al 1994), but rather from the standard assumption that pro in null subject languages has to be identified by rich agreement at the interface. The proposed analysis not only accounts for the basic facts of the SVAA, but also for a set of semantic, syntactic, and Case facts in the language, as well as facts of default agreement with seem-type verbs and verbs of modality.","URL":"https://benjamins.com/catalog/la.92.11sol","ISBN":"978-90-272-3356-1","note":"DOI: 10.1075/la.92.11sol","language":"en","editor":[{"family":"Boeckx","given":"Cedric"}],"author":[{"family":"Soltan","given":"Usama"}],"issued":{"date-parts":[["2006"]]},"accessed":{"date-parts":[["2019",3,15]]}}}],"schema":"https://github.com/citation-style-language/schema/raw/master/csl-citation.json"} </w:instrText>
      </w:r>
      <w:r w:rsidRPr="0007257D">
        <w:rPr>
          <w:rFonts w:asciiTheme="majorBidi" w:hAnsiTheme="majorBidi" w:cstheme="majorBidi"/>
          <w:sz w:val="20"/>
          <w:szCs w:val="20"/>
        </w:rPr>
        <w:fldChar w:fldCharType="separate"/>
      </w:r>
      <w:r w:rsidR="00482565" w:rsidRPr="0007257D">
        <w:rPr>
          <w:rFonts w:asciiTheme="majorBidi" w:hAnsiTheme="majorBidi" w:cstheme="majorBidi"/>
          <w:sz w:val="20"/>
          <w:szCs w:val="20"/>
        </w:rPr>
        <w:t>(Ahmed, 2015; Jarrah, 2019b; Ouhalla, 1994; Shlonsky, 1997; Soltan, 2006)</w:t>
      </w:r>
      <w:r w:rsidRPr="0007257D">
        <w:rPr>
          <w:rFonts w:asciiTheme="majorBidi" w:hAnsiTheme="majorBidi" w:cstheme="majorBidi"/>
          <w:sz w:val="20"/>
          <w:szCs w:val="20"/>
        </w:rPr>
        <w:fldChar w:fldCharType="end"/>
      </w:r>
      <w:r w:rsidRPr="0007257D">
        <w:rPr>
          <w:rFonts w:asciiTheme="majorBidi" w:hAnsiTheme="majorBidi" w:cstheme="majorBidi"/>
          <w:sz w:val="20"/>
          <w:szCs w:val="20"/>
        </w:rPr>
        <w:t xml:space="preserve">. However, comparing the </w:t>
      </w:r>
      <w:r w:rsidR="004E5B3B">
        <w:rPr>
          <w:rFonts w:asciiTheme="majorBidi" w:hAnsiTheme="majorBidi" w:cstheme="majorBidi"/>
          <w:sz w:val="20"/>
          <w:szCs w:val="20"/>
        </w:rPr>
        <w:t>C</w:t>
      </w:r>
      <w:r w:rsidRPr="0007257D">
        <w:rPr>
          <w:rFonts w:asciiTheme="majorBidi" w:hAnsiTheme="majorBidi" w:cstheme="majorBidi"/>
          <w:sz w:val="20"/>
          <w:szCs w:val="20"/>
        </w:rPr>
        <w:t xml:space="preserve"> systems of Standard Arabic </w:t>
      </w:r>
      <w:r w:rsidR="004E5B3B">
        <w:rPr>
          <w:rFonts w:asciiTheme="majorBidi" w:hAnsiTheme="majorBidi" w:cstheme="majorBidi"/>
          <w:sz w:val="20"/>
          <w:szCs w:val="20"/>
        </w:rPr>
        <w:t xml:space="preserve">(SA) </w:t>
      </w:r>
      <w:r w:rsidRPr="0007257D">
        <w:rPr>
          <w:rFonts w:asciiTheme="majorBidi" w:hAnsiTheme="majorBidi" w:cstheme="majorBidi"/>
          <w:sz w:val="20"/>
          <w:szCs w:val="20"/>
        </w:rPr>
        <w:t>with Jordanian Arabic</w:t>
      </w:r>
      <w:r w:rsidR="0007257D">
        <w:rPr>
          <w:rFonts w:asciiTheme="majorBidi" w:hAnsiTheme="majorBidi" w:cstheme="majorBidi"/>
          <w:sz w:val="20"/>
          <w:szCs w:val="20"/>
        </w:rPr>
        <w:t xml:space="preserve"> (JA)</w:t>
      </w:r>
      <w:r w:rsidR="003F1489">
        <w:rPr>
          <w:rFonts w:asciiTheme="majorBidi" w:hAnsiTheme="majorBidi" w:cstheme="majorBidi"/>
          <w:sz w:val="20"/>
          <w:szCs w:val="20"/>
        </w:rPr>
        <w:t xml:space="preserve"> </w:t>
      </w:r>
      <w:r w:rsidR="004E5B3B">
        <w:rPr>
          <w:rFonts w:asciiTheme="majorBidi" w:hAnsiTheme="majorBidi" w:cstheme="majorBidi"/>
          <w:sz w:val="20"/>
          <w:szCs w:val="20"/>
        </w:rPr>
        <w:t xml:space="preserve">and other varieties of Arabic </w:t>
      </w:r>
      <w:r w:rsidRPr="0007257D">
        <w:rPr>
          <w:rFonts w:asciiTheme="majorBidi" w:hAnsiTheme="majorBidi" w:cstheme="majorBidi"/>
          <w:sz w:val="20"/>
          <w:szCs w:val="20"/>
        </w:rPr>
        <w:t>shows that the systems are more complex than previously stated. The complexity can be realized clearly with the use of clause</w:t>
      </w:r>
      <w:r w:rsidR="008E07BB">
        <w:rPr>
          <w:rFonts w:asciiTheme="majorBidi" w:hAnsiTheme="majorBidi" w:cstheme="majorBidi"/>
          <w:sz w:val="20"/>
          <w:szCs w:val="20"/>
        </w:rPr>
        <w:t>-</w:t>
      </w:r>
      <w:r w:rsidRPr="0007257D">
        <w:rPr>
          <w:rFonts w:asciiTheme="majorBidi" w:hAnsiTheme="majorBidi" w:cstheme="majorBidi"/>
          <w:sz w:val="20"/>
          <w:szCs w:val="20"/>
        </w:rPr>
        <w:t xml:space="preserve">initial </w:t>
      </w:r>
      <w:r w:rsidR="0007257D" w:rsidRPr="0007257D">
        <w:rPr>
          <w:rFonts w:asciiTheme="majorBidi" w:hAnsiTheme="majorBidi" w:cstheme="majorBidi"/>
          <w:sz w:val="20"/>
          <w:szCs w:val="20"/>
        </w:rPr>
        <w:t>Cs</w:t>
      </w:r>
      <w:r w:rsidRPr="0007257D">
        <w:rPr>
          <w:rFonts w:asciiTheme="majorBidi" w:hAnsiTheme="majorBidi" w:cstheme="majorBidi"/>
          <w:sz w:val="20"/>
          <w:szCs w:val="20"/>
        </w:rPr>
        <w:t>.</w:t>
      </w:r>
    </w:p>
    <w:p w14:paraId="1E4910A3" w14:textId="5CA919E0" w:rsidR="00B115BC" w:rsidRPr="0007257D" w:rsidRDefault="00C45740" w:rsidP="00B115BC">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sz w:val="20"/>
          <w:szCs w:val="20"/>
        </w:rPr>
        <w:t xml:space="preserve">(1) </w:t>
      </w:r>
      <w:r w:rsidRPr="0007257D">
        <w:rPr>
          <w:rFonts w:asciiTheme="majorBidi" w:hAnsiTheme="majorBidi" w:cstheme="majorBidi"/>
          <w:i/>
          <w:iCs/>
          <w:sz w:val="20"/>
          <w:szCs w:val="20"/>
        </w:rPr>
        <w:t xml:space="preserve"> ʔinna      al-</w:t>
      </w:r>
      <w:proofErr w:type="spellStart"/>
      <w:r w:rsidRPr="0007257D">
        <w:rPr>
          <w:rFonts w:asciiTheme="majorBidi" w:hAnsiTheme="majorBidi" w:cstheme="majorBidi"/>
          <w:i/>
          <w:iCs/>
          <w:sz w:val="20"/>
          <w:szCs w:val="20"/>
        </w:rPr>
        <w:t>ban</w:t>
      </w:r>
      <w:r w:rsidR="008E07BB">
        <w:rPr>
          <w:rFonts w:asciiTheme="majorBidi" w:hAnsiTheme="majorBidi" w:cstheme="majorBidi"/>
          <w:i/>
          <w:iCs/>
          <w:sz w:val="20"/>
          <w:szCs w:val="20"/>
        </w:rPr>
        <w:t>ā</w:t>
      </w:r>
      <w:r w:rsidRPr="0007257D">
        <w:rPr>
          <w:rFonts w:asciiTheme="majorBidi" w:hAnsiTheme="majorBidi" w:cstheme="majorBidi"/>
          <w:i/>
          <w:iCs/>
          <w:sz w:val="20"/>
          <w:szCs w:val="20"/>
        </w:rPr>
        <w:t>t</w:t>
      </w:r>
      <w:proofErr w:type="spellEnd"/>
      <w:r w:rsidRPr="0007257D">
        <w:rPr>
          <w:rFonts w:asciiTheme="majorBidi" w:hAnsiTheme="majorBidi" w:cstheme="majorBidi"/>
          <w:i/>
          <w:iCs/>
          <w:sz w:val="20"/>
          <w:szCs w:val="20"/>
        </w:rPr>
        <w:t>-</w:t>
      </w:r>
      <w:proofErr w:type="spellStart"/>
      <w:r w:rsidRPr="0007257D">
        <w:rPr>
          <w:rFonts w:asciiTheme="majorBidi" w:hAnsiTheme="majorBidi" w:cstheme="majorBidi"/>
          <w:i/>
          <w:iCs/>
          <w:sz w:val="20"/>
          <w:szCs w:val="20"/>
        </w:rPr>
        <w:t>i</w:t>
      </w:r>
      <w:proofErr w:type="spellEnd"/>
      <w:r w:rsidRPr="0007257D">
        <w:rPr>
          <w:rFonts w:asciiTheme="majorBidi" w:hAnsiTheme="majorBidi" w:cstheme="majorBidi"/>
          <w:i/>
          <w:iCs/>
          <w:sz w:val="20"/>
          <w:szCs w:val="20"/>
        </w:rPr>
        <w:t xml:space="preserve">     </w:t>
      </w:r>
      <w:r w:rsidR="008E07BB">
        <w:rPr>
          <w:rFonts w:asciiTheme="majorBidi" w:hAnsiTheme="majorBidi" w:cstheme="majorBidi"/>
          <w:i/>
          <w:iCs/>
          <w:sz w:val="20"/>
          <w:szCs w:val="20"/>
        </w:rPr>
        <w:t xml:space="preserve">   </w:t>
      </w:r>
      <w:r w:rsidRPr="0007257D">
        <w:rPr>
          <w:rFonts w:asciiTheme="majorBidi" w:hAnsiTheme="majorBidi" w:cstheme="majorBidi"/>
          <w:i/>
          <w:iCs/>
          <w:sz w:val="20"/>
          <w:szCs w:val="20"/>
        </w:rPr>
        <w:t xml:space="preserve">  </w:t>
      </w:r>
      <w:proofErr w:type="spellStart"/>
      <w:r w:rsidRPr="0007257D">
        <w:rPr>
          <w:rFonts w:asciiTheme="majorBidi" w:hAnsiTheme="majorBidi" w:cstheme="majorBidi"/>
          <w:i/>
          <w:iCs/>
          <w:sz w:val="20"/>
          <w:szCs w:val="20"/>
        </w:rPr>
        <w:t>waʂal-na</w:t>
      </w:r>
      <w:proofErr w:type="spellEnd"/>
      <w:r w:rsidR="00B115BC" w:rsidRPr="0007257D">
        <w:rPr>
          <w:rFonts w:asciiTheme="majorBidi" w:hAnsiTheme="majorBidi" w:cstheme="majorBidi"/>
          <w:i/>
          <w:iCs/>
          <w:sz w:val="20"/>
          <w:szCs w:val="20"/>
        </w:rPr>
        <w:t xml:space="preserve">   </w:t>
      </w:r>
      <w:proofErr w:type="gramStart"/>
      <w:r w:rsidR="00B115BC" w:rsidRPr="0007257D">
        <w:rPr>
          <w:rFonts w:asciiTheme="majorBidi" w:hAnsiTheme="majorBidi" w:cstheme="majorBidi"/>
          <w:i/>
          <w:iCs/>
          <w:sz w:val="20"/>
          <w:szCs w:val="20"/>
        </w:rPr>
        <w:t xml:space="preserve">   </w:t>
      </w:r>
      <w:r w:rsidR="00D25F89" w:rsidRPr="0007257D">
        <w:rPr>
          <w:rFonts w:asciiTheme="majorBidi" w:hAnsiTheme="majorBidi" w:cstheme="majorBidi"/>
          <w:sz w:val="20"/>
          <w:szCs w:val="20"/>
        </w:rPr>
        <w:t>(</w:t>
      </w:r>
      <w:proofErr w:type="gramEnd"/>
      <w:r w:rsidR="00D25F89" w:rsidRPr="0007257D">
        <w:rPr>
          <w:rFonts w:asciiTheme="majorBidi" w:hAnsiTheme="majorBidi" w:cstheme="majorBidi"/>
          <w:sz w:val="20"/>
          <w:szCs w:val="20"/>
        </w:rPr>
        <w:t>SA)</w:t>
      </w:r>
      <w:r w:rsidR="00B115BC" w:rsidRPr="0007257D">
        <w:rPr>
          <w:rFonts w:asciiTheme="majorBidi" w:hAnsiTheme="majorBidi" w:cstheme="majorBidi"/>
          <w:i/>
          <w:iCs/>
          <w:sz w:val="20"/>
          <w:szCs w:val="20"/>
        </w:rPr>
        <w:t xml:space="preserve">      </w:t>
      </w:r>
      <w:r w:rsidR="00B115BC" w:rsidRPr="0007257D">
        <w:rPr>
          <w:rFonts w:asciiTheme="majorBidi" w:hAnsiTheme="majorBidi" w:cstheme="majorBidi"/>
          <w:sz w:val="20"/>
          <w:szCs w:val="20"/>
        </w:rPr>
        <w:t>(2)</w:t>
      </w:r>
      <w:r w:rsidR="00B115BC" w:rsidRPr="0007257D">
        <w:rPr>
          <w:rFonts w:asciiTheme="majorBidi" w:hAnsiTheme="majorBidi" w:cstheme="majorBidi"/>
          <w:i/>
          <w:iCs/>
          <w:sz w:val="20"/>
          <w:szCs w:val="20"/>
        </w:rPr>
        <w:t xml:space="preserve">    *ʔanna      al-</w:t>
      </w:r>
      <w:proofErr w:type="spellStart"/>
      <w:r w:rsidR="00B115BC" w:rsidRPr="0007257D">
        <w:rPr>
          <w:rFonts w:asciiTheme="majorBidi" w:hAnsiTheme="majorBidi" w:cstheme="majorBidi"/>
          <w:i/>
          <w:iCs/>
          <w:sz w:val="20"/>
          <w:szCs w:val="20"/>
        </w:rPr>
        <w:t>ban</w:t>
      </w:r>
      <w:r w:rsidR="008E07BB">
        <w:rPr>
          <w:rFonts w:asciiTheme="majorBidi" w:hAnsiTheme="majorBidi" w:cstheme="majorBidi"/>
          <w:i/>
          <w:iCs/>
          <w:sz w:val="20"/>
          <w:szCs w:val="20"/>
        </w:rPr>
        <w:t>ā</w:t>
      </w:r>
      <w:r w:rsidR="00B115BC" w:rsidRPr="0007257D">
        <w:rPr>
          <w:rFonts w:asciiTheme="majorBidi" w:hAnsiTheme="majorBidi" w:cstheme="majorBidi"/>
          <w:i/>
          <w:iCs/>
          <w:sz w:val="20"/>
          <w:szCs w:val="20"/>
        </w:rPr>
        <w:t>t</w:t>
      </w:r>
      <w:proofErr w:type="spellEnd"/>
      <w:r w:rsidR="00B115BC" w:rsidRPr="0007257D">
        <w:rPr>
          <w:rFonts w:asciiTheme="majorBidi" w:hAnsiTheme="majorBidi" w:cstheme="majorBidi"/>
          <w:i/>
          <w:iCs/>
          <w:sz w:val="20"/>
          <w:szCs w:val="20"/>
        </w:rPr>
        <w:t>-</w:t>
      </w:r>
      <w:proofErr w:type="spellStart"/>
      <w:r w:rsidR="00B115BC" w:rsidRPr="0007257D">
        <w:rPr>
          <w:rFonts w:asciiTheme="majorBidi" w:hAnsiTheme="majorBidi" w:cstheme="majorBidi"/>
          <w:i/>
          <w:iCs/>
          <w:sz w:val="20"/>
          <w:szCs w:val="20"/>
        </w:rPr>
        <w:t>i</w:t>
      </w:r>
      <w:proofErr w:type="spellEnd"/>
      <w:r w:rsidR="00B115BC" w:rsidRPr="0007257D">
        <w:rPr>
          <w:rFonts w:asciiTheme="majorBidi" w:hAnsiTheme="majorBidi" w:cstheme="majorBidi"/>
          <w:i/>
          <w:iCs/>
          <w:sz w:val="20"/>
          <w:szCs w:val="20"/>
        </w:rPr>
        <w:t xml:space="preserve">       </w:t>
      </w:r>
      <w:proofErr w:type="spellStart"/>
      <w:r w:rsidR="00B115BC" w:rsidRPr="0007257D">
        <w:rPr>
          <w:rFonts w:asciiTheme="majorBidi" w:hAnsiTheme="majorBidi" w:cstheme="majorBidi"/>
          <w:i/>
          <w:iCs/>
          <w:sz w:val="20"/>
          <w:szCs w:val="20"/>
        </w:rPr>
        <w:t>waʂal-na</w:t>
      </w:r>
      <w:proofErr w:type="spellEnd"/>
      <w:r w:rsidR="00D25F89" w:rsidRPr="0007257D">
        <w:rPr>
          <w:rFonts w:asciiTheme="majorBidi" w:hAnsiTheme="majorBidi" w:cstheme="majorBidi"/>
          <w:i/>
          <w:iCs/>
          <w:sz w:val="20"/>
          <w:szCs w:val="20"/>
        </w:rPr>
        <w:t xml:space="preserve">    </w:t>
      </w:r>
      <w:r w:rsidR="003C162C" w:rsidRPr="0007257D">
        <w:rPr>
          <w:rFonts w:asciiTheme="majorBidi" w:hAnsiTheme="majorBidi" w:cstheme="majorBidi"/>
          <w:i/>
          <w:iCs/>
          <w:sz w:val="20"/>
          <w:szCs w:val="20"/>
        </w:rPr>
        <w:t xml:space="preserve">  </w:t>
      </w:r>
      <w:r w:rsidR="00D25F89" w:rsidRPr="0007257D">
        <w:rPr>
          <w:rFonts w:asciiTheme="majorBidi" w:hAnsiTheme="majorBidi" w:cstheme="majorBidi"/>
          <w:i/>
          <w:iCs/>
          <w:sz w:val="20"/>
          <w:szCs w:val="20"/>
        </w:rPr>
        <w:t xml:space="preserve">       </w:t>
      </w:r>
      <w:r w:rsidR="00D25F89" w:rsidRPr="0007257D">
        <w:rPr>
          <w:rFonts w:asciiTheme="majorBidi" w:hAnsiTheme="majorBidi" w:cstheme="majorBidi"/>
          <w:sz w:val="20"/>
          <w:szCs w:val="20"/>
        </w:rPr>
        <w:t>(</w:t>
      </w:r>
      <w:r w:rsidR="00D25F89" w:rsidRPr="0007257D">
        <w:rPr>
          <w:rFonts w:asciiTheme="majorBidi" w:hAnsiTheme="majorBidi" w:cstheme="majorBidi"/>
          <w:sz w:val="20"/>
          <w:szCs w:val="20"/>
          <w:lang w:val="en-US"/>
        </w:rPr>
        <w:t>SA)</w:t>
      </w:r>
    </w:p>
    <w:p w14:paraId="40BCFA62" w14:textId="73D4B15F" w:rsidR="00895336" w:rsidRPr="0007257D" w:rsidRDefault="00C45740" w:rsidP="00895336">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sz w:val="20"/>
          <w:szCs w:val="20"/>
        </w:rPr>
        <w:t xml:space="preserve">       </w:t>
      </w:r>
      <w:r w:rsidR="001D69F1" w:rsidRPr="001D69F1">
        <w:rPr>
          <w:rFonts w:asciiTheme="majorBidi" w:hAnsiTheme="majorBidi" w:cstheme="majorBidi"/>
          <w:smallCaps/>
          <w:sz w:val="20"/>
          <w:szCs w:val="20"/>
        </w:rPr>
        <w:t>comp</w:t>
      </w:r>
      <w:r w:rsidR="001D69F1" w:rsidRPr="0007257D">
        <w:rPr>
          <w:rFonts w:asciiTheme="majorBidi" w:hAnsiTheme="majorBidi" w:cstheme="majorBidi"/>
          <w:sz w:val="20"/>
          <w:szCs w:val="20"/>
        </w:rPr>
        <w:t xml:space="preserve">    </w:t>
      </w:r>
      <w:r w:rsidRPr="0007257D">
        <w:rPr>
          <w:rFonts w:asciiTheme="majorBidi" w:hAnsiTheme="majorBidi" w:cstheme="majorBidi"/>
          <w:sz w:val="20"/>
          <w:szCs w:val="20"/>
        </w:rPr>
        <w:t>the-girls-</w:t>
      </w:r>
      <w:proofErr w:type="gramStart"/>
      <w:r w:rsidR="001D69F1" w:rsidRPr="001D69F1">
        <w:rPr>
          <w:rFonts w:asciiTheme="majorBidi" w:hAnsiTheme="majorBidi" w:cstheme="majorBidi"/>
          <w:smallCaps/>
          <w:sz w:val="20"/>
          <w:szCs w:val="20"/>
        </w:rPr>
        <w:t>acc</w:t>
      </w:r>
      <w:r w:rsidR="001D69F1" w:rsidRPr="0007257D">
        <w:rPr>
          <w:rFonts w:asciiTheme="majorBidi" w:hAnsiTheme="majorBidi" w:cstheme="majorBidi"/>
          <w:sz w:val="20"/>
          <w:szCs w:val="20"/>
        </w:rPr>
        <w:t xml:space="preserve">  </w:t>
      </w:r>
      <w:r w:rsidRPr="0007257D">
        <w:rPr>
          <w:rFonts w:asciiTheme="majorBidi" w:hAnsiTheme="majorBidi" w:cstheme="majorBidi"/>
          <w:sz w:val="20"/>
          <w:szCs w:val="20"/>
        </w:rPr>
        <w:t>arrived-</w:t>
      </w:r>
      <w:r w:rsidR="001D69F1" w:rsidRPr="001D69F1">
        <w:rPr>
          <w:rFonts w:asciiTheme="majorBidi" w:hAnsiTheme="majorBidi" w:cstheme="majorBidi"/>
          <w:smallCaps/>
          <w:sz w:val="20"/>
          <w:szCs w:val="20"/>
        </w:rPr>
        <w:t>3f.pl</w:t>
      </w:r>
      <w:proofErr w:type="gramEnd"/>
      <w:r w:rsidR="001D69F1" w:rsidRPr="0007257D">
        <w:rPr>
          <w:rFonts w:asciiTheme="majorBidi" w:hAnsiTheme="majorBidi" w:cstheme="majorBidi"/>
          <w:sz w:val="20"/>
          <w:szCs w:val="20"/>
        </w:rPr>
        <w:t xml:space="preserve">                 </w:t>
      </w:r>
      <w:r w:rsidR="001D69F1">
        <w:rPr>
          <w:rFonts w:asciiTheme="majorBidi" w:hAnsiTheme="majorBidi" w:cstheme="majorBidi"/>
          <w:sz w:val="20"/>
          <w:szCs w:val="20"/>
        </w:rPr>
        <w:t xml:space="preserve">         </w:t>
      </w:r>
      <w:r w:rsidR="001D69F1" w:rsidRPr="0007257D">
        <w:rPr>
          <w:rFonts w:asciiTheme="majorBidi" w:hAnsiTheme="majorBidi" w:cstheme="majorBidi"/>
          <w:sz w:val="20"/>
          <w:szCs w:val="20"/>
        </w:rPr>
        <w:t xml:space="preserve">   </w:t>
      </w:r>
      <w:r w:rsidR="001D69F1" w:rsidRPr="001D69F1">
        <w:rPr>
          <w:rFonts w:asciiTheme="majorBidi" w:hAnsiTheme="majorBidi" w:cstheme="majorBidi"/>
          <w:smallCaps/>
          <w:sz w:val="20"/>
          <w:szCs w:val="20"/>
        </w:rPr>
        <w:t>comp</w:t>
      </w:r>
      <w:r w:rsidR="001D69F1" w:rsidRPr="0007257D">
        <w:rPr>
          <w:rFonts w:asciiTheme="majorBidi" w:hAnsiTheme="majorBidi" w:cstheme="majorBidi"/>
          <w:sz w:val="20"/>
          <w:szCs w:val="20"/>
        </w:rPr>
        <w:t xml:space="preserve">    </w:t>
      </w:r>
      <w:r w:rsidR="00895336" w:rsidRPr="0007257D">
        <w:rPr>
          <w:rFonts w:asciiTheme="majorBidi" w:hAnsiTheme="majorBidi" w:cstheme="majorBidi"/>
          <w:sz w:val="20"/>
          <w:szCs w:val="20"/>
        </w:rPr>
        <w:t>the-girls-</w:t>
      </w:r>
      <w:r w:rsidR="001D69F1" w:rsidRPr="001D69F1">
        <w:rPr>
          <w:rFonts w:asciiTheme="majorBidi" w:hAnsiTheme="majorBidi" w:cstheme="majorBidi"/>
          <w:smallCaps/>
          <w:sz w:val="20"/>
          <w:szCs w:val="20"/>
        </w:rPr>
        <w:t>acc</w:t>
      </w:r>
      <w:r w:rsidR="001D69F1" w:rsidRPr="0007257D">
        <w:rPr>
          <w:rFonts w:asciiTheme="majorBidi" w:hAnsiTheme="majorBidi" w:cstheme="majorBidi"/>
          <w:sz w:val="20"/>
          <w:szCs w:val="20"/>
        </w:rPr>
        <w:t xml:space="preserve">  </w:t>
      </w:r>
      <w:r w:rsidR="00895336" w:rsidRPr="0007257D">
        <w:rPr>
          <w:rFonts w:asciiTheme="majorBidi" w:hAnsiTheme="majorBidi" w:cstheme="majorBidi"/>
          <w:sz w:val="20"/>
          <w:szCs w:val="20"/>
        </w:rPr>
        <w:t>arrived-</w:t>
      </w:r>
      <w:r w:rsidR="001D69F1" w:rsidRPr="001D69F1">
        <w:rPr>
          <w:rFonts w:asciiTheme="majorBidi" w:hAnsiTheme="majorBidi" w:cstheme="majorBidi"/>
          <w:smallCaps/>
          <w:sz w:val="20"/>
          <w:szCs w:val="20"/>
        </w:rPr>
        <w:t>3f.pl</w:t>
      </w:r>
    </w:p>
    <w:p w14:paraId="3A595F50" w14:textId="0659268A" w:rsidR="00C45740" w:rsidRPr="0007257D" w:rsidRDefault="00C45740" w:rsidP="00895336">
      <w:pPr>
        <w:autoSpaceDE w:val="0"/>
        <w:autoSpaceDN w:val="0"/>
        <w:adjustRightInd w:val="0"/>
        <w:spacing w:after="0" w:line="360" w:lineRule="auto"/>
        <w:rPr>
          <w:rFonts w:asciiTheme="majorBidi" w:hAnsiTheme="majorBidi" w:cstheme="majorBidi"/>
          <w:sz w:val="20"/>
          <w:szCs w:val="20"/>
        </w:rPr>
      </w:pPr>
      <w:r w:rsidRPr="0007257D">
        <w:rPr>
          <w:rFonts w:asciiTheme="majorBidi" w:hAnsiTheme="majorBidi" w:cstheme="majorBidi"/>
          <w:sz w:val="20"/>
          <w:szCs w:val="20"/>
        </w:rPr>
        <w:t xml:space="preserve">      ‘Indeed, the girls arrived.’           </w:t>
      </w:r>
      <w:r w:rsidR="00D25F89" w:rsidRPr="0007257D">
        <w:rPr>
          <w:rFonts w:asciiTheme="majorBidi" w:hAnsiTheme="majorBidi" w:cstheme="majorBidi"/>
          <w:sz w:val="20"/>
          <w:szCs w:val="20"/>
        </w:rPr>
        <w:t xml:space="preserve">                       </w:t>
      </w:r>
      <w:r w:rsidRPr="0007257D">
        <w:rPr>
          <w:rFonts w:asciiTheme="majorBidi" w:hAnsiTheme="majorBidi" w:cstheme="majorBidi"/>
          <w:sz w:val="20"/>
          <w:szCs w:val="20"/>
        </w:rPr>
        <w:t xml:space="preserve">       </w:t>
      </w:r>
      <w:r w:rsidR="001D69F1">
        <w:rPr>
          <w:rFonts w:asciiTheme="majorBidi" w:hAnsiTheme="majorBidi" w:cstheme="majorBidi"/>
          <w:sz w:val="20"/>
          <w:szCs w:val="20"/>
        </w:rPr>
        <w:t xml:space="preserve">  </w:t>
      </w:r>
      <w:r w:rsidRPr="0007257D">
        <w:rPr>
          <w:rFonts w:asciiTheme="majorBidi" w:hAnsiTheme="majorBidi" w:cstheme="majorBidi"/>
          <w:sz w:val="20"/>
          <w:szCs w:val="20"/>
        </w:rPr>
        <w:t xml:space="preserve"> </w:t>
      </w:r>
      <w:r w:rsidR="00895336" w:rsidRPr="0007257D">
        <w:rPr>
          <w:rFonts w:asciiTheme="majorBidi" w:hAnsiTheme="majorBidi" w:cstheme="majorBidi"/>
          <w:sz w:val="20"/>
          <w:szCs w:val="20"/>
        </w:rPr>
        <w:t>‘Indeed, the girls arrived.’</w:t>
      </w:r>
      <w:r w:rsidR="00D25F89" w:rsidRPr="0007257D">
        <w:rPr>
          <w:rFonts w:asciiTheme="majorBidi" w:hAnsiTheme="majorBidi" w:cstheme="majorBidi"/>
          <w:sz w:val="20"/>
          <w:szCs w:val="20"/>
        </w:rPr>
        <w:t xml:space="preserve">            </w:t>
      </w:r>
      <w:r w:rsidR="004A32CC" w:rsidRPr="0007257D">
        <w:rPr>
          <w:rFonts w:asciiTheme="majorBidi" w:hAnsiTheme="majorBidi" w:cstheme="majorBidi"/>
          <w:sz w:val="20"/>
          <w:szCs w:val="20"/>
        </w:rPr>
        <w:t xml:space="preserve">         </w:t>
      </w:r>
      <w:r w:rsidRPr="0007257D">
        <w:rPr>
          <w:rFonts w:asciiTheme="majorBidi" w:hAnsiTheme="majorBidi" w:cstheme="majorBidi"/>
          <w:sz w:val="20"/>
          <w:szCs w:val="20"/>
        </w:rPr>
        <w:t xml:space="preserve">         </w:t>
      </w:r>
    </w:p>
    <w:p w14:paraId="3EBCBC9C" w14:textId="58F82573" w:rsidR="00C45740" w:rsidRPr="0007257D" w:rsidRDefault="00895336" w:rsidP="00C45740">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sz w:val="20"/>
          <w:szCs w:val="20"/>
        </w:rPr>
        <w:t xml:space="preserve"> </w:t>
      </w:r>
      <w:r w:rsidR="00C45740" w:rsidRPr="0007257D">
        <w:rPr>
          <w:rFonts w:asciiTheme="majorBidi" w:hAnsiTheme="majorBidi" w:cstheme="majorBidi"/>
          <w:sz w:val="20"/>
          <w:szCs w:val="20"/>
        </w:rPr>
        <w:t>(3)</w:t>
      </w:r>
      <w:r w:rsidR="00C45740" w:rsidRPr="0007257D">
        <w:rPr>
          <w:rFonts w:asciiTheme="majorBidi" w:hAnsiTheme="majorBidi" w:cstheme="majorBidi"/>
          <w:sz w:val="20"/>
          <w:szCs w:val="20"/>
          <w:lang w:val="en-US"/>
        </w:rPr>
        <w:t xml:space="preserve"> *</w:t>
      </w:r>
      <w:proofErr w:type="spellStart"/>
      <w:r w:rsidR="00C45740" w:rsidRPr="0007257D">
        <w:rPr>
          <w:rFonts w:asciiTheme="majorBidi" w:hAnsiTheme="majorBidi" w:cstheme="majorBidi"/>
          <w:i/>
          <w:iCs/>
          <w:sz w:val="20"/>
          <w:szCs w:val="20"/>
        </w:rPr>
        <w:t>ʔɨnn</w:t>
      </w:r>
      <w:proofErr w:type="spellEnd"/>
      <w:r w:rsidR="00C45740" w:rsidRPr="0007257D">
        <w:rPr>
          <w:rFonts w:asciiTheme="majorBidi" w:hAnsiTheme="majorBidi" w:cstheme="majorBidi"/>
          <w:i/>
          <w:iCs/>
          <w:sz w:val="20"/>
          <w:szCs w:val="20"/>
        </w:rPr>
        <w:t>-u</w:t>
      </w:r>
      <w:r w:rsidR="008E07BB">
        <w:rPr>
          <w:rFonts w:asciiTheme="majorBidi" w:hAnsiTheme="majorBidi" w:cstheme="majorBidi"/>
          <w:i/>
          <w:iCs/>
          <w:sz w:val="20"/>
          <w:szCs w:val="20"/>
        </w:rPr>
        <w:t xml:space="preserve">         </w:t>
      </w:r>
      <w:r w:rsidR="0079160E" w:rsidRPr="0007257D">
        <w:rPr>
          <w:rFonts w:asciiTheme="majorBidi" w:hAnsiTheme="majorBidi" w:cstheme="majorBidi"/>
          <w:i/>
          <w:iCs/>
          <w:sz w:val="20"/>
          <w:szCs w:val="20"/>
        </w:rPr>
        <w:t xml:space="preserve"> </w:t>
      </w:r>
      <w:proofErr w:type="spellStart"/>
      <w:r w:rsidR="00C45740" w:rsidRPr="0007257D">
        <w:rPr>
          <w:rFonts w:asciiTheme="majorBidi" w:hAnsiTheme="majorBidi" w:cstheme="majorBidi"/>
          <w:i/>
          <w:iCs/>
          <w:sz w:val="20"/>
          <w:szCs w:val="20"/>
        </w:rPr>
        <w:t>ʔ</w:t>
      </w:r>
      <w:r w:rsidR="008E07BB">
        <w:rPr>
          <w:rFonts w:asciiTheme="majorBidi" w:hAnsiTheme="majorBidi" w:cstheme="majorBidi"/>
          <w:i/>
          <w:iCs/>
          <w:sz w:val="20"/>
          <w:szCs w:val="20"/>
        </w:rPr>
        <w:t>i</w:t>
      </w:r>
      <w:r w:rsidR="00C45740" w:rsidRPr="0007257D">
        <w:rPr>
          <w:rFonts w:asciiTheme="majorBidi" w:hAnsiTheme="majorBidi" w:cstheme="majorBidi"/>
          <w:i/>
          <w:iCs/>
          <w:sz w:val="20"/>
          <w:szCs w:val="20"/>
        </w:rPr>
        <w:t>l</w:t>
      </w:r>
      <w:r w:rsidR="0079160E" w:rsidRPr="0007257D">
        <w:rPr>
          <w:rFonts w:asciiTheme="majorBidi" w:hAnsiTheme="majorBidi" w:cstheme="majorBidi"/>
          <w:i/>
          <w:iCs/>
          <w:sz w:val="20"/>
          <w:szCs w:val="20"/>
        </w:rPr>
        <w:t>-</w:t>
      </w:r>
      <w:r w:rsidR="00C45740" w:rsidRPr="0007257D">
        <w:rPr>
          <w:rFonts w:asciiTheme="majorBidi" w:hAnsiTheme="majorBidi" w:cstheme="majorBidi"/>
          <w:i/>
          <w:iCs/>
          <w:sz w:val="20"/>
          <w:szCs w:val="20"/>
        </w:rPr>
        <w:t>walad</w:t>
      </w:r>
      <w:proofErr w:type="spellEnd"/>
      <w:r w:rsidR="008E07BB">
        <w:rPr>
          <w:rFonts w:asciiTheme="majorBidi" w:hAnsiTheme="majorBidi" w:cstheme="majorBidi"/>
          <w:i/>
          <w:iCs/>
          <w:sz w:val="20"/>
          <w:szCs w:val="20"/>
        </w:rPr>
        <w:t xml:space="preserve"> </w:t>
      </w:r>
      <w:r w:rsidR="001D69F1">
        <w:rPr>
          <w:rFonts w:asciiTheme="majorBidi" w:hAnsiTheme="majorBidi" w:cstheme="majorBidi"/>
          <w:i/>
          <w:iCs/>
          <w:sz w:val="20"/>
          <w:szCs w:val="20"/>
        </w:rPr>
        <w:t xml:space="preserve">   </w:t>
      </w:r>
      <w:r w:rsidR="008E07BB">
        <w:rPr>
          <w:rFonts w:asciiTheme="majorBidi" w:hAnsiTheme="majorBidi" w:cstheme="majorBidi"/>
          <w:i/>
          <w:iCs/>
          <w:sz w:val="20"/>
          <w:szCs w:val="20"/>
        </w:rPr>
        <w:t xml:space="preserve"> </w:t>
      </w:r>
      <w:r w:rsidR="00C45740" w:rsidRPr="0007257D">
        <w:rPr>
          <w:rFonts w:asciiTheme="majorBidi" w:hAnsiTheme="majorBidi" w:cstheme="majorBidi"/>
          <w:i/>
          <w:iCs/>
          <w:sz w:val="20"/>
          <w:szCs w:val="20"/>
        </w:rPr>
        <w:t xml:space="preserve"> </w:t>
      </w:r>
      <w:r w:rsidR="0079160E" w:rsidRPr="0007257D">
        <w:rPr>
          <w:rFonts w:asciiTheme="majorBidi" w:hAnsiTheme="majorBidi" w:cstheme="majorBidi"/>
          <w:i/>
          <w:iCs/>
          <w:sz w:val="20"/>
          <w:szCs w:val="20"/>
        </w:rPr>
        <w:t xml:space="preserve"> </w:t>
      </w:r>
      <w:proofErr w:type="spellStart"/>
      <w:r w:rsidR="00C45740" w:rsidRPr="0007257D">
        <w:rPr>
          <w:rFonts w:asciiTheme="majorBidi" w:hAnsiTheme="majorBidi" w:cstheme="majorBidi"/>
          <w:i/>
          <w:iCs/>
          <w:sz w:val="20"/>
          <w:szCs w:val="20"/>
        </w:rPr>
        <w:t>ʔ</w:t>
      </w:r>
      <w:r w:rsidR="008E07BB">
        <w:rPr>
          <w:rFonts w:asciiTheme="majorBidi" w:hAnsiTheme="majorBidi" w:cstheme="majorBidi"/>
          <w:i/>
          <w:iCs/>
          <w:sz w:val="20"/>
          <w:szCs w:val="20"/>
        </w:rPr>
        <w:t>i</w:t>
      </w:r>
      <w:r w:rsidR="00C45740" w:rsidRPr="0007257D">
        <w:rPr>
          <w:rFonts w:asciiTheme="majorBidi" w:hAnsiTheme="majorBidi" w:cstheme="majorBidi"/>
          <w:i/>
          <w:iCs/>
          <w:sz w:val="20"/>
          <w:szCs w:val="20"/>
        </w:rPr>
        <w:t>ʤ</w:t>
      </w:r>
      <w:r w:rsidR="008E07BB">
        <w:rPr>
          <w:rFonts w:asciiTheme="majorBidi" w:hAnsiTheme="majorBidi" w:cstheme="majorBidi"/>
          <w:i/>
          <w:iCs/>
          <w:sz w:val="20"/>
          <w:szCs w:val="20"/>
        </w:rPr>
        <w:t>a</w:t>
      </w:r>
      <w:proofErr w:type="spellEnd"/>
      <w:r w:rsidR="00D25F89" w:rsidRPr="0007257D">
        <w:rPr>
          <w:rFonts w:asciiTheme="majorBidi" w:hAnsiTheme="majorBidi" w:cstheme="majorBidi"/>
          <w:i/>
          <w:iCs/>
          <w:sz w:val="20"/>
          <w:szCs w:val="20"/>
        </w:rPr>
        <w:t xml:space="preserve">  </w:t>
      </w:r>
      <w:r w:rsidR="001D69F1">
        <w:rPr>
          <w:rFonts w:asciiTheme="majorBidi" w:hAnsiTheme="majorBidi" w:cstheme="majorBidi"/>
          <w:i/>
          <w:iCs/>
          <w:sz w:val="20"/>
          <w:szCs w:val="20"/>
        </w:rPr>
        <w:t xml:space="preserve">     </w:t>
      </w:r>
      <w:proofErr w:type="gramStart"/>
      <w:r w:rsidR="001D69F1">
        <w:rPr>
          <w:rFonts w:asciiTheme="majorBidi" w:hAnsiTheme="majorBidi" w:cstheme="majorBidi"/>
          <w:i/>
          <w:iCs/>
          <w:sz w:val="20"/>
          <w:szCs w:val="20"/>
        </w:rPr>
        <w:t xml:space="preserve"> </w:t>
      </w:r>
      <w:r w:rsidR="00D25F89" w:rsidRPr="0007257D">
        <w:rPr>
          <w:rFonts w:asciiTheme="majorBidi" w:hAnsiTheme="majorBidi" w:cstheme="majorBidi"/>
          <w:i/>
          <w:iCs/>
          <w:sz w:val="20"/>
          <w:szCs w:val="20"/>
        </w:rPr>
        <w:t xml:space="preserve">  </w:t>
      </w:r>
      <w:r w:rsidR="00D25F89" w:rsidRPr="0007257D">
        <w:rPr>
          <w:rFonts w:asciiTheme="majorBidi" w:hAnsiTheme="majorBidi" w:cstheme="majorBidi"/>
          <w:sz w:val="20"/>
          <w:szCs w:val="20"/>
        </w:rPr>
        <w:t>(</w:t>
      </w:r>
      <w:proofErr w:type="gramEnd"/>
      <w:r w:rsidR="00D25F89" w:rsidRPr="0007257D">
        <w:rPr>
          <w:rFonts w:asciiTheme="majorBidi" w:hAnsiTheme="majorBidi" w:cstheme="majorBidi"/>
          <w:sz w:val="20"/>
          <w:szCs w:val="20"/>
          <w:lang w:val="en-US"/>
        </w:rPr>
        <w:t>JA)</w:t>
      </w:r>
      <w:r w:rsidR="00D25F89" w:rsidRPr="0007257D">
        <w:rPr>
          <w:rFonts w:asciiTheme="majorBidi" w:hAnsiTheme="majorBidi" w:cstheme="majorBidi"/>
          <w:i/>
          <w:iCs/>
          <w:sz w:val="20"/>
          <w:szCs w:val="20"/>
        </w:rPr>
        <w:t xml:space="preserve">      </w:t>
      </w:r>
      <w:r w:rsidR="00D25F89" w:rsidRPr="0007257D">
        <w:rPr>
          <w:rFonts w:asciiTheme="majorBidi" w:hAnsiTheme="majorBidi" w:cstheme="majorBidi"/>
          <w:sz w:val="20"/>
          <w:szCs w:val="20"/>
        </w:rPr>
        <w:t xml:space="preserve">(4)    </w:t>
      </w:r>
      <w:r w:rsidR="00740566" w:rsidRPr="0007257D">
        <w:rPr>
          <w:rFonts w:asciiTheme="majorBidi" w:hAnsiTheme="majorBidi" w:cstheme="majorBidi"/>
          <w:sz w:val="20"/>
          <w:szCs w:val="20"/>
        </w:rPr>
        <w:t>*</w:t>
      </w:r>
      <w:proofErr w:type="spellStart"/>
      <w:r w:rsidR="00D25F89" w:rsidRPr="0007257D">
        <w:rPr>
          <w:rFonts w:asciiTheme="majorBidi" w:hAnsiTheme="majorBidi" w:cstheme="majorBidi"/>
          <w:sz w:val="20"/>
          <w:szCs w:val="20"/>
        </w:rPr>
        <w:t>ʔɘnno</w:t>
      </w:r>
      <w:proofErr w:type="spellEnd"/>
      <w:r w:rsidR="00D25F89" w:rsidRPr="0007257D">
        <w:rPr>
          <w:rFonts w:asciiTheme="majorBidi" w:hAnsiTheme="majorBidi" w:cstheme="majorBidi"/>
          <w:i/>
          <w:iCs/>
          <w:sz w:val="20"/>
          <w:szCs w:val="20"/>
        </w:rPr>
        <w:t xml:space="preserve">  </w:t>
      </w:r>
      <w:proofErr w:type="spellStart"/>
      <w:r w:rsidR="00D25F89" w:rsidRPr="0007257D">
        <w:rPr>
          <w:rFonts w:asciiTheme="majorBidi" w:hAnsiTheme="majorBidi" w:cstheme="majorBidi"/>
          <w:i/>
          <w:iCs/>
          <w:sz w:val="20"/>
          <w:szCs w:val="20"/>
        </w:rPr>
        <w:t>ʔɪl-walad</w:t>
      </w:r>
      <w:proofErr w:type="spellEnd"/>
      <w:r w:rsidR="00D25F89" w:rsidRPr="0007257D">
        <w:rPr>
          <w:rFonts w:asciiTheme="majorBidi" w:hAnsiTheme="majorBidi" w:cstheme="majorBidi"/>
          <w:i/>
          <w:iCs/>
          <w:sz w:val="20"/>
          <w:szCs w:val="20"/>
        </w:rPr>
        <w:t xml:space="preserve">    </w:t>
      </w:r>
      <w:r w:rsidR="008E07BB">
        <w:rPr>
          <w:rFonts w:asciiTheme="majorBidi" w:hAnsiTheme="majorBidi" w:cstheme="majorBidi"/>
          <w:i/>
          <w:iCs/>
          <w:sz w:val="20"/>
          <w:szCs w:val="20"/>
        </w:rPr>
        <w:t xml:space="preserve"> </w:t>
      </w:r>
      <w:r w:rsidR="00D25F89" w:rsidRPr="0007257D">
        <w:rPr>
          <w:rFonts w:asciiTheme="majorBidi" w:hAnsiTheme="majorBidi" w:cstheme="majorBidi"/>
          <w:i/>
          <w:iCs/>
          <w:sz w:val="20"/>
          <w:szCs w:val="20"/>
        </w:rPr>
        <w:t xml:space="preserve">    </w:t>
      </w:r>
      <w:proofErr w:type="spellStart"/>
      <w:r w:rsidR="00D25F89" w:rsidRPr="0007257D">
        <w:rPr>
          <w:rFonts w:asciiTheme="majorBidi" w:hAnsiTheme="majorBidi" w:cstheme="majorBidi"/>
          <w:i/>
          <w:iCs/>
          <w:sz w:val="20"/>
          <w:szCs w:val="20"/>
        </w:rPr>
        <w:t>ʔ</w:t>
      </w:r>
      <w:r w:rsidR="008E07BB">
        <w:rPr>
          <w:rFonts w:asciiTheme="majorBidi" w:hAnsiTheme="majorBidi" w:cstheme="majorBidi"/>
          <w:i/>
          <w:iCs/>
          <w:sz w:val="20"/>
          <w:szCs w:val="20"/>
        </w:rPr>
        <w:t>i</w:t>
      </w:r>
      <w:r w:rsidR="00D25F89" w:rsidRPr="0007257D">
        <w:rPr>
          <w:rFonts w:asciiTheme="majorBidi" w:hAnsiTheme="majorBidi" w:cstheme="majorBidi"/>
          <w:i/>
          <w:iCs/>
          <w:sz w:val="20"/>
          <w:szCs w:val="20"/>
        </w:rPr>
        <w:t>ʤa</w:t>
      </w:r>
      <w:proofErr w:type="spellEnd"/>
      <w:r w:rsidR="00D25F89" w:rsidRPr="0007257D">
        <w:rPr>
          <w:rFonts w:asciiTheme="majorBidi" w:hAnsiTheme="majorBidi" w:cstheme="majorBidi"/>
          <w:i/>
          <w:iCs/>
          <w:sz w:val="20"/>
          <w:szCs w:val="20"/>
        </w:rPr>
        <w:t xml:space="preserve">                       </w:t>
      </w:r>
      <w:r w:rsidR="00D25F89" w:rsidRPr="0007257D">
        <w:rPr>
          <w:rFonts w:asciiTheme="majorBidi" w:hAnsiTheme="majorBidi" w:cstheme="majorBidi"/>
          <w:sz w:val="20"/>
          <w:szCs w:val="20"/>
        </w:rPr>
        <w:t>(LA)</w:t>
      </w:r>
    </w:p>
    <w:p w14:paraId="699C8529" w14:textId="0A215314" w:rsidR="00C45740" w:rsidRPr="0007257D" w:rsidRDefault="00C45740" w:rsidP="00D25F89">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i/>
          <w:iCs/>
          <w:sz w:val="20"/>
          <w:szCs w:val="20"/>
        </w:rPr>
        <w:t xml:space="preserve">     </w:t>
      </w:r>
      <w:r w:rsidRPr="0007257D">
        <w:rPr>
          <w:rFonts w:asciiTheme="majorBidi" w:hAnsiTheme="majorBidi" w:cstheme="majorBidi"/>
          <w:sz w:val="20"/>
          <w:szCs w:val="20"/>
        </w:rPr>
        <w:t xml:space="preserve">  </w:t>
      </w:r>
      <w:r w:rsidR="001D69F1" w:rsidRPr="001D69F1">
        <w:rPr>
          <w:rFonts w:asciiTheme="majorBidi" w:hAnsiTheme="majorBidi" w:cstheme="majorBidi"/>
          <w:smallCaps/>
          <w:sz w:val="20"/>
          <w:szCs w:val="20"/>
        </w:rPr>
        <w:t>comp-3m.sg</w:t>
      </w:r>
      <w:r w:rsidR="001D69F1" w:rsidRPr="0007257D">
        <w:rPr>
          <w:rFonts w:asciiTheme="majorBidi" w:hAnsiTheme="majorBidi" w:cstheme="majorBidi"/>
          <w:sz w:val="20"/>
          <w:szCs w:val="20"/>
        </w:rPr>
        <w:t xml:space="preserve"> </w:t>
      </w:r>
      <w:proofErr w:type="gramStart"/>
      <w:r w:rsidRPr="0007257D">
        <w:rPr>
          <w:rFonts w:asciiTheme="majorBidi" w:hAnsiTheme="majorBidi" w:cstheme="majorBidi"/>
          <w:sz w:val="20"/>
          <w:szCs w:val="20"/>
        </w:rPr>
        <w:t>the-</w:t>
      </w:r>
      <w:proofErr w:type="spellStart"/>
      <w:r w:rsidR="0079160E" w:rsidRPr="0007257D">
        <w:rPr>
          <w:rFonts w:asciiTheme="majorBidi" w:hAnsiTheme="majorBidi" w:cstheme="majorBidi"/>
          <w:sz w:val="20"/>
          <w:szCs w:val="20"/>
        </w:rPr>
        <w:t>boy</w:t>
      </w:r>
      <w:r w:rsidRPr="0007257D">
        <w:rPr>
          <w:rFonts w:asciiTheme="majorBidi" w:hAnsiTheme="majorBidi" w:cstheme="majorBidi"/>
          <w:sz w:val="20"/>
          <w:szCs w:val="20"/>
        </w:rPr>
        <w:t>.</w:t>
      </w:r>
      <w:r w:rsidR="001D69F1" w:rsidRPr="001D69F1">
        <w:rPr>
          <w:rFonts w:asciiTheme="majorBidi" w:hAnsiTheme="majorBidi" w:cstheme="majorBidi"/>
          <w:smallCaps/>
          <w:sz w:val="20"/>
          <w:szCs w:val="20"/>
        </w:rPr>
        <w:t>acc</w:t>
      </w:r>
      <w:proofErr w:type="spellEnd"/>
      <w:r w:rsidR="001D69F1" w:rsidRPr="0007257D">
        <w:rPr>
          <w:rFonts w:asciiTheme="majorBidi" w:hAnsiTheme="majorBidi" w:cstheme="majorBidi"/>
          <w:sz w:val="20"/>
          <w:szCs w:val="20"/>
        </w:rPr>
        <w:t xml:space="preserve">  </w:t>
      </w:r>
      <w:r w:rsidRPr="0007257D">
        <w:rPr>
          <w:rFonts w:asciiTheme="majorBidi" w:hAnsiTheme="majorBidi" w:cstheme="majorBidi"/>
          <w:sz w:val="20"/>
          <w:szCs w:val="20"/>
        </w:rPr>
        <w:t>arrived</w:t>
      </w:r>
      <w:proofErr w:type="gramEnd"/>
      <w:r w:rsidR="008E07BB">
        <w:rPr>
          <w:rFonts w:asciiTheme="majorBidi" w:hAnsiTheme="majorBidi" w:cstheme="majorBidi"/>
          <w:sz w:val="20"/>
          <w:szCs w:val="20"/>
        </w:rPr>
        <w:t xml:space="preserve">             </w:t>
      </w:r>
      <w:r w:rsidR="000A03BB"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t xml:space="preserve">      </w:t>
      </w:r>
      <w:r w:rsidR="00740566"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t xml:space="preserve"> </w:t>
      </w:r>
      <w:r w:rsidR="001D69F1">
        <w:rPr>
          <w:rFonts w:asciiTheme="majorBidi" w:hAnsiTheme="majorBidi" w:cstheme="majorBidi"/>
          <w:sz w:val="20"/>
          <w:szCs w:val="20"/>
        </w:rPr>
        <w:t xml:space="preserve">       </w:t>
      </w:r>
      <w:r w:rsidR="001D69F1" w:rsidRPr="001D69F1">
        <w:rPr>
          <w:rFonts w:asciiTheme="majorBidi" w:hAnsiTheme="majorBidi" w:cstheme="majorBidi"/>
          <w:smallCaps/>
          <w:sz w:val="20"/>
          <w:szCs w:val="20"/>
        </w:rPr>
        <w:t>comp</w:t>
      </w:r>
      <w:r w:rsidR="001D69F1"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t>the-</w:t>
      </w:r>
      <w:proofErr w:type="spellStart"/>
      <w:r w:rsidR="00D25F89" w:rsidRPr="0007257D">
        <w:rPr>
          <w:rFonts w:asciiTheme="majorBidi" w:hAnsiTheme="majorBidi" w:cstheme="majorBidi"/>
          <w:sz w:val="20"/>
          <w:szCs w:val="20"/>
        </w:rPr>
        <w:t>boy.</w:t>
      </w:r>
      <w:r w:rsidR="001D69F1" w:rsidRPr="001D69F1">
        <w:rPr>
          <w:rFonts w:asciiTheme="majorBidi" w:hAnsiTheme="majorBidi" w:cstheme="majorBidi"/>
          <w:smallCaps/>
          <w:sz w:val="20"/>
          <w:szCs w:val="20"/>
        </w:rPr>
        <w:t>acc</w:t>
      </w:r>
      <w:proofErr w:type="spellEnd"/>
      <w:r w:rsidR="001D69F1"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t xml:space="preserve">arrived   </w:t>
      </w:r>
    </w:p>
    <w:p w14:paraId="04490C80" w14:textId="568914FF" w:rsidR="00D25F89" w:rsidRPr="0007257D" w:rsidRDefault="00C45740" w:rsidP="00D25F89">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sz w:val="20"/>
          <w:szCs w:val="20"/>
        </w:rPr>
        <w:t xml:space="preserve">      ‘Intended: the boy arrived.’  </w:t>
      </w:r>
      <w:r w:rsidR="004A32CC" w:rsidRPr="0007257D">
        <w:rPr>
          <w:rFonts w:asciiTheme="majorBidi" w:hAnsiTheme="majorBidi" w:cstheme="majorBidi"/>
          <w:sz w:val="20"/>
          <w:szCs w:val="20"/>
        </w:rPr>
        <w:t xml:space="preserve">  </w:t>
      </w:r>
      <w:r w:rsidR="00D25F89" w:rsidRPr="0007257D">
        <w:rPr>
          <w:rFonts w:asciiTheme="majorBidi" w:hAnsiTheme="majorBidi" w:cstheme="majorBidi"/>
          <w:sz w:val="20"/>
          <w:szCs w:val="20"/>
          <w:lang w:val="en-US"/>
        </w:rPr>
        <w:t xml:space="preserve">                                   </w:t>
      </w:r>
      <w:r w:rsidR="001D69F1">
        <w:rPr>
          <w:rFonts w:asciiTheme="majorBidi" w:hAnsiTheme="majorBidi" w:cstheme="majorBidi"/>
          <w:sz w:val="20"/>
          <w:szCs w:val="20"/>
          <w:lang w:val="en-US"/>
        </w:rPr>
        <w:t xml:space="preserve"> </w:t>
      </w:r>
      <w:r w:rsidR="00740566" w:rsidRPr="0007257D">
        <w:rPr>
          <w:rFonts w:asciiTheme="majorBidi" w:hAnsiTheme="majorBidi" w:cstheme="majorBidi"/>
          <w:sz w:val="20"/>
          <w:szCs w:val="20"/>
          <w:lang w:val="en-US"/>
        </w:rPr>
        <w:t xml:space="preserve">  </w:t>
      </w:r>
      <w:r w:rsidR="00D25F89" w:rsidRPr="0007257D">
        <w:rPr>
          <w:rFonts w:asciiTheme="majorBidi" w:hAnsiTheme="majorBidi" w:cstheme="majorBidi"/>
          <w:sz w:val="20"/>
          <w:szCs w:val="20"/>
        </w:rPr>
        <w:t>‘Intended: the boy arrived.’</w:t>
      </w:r>
      <w:r w:rsidR="001D69F1">
        <w:rPr>
          <w:rFonts w:asciiTheme="majorBidi" w:hAnsiTheme="majorBidi" w:cstheme="majorBidi"/>
          <w:sz w:val="20"/>
          <w:szCs w:val="20"/>
        </w:rPr>
        <w:t xml:space="preserve">               </w:t>
      </w:r>
      <w:r w:rsidR="00D25F89"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t xml:space="preserve"> </w:t>
      </w:r>
      <w:r w:rsidR="00D25F89" w:rsidRPr="0007257D">
        <w:rPr>
          <w:rFonts w:asciiTheme="majorBidi" w:hAnsiTheme="majorBidi" w:cstheme="majorBidi"/>
          <w:sz w:val="20"/>
          <w:szCs w:val="20"/>
        </w:rPr>
        <w:fldChar w:fldCharType="begin"/>
      </w:r>
      <w:r w:rsidR="00D25F89" w:rsidRPr="0007257D">
        <w:rPr>
          <w:rFonts w:asciiTheme="majorBidi" w:hAnsiTheme="majorBidi" w:cstheme="majorBidi"/>
          <w:sz w:val="20"/>
          <w:szCs w:val="20"/>
        </w:rPr>
        <w:instrText xml:space="preserve"> ADDIN ZOTERO_ITEM CSL_CITATION {"citationID":"RQb5ZOkC","properties":{"formattedCitation":"(Jarrah, 2019b)","plainCitation":"(Jarrah, 2019b)","noteIndex":0},"citationItems":[{"id":635,"uris":["http://zotero.org/users/4439491/items/HY8HAL3Y"],"uri":["http://zotero.org/users/4439491/items/HY8HAL3Y"],"itemData":{"id":635,"type":"article-journal","title":"Record your Agree: A case study of the Arabic complementizer &lt;i&gt;ʔinn&lt;/i&gt;","container-title":"Journal of Linguistics","page":"83-122","volume":"55","issue":"1","source":"Crossref","abstract":"This research investigates the morpho-syntactic behaviour of the Arabic complementizer Pinn in a range of Arabic varieties (Modern Standard Arabic, Jordanian Arabic, and Lebanese Arabic). It essentially argues that this complementizer SHARES (not DONATES or KEEPS, pace Ouali 2008, 2011) its unvalued φ-features with its complement T0, something that makes Pinn and T0 separate agreeing heads. An inﬂectional sufﬁx attached to Pinn is treated as a PF reﬂex (i.e. an overt morphological realization) of valuation of Pinn’s unvalued φ-features or lack thereof. This research also argues that the occurrence of such an inﬂectional sufﬁx is ruled by the postulated AGREE CHAIN RECORD, an interface condition that demands an Agree relation to have a PF reﬂex, called a RECORD (i.e. an overt Case marking on the goal or, if not, a φ-afﬁx on the probe). This way, we account for the complementary distribution of overt Case and φ-Agree in Arabic. We also show how a host of other phenomena, including word order agreement asymmetries in Modern Standard Arabic and lack of such asymmetries in Arabic vernaculars, fares well with this view.","DOI":"10.1017/S0022226718000282","ISSN":"0022-2267, 1469-7742","shortTitle":"Record your Agree","language":"en","author":[{"family":"Jarrah","given":"Marwan"}],"issued":{"date-parts":[["2019",2,1]]}}}],"schema":"https://github.com/citation-style-language/schema/raw/master/csl-citation.json"} </w:instrText>
      </w:r>
      <w:r w:rsidR="00D25F89" w:rsidRPr="0007257D">
        <w:rPr>
          <w:rFonts w:asciiTheme="majorBidi" w:hAnsiTheme="majorBidi" w:cstheme="majorBidi"/>
          <w:sz w:val="20"/>
          <w:szCs w:val="20"/>
        </w:rPr>
        <w:fldChar w:fldCharType="separate"/>
      </w:r>
      <w:r w:rsidR="00D25F89" w:rsidRPr="0007257D">
        <w:rPr>
          <w:rFonts w:asciiTheme="majorBidi" w:hAnsiTheme="majorBidi" w:cstheme="majorBidi"/>
          <w:sz w:val="20"/>
          <w:szCs w:val="20"/>
        </w:rPr>
        <w:t>(Jarrah, 2019b)</w:t>
      </w:r>
      <w:r w:rsidR="00D25F89" w:rsidRPr="0007257D">
        <w:rPr>
          <w:rFonts w:asciiTheme="majorBidi" w:hAnsiTheme="majorBidi" w:cstheme="majorBidi"/>
          <w:sz w:val="20"/>
          <w:szCs w:val="20"/>
        </w:rPr>
        <w:fldChar w:fldCharType="end"/>
      </w:r>
    </w:p>
    <w:p w14:paraId="56598124" w14:textId="67DE034C" w:rsidR="00C45740" w:rsidRPr="0007257D" w:rsidRDefault="00C45740" w:rsidP="002A19FD">
      <w:pPr>
        <w:spacing w:after="0" w:line="240" w:lineRule="auto"/>
        <w:jc w:val="both"/>
        <w:rPr>
          <w:rFonts w:asciiTheme="majorBidi" w:hAnsiTheme="majorBidi" w:cstheme="majorBidi"/>
          <w:sz w:val="20"/>
          <w:szCs w:val="20"/>
        </w:rPr>
      </w:pPr>
      <w:r w:rsidRPr="0007257D">
        <w:rPr>
          <w:rFonts w:asciiTheme="majorBidi" w:hAnsiTheme="majorBidi" w:cstheme="majorBidi"/>
          <w:sz w:val="20"/>
          <w:szCs w:val="20"/>
        </w:rPr>
        <w:t>The examples above show that</w:t>
      </w:r>
      <w:r w:rsidR="004E5B3B">
        <w:rPr>
          <w:rFonts w:asciiTheme="majorBidi" w:hAnsiTheme="majorBidi" w:cstheme="majorBidi"/>
          <w:sz w:val="20"/>
          <w:szCs w:val="20"/>
        </w:rPr>
        <w:t>,</w:t>
      </w:r>
      <w:r w:rsidRPr="0007257D">
        <w:rPr>
          <w:rFonts w:asciiTheme="majorBidi" w:hAnsiTheme="majorBidi" w:cstheme="majorBidi"/>
          <w:sz w:val="20"/>
          <w:szCs w:val="20"/>
        </w:rPr>
        <w:t xml:space="preserve"> in SA</w:t>
      </w:r>
      <w:r w:rsidR="004E5B3B">
        <w:rPr>
          <w:rFonts w:asciiTheme="majorBidi" w:hAnsiTheme="majorBidi" w:cstheme="majorBidi"/>
          <w:sz w:val="20"/>
          <w:szCs w:val="20"/>
        </w:rPr>
        <w:t>,</w:t>
      </w:r>
      <w:r w:rsidRPr="0007257D">
        <w:rPr>
          <w:rFonts w:asciiTheme="majorBidi" w:hAnsiTheme="majorBidi" w:cstheme="majorBidi"/>
          <w:sz w:val="20"/>
          <w:szCs w:val="20"/>
        </w:rPr>
        <w:t xml:space="preserve"> two forms of </w:t>
      </w:r>
      <w:r w:rsidR="0007257D" w:rsidRPr="0007257D">
        <w:rPr>
          <w:rFonts w:asciiTheme="majorBidi" w:hAnsiTheme="majorBidi" w:cstheme="majorBidi"/>
          <w:sz w:val="20"/>
          <w:szCs w:val="20"/>
        </w:rPr>
        <w:t>Cs</w:t>
      </w:r>
      <w:r w:rsidRPr="0007257D">
        <w:rPr>
          <w:rFonts w:asciiTheme="majorBidi" w:hAnsiTheme="majorBidi" w:cstheme="majorBidi"/>
          <w:sz w:val="20"/>
          <w:szCs w:val="20"/>
        </w:rPr>
        <w:t xml:space="preserve"> are used in the system </w:t>
      </w:r>
      <w:r w:rsidR="00644215" w:rsidRPr="0007257D">
        <w:rPr>
          <w:rFonts w:asciiTheme="majorBidi" w:hAnsiTheme="majorBidi" w:cstheme="majorBidi"/>
          <w:i/>
          <w:iCs/>
          <w:sz w:val="20"/>
          <w:szCs w:val="20"/>
        </w:rPr>
        <w:t xml:space="preserve">ʔinna </w:t>
      </w:r>
      <w:r w:rsidR="00644215" w:rsidRPr="0007257D">
        <w:rPr>
          <w:rFonts w:asciiTheme="majorBidi" w:hAnsiTheme="majorBidi" w:cstheme="majorBidi"/>
          <w:sz w:val="20"/>
          <w:szCs w:val="20"/>
        </w:rPr>
        <w:t xml:space="preserve">and </w:t>
      </w:r>
      <w:r w:rsidR="00644215" w:rsidRPr="0007257D">
        <w:rPr>
          <w:rFonts w:asciiTheme="majorBidi" w:hAnsiTheme="majorBidi" w:cstheme="majorBidi"/>
          <w:i/>
          <w:iCs/>
          <w:sz w:val="20"/>
          <w:szCs w:val="20"/>
        </w:rPr>
        <w:t>ʔanna</w:t>
      </w:r>
      <w:r w:rsidR="00644215" w:rsidRPr="0007257D">
        <w:rPr>
          <w:rFonts w:asciiTheme="majorBidi" w:hAnsiTheme="majorBidi" w:cstheme="majorBidi"/>
          <w:sz w:val="20"/>
          <w:szCs w:val="20"/>
        </w:rPr>
        <w:t>. In JA, nevertheless, only one form is used</w:t>
      </w:r>
      <w:r w:rsidR="00644215" w:rsidRPr="0007257D">
        <w:rPr>
          <w:rFonts w:asciiTheme="majorBidi" w:hAnsiTheme="majorBidi" w:cstheme="majorBidi"/>
          <w:sz w:val="20"/>
          <w:szCs w:val="20"/>
          <w:lang w:val="en-US"/>
        </w:rPr>
        <w:t xml:space="preserve"> </w:t>
      </w:r>
      <w:r w:rsidR="00644215" w:rsidRPr="0007257D">
        <w:rPr>
          <w:rFonts w:asciiTheme="majorBidi" w:hAnsiTheme="majorBidi" w:cstheme="majorBidi"/>
          <w:i/>
          <w:iCs/>
          <w:sz w:val="20"/>
          <w:szCs w:val="20"/>
        </w:rPr>
        <w:t>ʔinn</w:t>
      </w:r>
      <w:r w:rsidR="00644215" w:rsidRPr="0007257D">
        <w:rPr>
          <w:rFonts w:asciiTheme="majorBidi" w:hAnsiTheme="majorBidi" w:cstheme="majorBidi"/>
          <w:sz w:val="20"/>
          <w:szCs w:val="20"/>
        </w:rPr>
        <w:t>. A notable difference between the two systems is that</w:t>
      </w:r>
      <w:r w:rsidR="004E5B3B">
        <w:rPr>
          <w:rFonts w:asciiTheme="majorBidi" w:hAnsiTheme="majorBidi" w:cstheme="majorBidi"/>
          <w:sz w:val="20"/>
          <w:szCs w:val="20"/>
        </w:rPr>
        <w:t>,</w:t>
      </w:r>
      <w:r w:rsidR="00644215" w:rsidRPr="0007257D">
        <w:rPr>
          <w:rFonts w:asciiTheme="majorBidi" w:hAnsiTheme="majorBidi" w:cstheme="majorBidi"/>
          <w:sz w:val="20"/>
          <w:szCs w:val="20"/>
        </w:rPr>
        <w:t xml:space="preserve"> in SA</w:t>
      </w:r>
      <w:r w:rsidR="004E5B3B">
        <w:rPr>
          <w:rFonts w:asciiTheme="majorBidi" w:hAnsiTheme="majorBidi" w:cstheme="majorBidi"/>
          <w:sz w:val="20"/>
          <w:szCs w:val="20"/>
        </w:rPr>
        <w:t>,</w:t>
      </w:r>
      <w:r w:rsidR="00644215" w:rsidRPr="0007257D">
        <w:rPr>
          <w:rFonts w:asciiTheme="majorBidi" w:hAnsiTheme="majorBidi" w:cstheme="majorBidi"/>
          <w:sz w:val="20"/>
          <w:szCs w:val="20"/>
        </w:rPr>
        <w:t xml:space="preserve"> it is acceptable to have the </w:t>
      </w:r>
      <w:r w:rsidR="004E5B3B">
        <w:rPr>
          <w:rFonts w:asciiTheme="majorBidi" w:hAnsiTheme="majorBidi" w:cstheme="majorBidi"/>
          <w:sz w:val="20"/>
          <w:szCs w:val="20"/>
        </w:rPr>
        <w:t>C</w:t>
      </w:r>
      <w:r w:rsidR="00644215" w:rsidRPr="0007257D">
        <w:rPr>
          <w:rFonts w:asciiTheme="majorBidi" w:hAnsiTheme="majorBidi" w:cstheme="majorBidi"/>
          <w:sz w:val="20"/>
          <w:szCs w:val="20"/>
        </w:rPr>
        <w:t xml:space="preserve"> in clause-initial position, yet the </w:t>
      </w:r>
      <w:r w:rsidR="004E5B3B">
        <w:rPr>
          <w:rFonts w:asciiTheme="majorBidi" w:hAnsiTheme="majorBidi" w:cstheme="majorBidi"/>
          <w:sz w:val="20"/>
          <w:szCs w:val="20"/>
        </w:rPr>
        <w:t>C</w:t>
      </w:r>
      <w:r w:rsidR="00644215" w:rsidRPr="0007257D">
        <w:rPr>
          <w:rFonts w:asciiTheme="majorBidi" w:hAnsiTheme="majorBidi" w:cstheme="majorBidi"/>
          <w:sz w:val="20"/>
          <w:szCs w:val="20"/>
        </w:rPr>
        <w:t xml:space="preserve"> must be </w:t>
      </w:r>
      <w:r w:rsidR="00644215" w:rsidRPr="0007257D">
        <w:rPr>
          <w:rFonts w:asciiTheme="majorBidi" w:hAnsiTheme="majorBidi" w:cstheme="majorBidi"/>
          <w:i/>
          <w:iCs/>
          <w:sz w:val="20"/>
          <w:szCs w:val="20"/>
        </w:rPr>
        <w:t>ʔinna</w:t>
      </w:r>
      <w:r w:rsidR="00644215" w:rsidRPr="0007257D">
        <w:rPr>
          <w:rFonts w:asciiTheme="majorBidi" w:hAnsiTheme="majorBidi" w:cstheme="majorBidi"/>
          <w:sz w:val="20"/>
          <w:szCs w:val="20"/>
        </w:rPr>
        <w:t xml:space="preserve">. The use of </w:t>
      </w:r>
      <w:r w:rsidR="00644215" w:rsidRPr="0007257D">
        <w:rPr>
          <w:rFonts w:asciiTheme="majorBidi" w:hAnsiTheme="majorBidi" w:cstheme="majorBidi"/>
          <w:i/>
          <w:iCs/>
          <w:sz w:val="20"/>
          <w:szCs w:val="20"/>
        </w:rPr>
        <w:t xml:space="preserve">ʔanna </w:t>
      </w:r>
      <w:r w:rsidR="00644215" w:rsidRPr="0007257D">
        <w:rPr>
          <w:rFonts w:asciiTheme="majorBidi" w:hAnsiTheme="majorBidi" w:cstheme="majorBidi"/>
          <w:sz w:val="20"/>
          <w:szCs w:val="20"/>
        </w:rPr>
        <w:t xml:space="preserve">leads to ungrammatical construction (2). However, the ungrammaticality of using </w:t>
      </w:r>
      <w:r w:rsidR="00644215" w:rsidRPr="0007257D">
        <w:rPr>
          <w:rFonts w:asciiTheme="majorBidi" w:hAnsiTheme="majorBidi" w:cstheme="majorBidi"/>
          <w:i/>
          <w:iCs/>
          <w:sz w:val="20"/>
          <w:szCs w:val="20"/>
        </w:rPr>
        <w:t xml:space="preserve">ʔanna </w:t>
      </w:r>
      <w:r w:rsidR="00644215" w:rsidRPr="0007257D">
        <w:rPr>
          <w:rFonts w:asciiTheme="majorBidi" w:hAnsiTheme="majorBidi" w:cstheme="majorBidi"/>
          <w:sz w:val="20"/>
          <w:szCs w:val="20"/>
        </w:rPr>
        <w:t xml:space="preserve">intersects with the ungrammaticality of using </w:t>
      </w:r>
      <w:r w:rsidR="0007257D" w:rsidRPr="0007257D">
        <w:rPr>
          <w:rFonts w:asciiTheme="majorBidi" w:hAnsiTheme="majorBidi" w:cstheme="majorBidi"/>
          <w:sz w:val="20"/>
          <w:szCs w:val="20"/>
        </w:rPr>
        <w:t>Cs</w:t>
      </w:r>
      <w:r w:rsidR="00644215" w:rsidRPr="0007257D">
        <w:rPr>
          <w:rFonts w:asciiTheme="majorBidi" w:hAnsiTheme="majorBidi" w:cstheme="majorBidi"/>
          <w:sz w:val="20"/>
          <w:szCs w:val="20"/>
        </w:rPr>
        <w:t xml:space="preserve"> in the same position in JA; the use of the </w:t>
      </w:r>
      <w:r w:rsidR="004E5B3B">
        <w:rPr>
          <w:rFonts w:asciiTheme="majorBidi" w:hAnsiTheme="majorBidi" w:cstheme="majorBidi"/>
          <w:sz w:val="20"/>
          <w:szCs w:val="20"/>
        </w:rPr>
        <w:t>C</w:t>
      </w:r>
      <w:r w:rsidR="00644215" w:rsidRPr="0007257D">
        <w:rPr>
          <w:rFonts w:asciiTheme="majorBidi" w:hAnsiTheme="majorBidi" w:cstheme="majorBidi"/>
          <w:sz w:val="20"/>
          <w:szCs w:val="20"/>
        </w:rPr>
        <w:t xml:space="preserve"> </w:t>
      </w:r>
      <w:r w:rsidR="00644215" w:rsidRPr="0007257D">
        <w:rPr>
          <w:rFonts w:asciiTheme="majorBidi" w:hAnsiTheme="majorBidi" w:cstheme="majorBidi"/>
          <w:i/>
          <w:iCs/>
          <w:sz w:val="20"/>
          <w:szCs w:val="20"/>
        </w:rPr>
        <w:t xml:space="preserve">ʔinn </w:t>
      </w:r>
      <w:r w:rsidR="00644215" w:rsidRPr="0007257D">
        <w:rPr>
          <w:rFonts w:asciiTheme="majorBidi" w:hAnsiTheme="majorBidi" w:cstheme="majorBidi"/>
          <w:sz w:val="20"/>
          <w:szCs w:val="20"/>
        </w:rPr>
        <w:t xml:space="preserve">is unacceptable, which makes it behave like the </w:t>
      </w:r>
      <w:r w:rsidR="004E5B3B">
        <w:rPr>
          <w:rFonts w:asciiTheme="majorBidi" w:hAnsiTheme="majorBidi" w:cstheme="majorBidi"/>
          <w:sz w:val="20"/>
          <w:szCs w:val="20"/>
        </w:rPr>
        <w:t>C</w:t>
      </w:r>
      <w:r w:rsidR="00644215" w:rsidRPr="0007257D">
        <w:rPr>
          <w:rFonts w:asciiTheme="majorBidi" w:hAnsiTheme="majorBidi" w:cstheme="majorBidi"/>
          <w:sz w:val="20"/>
          <w:szCs w:val="20"/>
        </w:rPr>
        <w:t xml:space="preserve"> </w:t>
      </w:r>
      <w:r w:rsidR="00644215" w:rsidRPr="0007257D">
        <w:rPr>
          <w:rFonts w:asciiTheme="majorBidi" w:hAnsiTheme="majorBidi" w:cstheme="majorBidi"/>
          <w:i/>
          <w:iCs/>
          <w:sz w:val="20"/>
          <w:szCs w:val="20"/>
        </w:rPr>
        <w:t xml:space="preserve">ʔanna </w:t>
      </w:r>
      <w:r w:rsidR="00644215" w:rsidRPr="0007257D">
        <w:rPr>
          <w:rFonts w:asciiTheme="majorBidi" w:hAnsiTheme="majorBidi" w:cstheme="majorBidi"/>
          <w:sz w:val="20"/>
          <w:szCs w:val="20"/>
        </w:rPr>
        <w:t>in SA. Ross (1970) attributes the behavior to the existence of a hidden performative verb of saying</w:t>
      </w:r>
      <w:r w:rsidR="00BC0527" w:rsidRPr="0007257D">
        <w:rPr>
          <w:rFonts w:asciiTheme="majorBidi" w:hAnsiTheme="majorBidi" w:cstheme="majorBidi"/>
          <w:sz w:val="20"/>
          <w:szCs w:val="20"/>
        </w:rPr>
        <w:t xml:space="preserve">, whereas </w:t>
      </w:r>
      <w:r w:rsidR="00AF0893" w:rsidRPr="0007257D">
        <w:rPr>
          <w:rFonts w:asciiTheme="majorBidi" w:hAnsiTheme="majorBidi" w:cstheme="majorBidi"/>
          <w:sz w:val="20"/>
          <w:szCs w:val="20"/>
        </w:rPr>
        <w:t xml:space="preserve">Fassi Feheri (2012) </w:t>
      </w:r>
      <w:r w:rsidR="00BC0527" w:rsidRPr="0007257D">
        <w:rPr>
          <w:rFonts w:asciiTheme="majorBidi" w:hAnsiTheme="majorBidi" w:cstheme="majorBidi"/>
          <w:sz w:val="20"/>
          <w:szCs w:val="20"/>
        </w:rPr>
        <w:t xml:space="preserve">claims that the </w:t>
      </w:r>
      <w:r w:rsidR="00AF0893" w:rsidRPr="0007257D">
        <w:rPr>
          <w:rFonts w:asciiTheme="majorBidi" w:hAnsiTheme="majorBidi" w:cstheme="majorBidi"/>
          <w:sz w:val="20"/>
          <w:szCs w:val="20"/>
        </w:rPr>
        <w:t xml:space="preserve">distinction </w:t>
      </w:r>
      <w:r w:rsidR="00BC0527" w:rsidRPr="0007257D">
        <w:rPr>
          <w:rFonts w:asciiTheme="majorBidi" w:hAnsiTheme="majorBidi" w:cstheme="majorBidi"/>
          <w:sz w:val="20"/>
          <w:szCs w:val="20"/>
        </w:rPr>
        <w:t xml:space="preserve">is </w:t>
      </w:r>
      <w:r w:rsidR="00AF0893" w:rsidRPr="0007257D">
        <w:rPr>
          <w:rFonts w:asciiTheme="majorBidi" w:hAnsiTheme="majorBidi" w:cstheme="majorBidi"/>
          <w:sz w:val="20"/>
          <w:szCs w:val="20"/>
        </w:rPr>
        <w:t>based on embedding contexts</w:t>
      </w:r>
      <w:r w:rsidR="00BC0527" w:rsidRPr="0007257D">
        <w:rPr>
          <w:rFonts w:asciiTheme="majorBidi" w:hAnsiTheme="majorBidi" w:cstheme="majorBidi"/>
          <w:sz w:val="20"/>
          <w:szCs w:val="20"/>
        </w:rPr>
        <w:t xml:space="preserve">, overlooking the fact that both </w:t>
      </w:r>
      <w:r w:rsidR="0007257D" w:rsidRPr="0007257D">
        <w:rPr>
          <w:rFonts w:asciiTheme="majorBidi" w:hAnsiTheme="majorBidi" w:cstheme="majorBidi"/>
          <w:sz w:val="20"/>
          <w:szCs w:val="20"/>
        </w:rPr>
        <w:t>Cs</w:t>
      </w:r>
      <w:r w:rsidR="00BC0527" w:rsidRPr="0007257D">
        <w:rPr>
          <w:rFonts w:asciiTheme="majorBidi" w:hAnsiTheme="majorBidi" w:cstheme="majorBidi"/>
          <w:i/>
          <w:iCs/>
          <w:sz w:val="20"/>
          <w:szCs w:val="20"/>
        </w:rPr>
        <w:t xml:space="preserve"> </w:t>
      </w:r>
      <w:r w:rsidR="00BC0527" w:rsidRPr="0007257D">
        <w:rPr>
          <w:rFonts w:asciiTheme="majorBidi" w:hAnsiTheme="majorBidi" w:cstheme="majorBidi"/>
          <w:sz w:val="20"/>
          <w:szCs w:val="20"/>
        </w:rPr>
        <w:t>can be embedded.</w:t>
      </w:r>
      <w:r w:rsidR="000C29DB" w:rsidRPr="0007257D">
        <w:rPr>
          <w:rFonts w:asciiTheme="majorBidi" w:hAnsiTheme="majorBidi" w:cstheme="majorBidi"/>
          <w:sz w:val="20"/>
          <w:szCs w:val="20"/>
        </w:rPr>
        <w:t xml:space="preserve"> </w:t>
      </w:r>
      <w:r w:rsidR="008B14F1" w:rsidRPr="0007257D">
        <w:rPr>
          <w:rFonts w:asciiTheme="majorBidi" w:hAnsiTheme="majorBidi" w:cstheme="majorBidi"/>
          <w:sz w:val="20"/>
          <w:szCs w:val="20"/>
        </w:rPr>
        <w:t xml:space="preserve">Looking at data from </w:t>
      </w:r>
      <w:r w:rsidR="0007257D">
        <w:rPr>
          <w:rFonts w:asciiTheme="majorBidi" w:hAnsiTheme="majorBidi" w:cstheme="majorBidi"/>
          <w:sz w:val="20"/>
          <w:szCs w:val="20"/>
        </w:rPr>
        <w:t xml:space="preserve">JA </w:t>
      </w:r>
      <w:r w:rsidR="008B14F1" w:rsidRPr="0007257D">
        <w:rPr>
          <w:rFonts w:asciiTheme="majorBidi" w:hAnsiTheme="majorBidi" w:cstheme="majorBidi"/>
          <w:sz w:val="20"/>
          <w:szCs w:val="20"/>
        </w:rPr>
        <w:t xml:space="preserve">questions the validity of </w:t>
      </w:r>
      <w:r w:rsidR="00AF0893" w:rsidRPr="0007257D">
        <w:rPr>
          <w:rFonts w:asciiTheme="majorBidi" w:hAnsiTheme="majorBidi" w:cstheme="majorBidi"/>
          <w:sz w:val="20"/>
          <w:szCs w:val="20"/>
        </w:rPr>
        <w:t>previous</w:t>
      </w:r>
      <w:r w:rsidR="008B14F1" w:rsidRPr="0007257D">
        <w:rPr>
          <w:rFonts w:asciiTheme="majorBidi" w:hAnsiTheme="majorBidi" w:cstheme="majorBidi"/>
          <w:sz w:val="20"/>
          <w:szCs w:val="20"/>
        </w:rPr>
        <w:t xml:space="preserve"> conclusion</w:t>
      </w:r>
      <w:r w:rsidR="00AF0893" w:rsidRPr="0007257D">
        <w:rPr>
          <w:rFonts w:asciiTheme="majorBidi" w:hAnsiTheme="majorBidi" w:cstheme="majorBidi"/>
          <w:sz w:val="20"/>
          <w:szCs w:val="20"/>
        </w:rPr>
        <w:t>s</w:t>
      </w:r>
      <w:r w:rsidR="008B14F1" w:rsidRPr="0007257D">
        <w:rPr>
          <w:rFonts w:asciiTheme="majorBidi" w:hAnsiTheme="majorBidi" w:cstheme="majorBidi"/>
          <w:sz w:val="20"/>
          <w:szCs w:val="20"/>
        </w:rPr>
        <w:t xml:space="preserve"> (6).</w:t>
      </w:r>
      <w:r w:rsidR="00B17899" w:rsidRPr="0007257D">
        <w:rPr>
          <w:rFonts w:asciiTheme="majorBidi" w:hAnsiTheme="majorBidi" w:cstheme="majorBidi"/>
          <w:sz w:val="20"/>
          <w:szCs w:val="20"/>
        </w:rPr>
        <w:t xml:space="preserve">           </w:t>
      </w:r>
    </w:p>
    <w:p w14:paraId="713A850C" w14:textId="12A03F54" w:rsidR="00644215" w:rsidRPr="0007257D" w:rsidRDefault="00644215" w:rsidP="00644215">
      <w:pPr>
        <w:spacing w:after="0"/>
        <w:jc w:val="both"/>
        <w:rPr>
          <w:rFonts w:asciiTheme="majorBidi" w:hAnsiTheme="majorBidi" w:cstheme="majorBidi"/>
          <w:i/>
          <w:iCs/>
          <w:sz w:val="20"/>
          <w:szCs w:val="20"/>
        </w:rPr>
      </w:pPr>
      <w:r w:rsidRPr="0007257D">
        <w:rPr>
          <w:rFonts w:asciiTheme="majorBidi" w:hAnsiTheme="majorBidi" w:cstheme="majorBidi"/>
          <w:sz w:val="20"/>
          <w:szCs w:val="20"/>
        </w:rPr>
        <w:t>(</w:t>
      </w:r>
      <w:r w:rsidR="00B17899" w:rsidRPr="0007257D">
        <w:rPr>
          <w:rFonts w:asciiTheme="majorBidi" w:hAnsiTheme="majorBidi" w:cstheme="majorBidi"/>
          <w:sz w:val="20"/>
          <w:szCs w:val="20"/>
        </w:rPr>
        <w:t>5</w:t>
      </w:r>
      <w:r w:rsidRPr="0007257D">
        <w:rPr>
          <w:rFonts w:asciiTheme="majorBidi" w:hAnsiTheme="majorBidi" w:cstheme="majorBidi"/>
          <w:sz w:val="20"/>
          <w:szCs w:val="20"/>
        </w:rPr>
        <w:t>) (</w:t>
      </w:r>
      <w:proofErr w:type="spellStart"/>
      <w:r w:rsidRPr="0007257D">
        <w:rPr>
          <w:rFonts w:asciiTheme="majorBidi" w:hAnsiTheme="majorBidi" w:cstheme="majorBidi"/>
          <w:i/>
          <w:iCs/>
          <w:sz w:val="20"/>
          <w:szCs w:val="20"/>
        </w:rPr>
        <w:t>ʔaqulu</w:t>
      </w:r>
      <w:proofErr w:type="spellEnd"/>
      <w:r w:rsidRPr="0007257D">
        <w:rPr>
          <w:rFonts w:asciiTheme="majorBidi" w:hAnsiTheme="majorBidi" w:cstheme="majorBidi"/>
          <w:i/>
          <w:iCs/>
          <w:sz w:val="20"/>
          <w:szCs w:val="20"/>
        </w:rPr>
        <w:t>) ʔinna     al-</w:t>
      </w:r>
      <w:proofErr w:type="spellStart"/>
      <w:r w:rsidRPr="0007257D">
        <w:rPr>
          <w:rFonts w:asciiTheme="majorBidi" w:hAnsiTheme="majorBidi" w:cstheme="majorBidi"/>
          <w:i/>
          <w:iCs/>
          <w:sz w:val="20"/>
          <w:szCs w:val="20"/>
        </w:rPr>
        <w:t>ban</w:t>
      </w:r>
      <w:r w:rsidR="004E5B3B">
        <w:rPr>
          <w:rFonts w:asciiTheme="majorBidi" w:hAnsiTheme="majorBidi" w:cstheme="majorBidi"/>
          <w:i/>
          <w:iCs/>
          <w:sz w:val="20"/>
          <w:szCs w:val="20"/>
        </w:rPr>
        <w:t>ā</w:t>
      </w:r>
      <w:r w:rsidRPr="0007257D">
        <w:rPr>
          <w:rFonts w:asciiTheme="majorBidi" w:hAnsiTheme="majorBidi" w:cstheme="majorBidi"/>
          <w:i/>
          <w:iCs/>
          <w:sz w:val="20"/>
          <w:szCs w:val="20"/>
        </w:rPr>
        <w:t>t</w:t>
      </w:r>
      <w:proofErr w:type="spellEnd"/>
      <w:r w:rsidR="0079160E" w:rsidRPr="0007257D">
        <w:rPr>
          <w:rFonts w:asciiTheme="majorBidi" w:hAnsiTheme="majorBidi" w:cstheme="majorBidi"/>
          <w:i/>
          <w:iCs/>
          <w:sz w:val="20"/>
          <w:szCs w:val="20"/>
        </w:rPr>
        <w:t>-</w:t>
      </w:r>
      <w:proofErr w:type="spellStart"/>
      <w:r w:rsidRPr="0007257D">
        <w:rPr>
          <w:rFonts w:asciiTheme="majorBidi" w:hAnsiTheme="majorBidi" w:cstheme="majorBidi"/>
          <w:i/>
          <w:iCs/>
          <w:sz w:val="20"/>
          <w:szCs w:val="20"/>
        </w:rPr>
        <w:t>i</w:t>
      </w:r>
      <w:proofErr w:type="spellEnd"/>
      <w:r w:rsidRPr="0007257D">
        <w:rPr>
          <w:rFonts w:asciiTheme="majorBidi" w:hAnsiTheme="majorBidi" w:cstheme="majorBidi"/>
          <w:i/>
          <w:iCs/>
          <w:sz w:val="20"/>
          <w:szCs w:val="20"/>
        </w:rPr>
        <w:t xml:space="preserve">       </w:t>
      </w:r>
      <w:r w:rsidR="004E5B3B">
        <w:rPr>
          <w:rFonts w:asciiTheme="majorBidi" w:hAnsiTheme="majorBidi" w:cstheme="majorBidi"/>
          <w:i/>
          <w:iCs/>
          <w:sz w:val="20"/>
          <w:szCs w:val="20"/>
        </w:rPr>
        <w:t xml:space="preserve"> </w:t>
      </w:r>
      <w:proofErr w:type="spellStart"/>
      <w:r w:rsidRPr="0007257D">
        <w:rPr>
          <w:rFonts w:asciiTheme="majorBidi" w:hAnsiTheme="majorBidi" w:cstheme="majorBidi"/>
          <w:i/>
          <w:iCs/>
          <w:sz w:val="20"/>
          <w:szCs w:val="20"/>
        </w:rPr>
        <w:t>waʂal</w:t>
      </w:r>
      <w:r w:rsidR="002A19FD" w:rsidRPr="0007257D">
        <w:rPr>
          <w:rFonts w:asciiTheme="majorBidi" w:hAnsiTheme="majorBidi" w:cstheme="majorBidi"/>
          <w:i/>
          <w:iCs/>
          <w:sz w:val="20"/>
          <w:szCs w:val="20"/>
        </w:rPr>
        <w:t>-</w:t>
      </w:r>
      <w:proofErr w:type="gramStart"/>
      <w:r w:rsidRPr="0007257D">
        <w:rPr>
          <w:rFonts w:asciiTheme="majorBidi" w:hAnsiTheme="majorBidi" w:cstheme="majorBidi"/>
          <w:i/>
          <w:iCs/>
          <w:sz w:val="20"/>
          <w:szCs w:val="20"/>
        </w:rPr>
        <w:t>na</w:t>
      </w:r>
      <w:proofErr w:type="spellEnd"/>
      <w:r w:rsidR="00B17899" w:rsidRPr="0007257D">
        <w:rPr>
          <w:rFonts w:asciiTheme="majorBidi" w:hAnsiTheme="majorBidi" w:cstheme="majorBidi"/>
          <w:i/>
          <w:iCs/>
          <w:sz w:val="20"/>
          <w:szCs w:val="20"/>
        </w:rPr>
        <w:t xml:space="preserve">  </w:t>
      </w:r>
      <w:r w:rsidR="00931594" w:rsidRPr="0007257D">
        <w:rPr>
          <w:rFonts w:asciiTheme="majorBidi" w:hAnsiTheme="majorBidi" w:cstheme="majorBidi"/>
          <w:sz w:val="20"/>
          <w:szCs w:val="20"/>
        </w:rPr>
        <w:t>(</w:t>
      </w:r>
      <w:proofErr w:type="gramEnd"/>
      <w:r w:rsidR="00931594" w:rsidRPr="0007257D">
        <w:rPr>
          <w:rFonts w:asciiTheme="majorBidi" w:hAnsiTheme="majorBidi" w:cstheme="majorBidi"/>
          <w:sz w:val="20"/>
          <w:szCs w:val="20"/>
        </w:rPr>
        <w:t>SA)</w:t>
      </w:r>
      <w:r w:rsidR="00B17899" w:rsidRPr="0007257D">
        <w:rPr>
          <w:rFonts w:asciiTheme="majorBidi" w:hAnsiTheme="majorBidi" w:cstheme="majorBidi"/>
          <w:i/>
          <w:iCs/>
          <w:sz w:val="20"/>
          <w:szCs w:val="20"/>
        </w:rPr>
        <w:t xml:space="preserve">        </w:t>
      </w:r>
      <w:r w:rsidR="00B17899" w:rsidRPr="0007257D">
        <w:rPr>
          <w:rFonts w:asciiTheme="majorBidi" w:hAnsiTheme="majorBidi" w:cstheme="majorBidi"/>
          <w:sz w:val="20"/>
          <w:szCs w:val="20"/>
        </w:rPr>
        <w:t xml:space="preserve">(6) </w:t>
      </w:r>
      <w:proofErr w:type="spellStart"/>
      <w:r w:rsidR="00B17899" w:rsidRPr="0007257D">
        <w:rPr>
          <w:rFonts w:asciiTheme="majorBidi" w:hAnsiTheme="majorBidi" w:cstheme="majorBidi"/>
          <w:i/>
          <w:iCs/>
          <w:sz w:val="20"/>
          <w:szCs w:val="20"/>
        </w:rPr>
        <w:t>baɡ</w:t>
      </w:r>
      <w:r w:rsidR="004E5B3B">
        <w:rPr>
          <w:rFonts w:asciiTheme="majorBidi" w:hAnsiTheme="majorBidi" w:cstheme="majorBidi"/>
          <w:i/>
          <w:iCs/>
          <w:sz w:val="20"/>
          <w:szCs w:val="20"/>
        </w:rPr>
        <w:t>ū</w:t>
      </w:r>
      <w:r w:rsidR="00B17899" w:rsidRPr="0007257D">
        <w:rPr>
          <w:rFonts w:asciiTheme="majorBidi" w:hAnsiTheme="majorBidi" w:cstheme="majorBidi"/>
          <w:i/>
          <w:iCs/>
          <w:sz w:val="20"/>
          <w:szCs w:val="20"/>
        </w:rPr>
        <w:t>l</w:t>
      </w:r>
      <w:proofErr w:type="spellEnd"/>
      <w:r w:rsidR="00B17899" w:rsidRPr="0007257D">
        <w:rPr>
          <w:rFonts w:asciiTheme="majorBidi" w:hAnsiTheme="majorBidi" w:cstheme="majorBidi"/>
          <w:i/>
          <w:iCs/>
          <w:sz w:val="20"/>
          <w:szCs w:val="20"/>
        </w:rPr>
        <w:t xml:space="preserve">   </w:t>
      </w:r>
      <w:proofErr w:type="spellStart"/>
      <w:r w:rsidR="00B17899" w:rsidRPr="0007257D">
        <w:rPr>
          <w:rFonts w:asciiTheme="majorBidi" w:hAnsiTheme="majorBidi" w:cstheme="majorBidi"/>
          <w:i/>
          <w:iCs/>
          <w:sz w:val="20"/>
          <w:szCs w:val="20"/>
        </w:rPr>
        <w:t>ʔɨnnu</w:t>
      </w:r>
      <w:proofErr w:type="spellEnd"/>
      <w:r w:rsidR="00B17899" w:rsidRPr="0007257D">
        <w:rPr>
          <w:rFonts w:asciiTheme="majorBidi" w:hAnsiTheme="majorBidi" w:cstheme="majorBidi"/>
          <w:i/>
          <w:iCs/>
          <w:sz w:val="20"/>
          <w:szCs w:val="20"/>
        </w:rPr>
        <w:t xml:space="preserve">    </w:t>
      </w:r>
      <w:proofErr w:type="spellStart"/>
      <w:r w:rsidR="00B17899" w:rsidRPr="0007257D">
        <w:rPr>
          <w:rFonts w:asciiTheme="majorBidi" w:hAnsiTheme="majorBidi" w:cstheme="majorBidi"/>
          <w:i/>
          <w:iCs/>
          <w:sz w:val="20"/>
          <w:szCs w:val="20"/>
        </w:rPr>
        <w:t>ʔɪl-b</w:t>
      </w:r>
      <w:r w:rsidR="004E5B3B">
        <w:rPr>
          <w:rFonts w:asciiTheme="majorBidi" w:hAnsiTheme="majorBidi" w:cstheme="majorBidi"/>
          <w:i/>
          <w:iCs/>
          <w:sz w:val="20"/>
          <w:szCs w:val="20"/>
        </w:rPr>
        <w:t>ā</w:t>
      </w:r>
      <w:r w:rsidR="00B17899" w:rsidRPr="0007257D">
        <w:rPr>
          <w:rFonts w:asciiTheme="majorBidi" w:hAnsiTheme="majorBidi" w:cstheme="majorBidi"/>
          <w:i/>
          <w:iCs/>
          <w:sz w:val="20"/>
          <w:szCs w:val="20"/>
        </w:rPr>
        <w:t>nt</w:t>
      </w:r>
      <w:proofErr w:type="spellEnd"/>
      <w:r w:rsidR="00B17899" w:rsidRPr="0007257D">
        <w:rPr>
          <w:rFonts w:asciiTheme="majorBidi" w:hAnsiTheme="majorBidi" w:cstheme="majorBidi"/>
          <w:i/>
          <w:iCs/>
          <w:sz w:val="20"/>
          <w:szCs w:val="20"/>
        </w:rPr>
        <w:t xml:space="preserve">      </w:t>
      </w:r>
      <w:r w:rsidR="004E5B3B">
        <w:rPr>
          <w:rFonts w:asciiTheme="majorBidi" w:hAnsiTheme="majorBidi" w:cstheme="majorBidi"/>
          <w:i/>
          <w:iCs/>
          <w:sz w:val="20"/>
          <w:szCs w:val="20"/>
        </w:rPr>
        <w:t xml:space="preserve"> </w:t>
      </w:r>
      <w:r w:rsidR="00B17899" w:rsidRPr="0007257D">
        <w:rPr>
          <w:rFonts w:asciiTheme="majorBidi" w:hAnsiTheme="majorBidi" w:cstheme="majorBidi"/>
          <w:i/>
          <w:iCs/>
          <w:sz w:val="20"/>
          <w:szCs w:val="20"/>
        </w:rPr>
        <w:t xml:space="preserve">      </w:t>
      </w:r>
      <w:proofErr w:type="spellStart"/>
      <w:r w:rsidR="00B17899" w:rsidRPr="0007257D">
        <w:rPr>
          <w:rFonts w:asciiTheme="majorBidi" w:hAnsiTheme="majorBidi" w:cstheme="majorBidi"/>
          <w:i/>
          <w:iCs/>
          <w:sz w:val="20"/>
          <w:szCs w:val="20"/>
        </w:rPr>
        <w:t>ʔɪʤ</w:t>
      </w:r>
      <w:proofErr w:type="spellEnd"/>
      <w:r w:rsidR="00B17899" w:rsidRPr="0007257D">
        <w:rPr>
          <w:rFonts w:asciiTheme="majorBidi" w:hAnsiTheme="majorBidi" w:cstheme="majorBidi"/>
          <w:i/>
          <w:iCs/>
          <w:sz w:val="20"/>
          <w:szCs w:val="20"/>
        </w:rPr>
        <w:t>-</w:t>
      </w:r>
      <w:r w:rsidR="004E5B3B">
        <w:rPr>
          <w:rFonts w:asciiTheme="majorBidi" w:hAnsiTheme="majorBidi" w:cstheme="majorBidi"/>
          <w:i/>
          <w:iCs/>
          <w:sz w:val="20"/>
          <w:szCs w:val="20"/>
        </w:rPr>
        <w:t>ū</w:t>
      </w:r>
      <w:r w:rsidR="00B17899" w:rsidRPr="0007257D">
        <w:rPr>
          <w:rFonts w:asciiTheme="majorBidi" w:hAnsiTheme="majorBidi" w:cstheme="majorBidi"/>
          <w:i/>
          <w:iCs/>
          <w:sz w:val="20"/>
          <w:szCs w:val="20"/>
        </w:rPr>
        <w:t xml:space="preserve">    </w:t>
      </w:r>
      <w:r w:rsidR="00931594" w:rsidRPr="0007257D">
        <w:rPr>
          <w:rFonts w:asciiTheme="majorBidi" w:hAnsiTheme="majorBidi" w:cstheme="majorBidi"/>
          <w:sz w:val="20"/>
          <w:szCs w:val="20"/>
        </w:rPr>
        <w:t>(JA)</w:t>
      </w:r>
      <w:r w:rsidR="00B17899" w:rsidRPr="0007257D">
        <w:rPr>
          <w:rFonts w:asciiTheme="majorBidi" w:hAnsiTheme="majorBidi" w:cstheme="majorBidi"/>
          <w:i/>
          <w:iCs/>
          <w:sz w:val="20"/>
          <w:szCs w:val="20"/>
        </w:rPr>
        <w:t xml:space="preserve">  </w:t>
      </w:r>
    </w:p>
    <w:p w14:paraId="6D0EFEC4" w14:textId="2318E241" w:rsidR="00644215" w:rsidRPr="0007257D" w:rsidRDefault="00644215" w:rsidP="000A03BB">
      <w:pPr>
        <w:autoSpaceDE w:val="0"/>
        <w:autoSpaceDN w:val="0"/>
        <w:adjustRightInd w:val="0"/>
        <w:spacing w:after="0" w:line="240" w:lineRule="auto"/>
        <w:rPr>
          <w:rFonts w:asciiTheme="majorBidi" w:hAnsiTheme="majorBidi" w:cstheme="majorBidi"/>
          <w:sz w:val="20"/>
          <w:szCs w:val="20"/>
        </w:rPr>
      </w:pPr>
      <w:r w:rsidRPr="0007257D">
        <w:rPr>
          <w:rFonts w:asciiTheme="majorBidi" w:hAnsiTheme="majorBidi" w:cstheme="majorBidi"/>
          <w:sz w:val="20"/>
          <w:szCs w:val="20"/>
        </w:rPr>
        <w:t xml:space="preserve">      (</w:t>
      </w:r>
      <w:proofErr w:type="spellStart"/>
      <w:proofErr w:type="gramStart"/>
      <w:r w:rsidRPr="0007257D">
        <w:rPr>
          <w:rFonts w:asciiTheme="majorBidi" w:hAnsiTheme="majorBidi" w:cstheme="majorBidi"/>
          <w:sz w:val="20"/>
          <w:szCs w:val="20"/>
        </w:rPr>
        <w:t>say.I</w:t>
      </w:r>
      <w:proofErr w:type="spellEnd"/>
      <w:proofErr w:type="gramEnd"/>
      <w:r w:rsidRPr="0007257D">
        <w:rPr>
          <w:rFonts w:asciiTheme="majorBidi" w:hAnsiTheme="majorBidi" w:cstheme="majorBidi"/>
          <w:sz w:val="20"/>
          <w:szCs w:val="20"/>
        </w:rPr>
        <w:t>)    COMP  the-girls</w:t>
      </w:r>
      <w:r w:rsidR="0079160E" w:rsidRPr="0007257D">
        <w:rPr>
          <w:rFonts w:asciiTheme="majorBidi" w:hAnsiTheme="majorBidi" w:cstheme="majorBidi"/>
          <w:sz w:val="20"/>
          <w:szCs w:val="20"/>
        </w:rPr>
        <w:t>-</w:t>
      </w:r>
      <w:r w:rsidRPr="0007257D">
        <w:rPr>
          <w:rFonts w:asciiTheme="majorBidi" w:hAnsiTheme="majorBidi" w:cstheme="majorBidi"/>
          <w:sz w:val="20"/>
          <w:szCs w:val="20"/>
        </w:rPr>
        <w:t>ACC  arrived</w:t>
      </w:r>
      <w:r w:rsidR="00741D03" w:rsidRPr="0007257D">
        <w:rPr>
          <w:rFonts w:asciiTheme="majorBidi" w:hAnsiTheme="majorBidi" w:cstheme="majorBidi"/>
          <w:sz w:val="20"/>
          <w:szCs w:val="20"/>
        </w:rPr>
        <w:t>-3</w:t>
      </w:r>
      <w:r w:rsidR="008E07BB">
        <w:rPr>
          <w:rFonts w:asciiTheme="majorBidi" w:hAnsiTheme="majorBidi" w:cstheme="majorBidi"/>
          <w:sz w:val="20"/>
          <w:szCs w:val="20"/>
        </w:rPr>
        <w:t>F.</w:t>
      </w:r>
      <w:r w:rsidR="00741D03" w:rsidRPr="0007257D">
        <w:rPr>
          <w:rFonts w:asciiTheme="majorBidi" w:hAnsiTheme="majorBidi" w:cstheme="majorBidi"/>
          <w:sz w:val="20"/>
          <w:szCs w:val="20"/>
        </w:rPr>
        <w:t>PL</w:t>
      </w:r>
      <w:r w:rsidR="00B17899" w:rsidRPr="0007257D">
        <w:rPr>
          <w:rFonts w:asciiTheme="majorBidi" w:hAnsiTheme="majorBidi" w:cstheme="majorBidi"/>
          <w:sz w:val="20"/>
          <w:szCs w:val="20"/>
        </w:rPr>
        <w:t xml:space="preserve">   </w:t>
      </w:r>
      <w:r w:rsidR="008E07BB">
        <w:rPr>
          <w:rFonts w:asciiTheme="majorBidi" w:hAnsiTheme="majorBidi" w:cstheme="majorBidi"/>
          <w:sz w:val="20"/>
          <w:szCs w:val="20"/>
        </w:rPr>
        <w:t xml:space="preserve"> </w:t>
      </w:r>
      <w:r w:rsidR="00B17899" w:rsidRPr="0007257D">
        <w:rPr>
          <w:rFonts w:asciiTheme="majorBidi" w:hAnsiTheme="majorBidi" w:cstheme="majorBidi"/>
          <w:sz w:val="20"/>
          <w:szCs w:val="20"/>
        </w:rPr>
        <w:t xml:space="preserve">      </w:t>
      </w:r>
      <w:r w:rsidR="00931594"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t xml:space="preserve">  </w:t>
      </w:r>
      <w:proofErr w:type="spellStart"/>
      <w:r w:rsidR="00B17899" w:rsidRPr="0007257D">
        <w:rPr>
          <w:rFonts w:asciiTheme="majorBidi" w:hAnsiTheme="majorBidi" w:cstheme="majorBidi"/>
          <w:sz w:val="20"/>
          <w:szCs w:val="20"/>
        </w:rPr>
        <w:t>say.I</w:t>
      </w:r>
      <w:proofErr w:type="spellEnd"/>
      <w:r w:rsidR="00B17899" w:rsidRPr="0007257D">
        <w:rPr>
          <w:rFonts w:asciiTheme="majorBidi" w:hAnsiTheme="majorBidi" w:cstheme="majorBidi"/>
          <w:sz w:val="20"/>
          <w:szCs w:val="20"/>
        </w:rPr>
        <w:t xml:space="preserve">    COMP  the-</w:t>
      </w:r>
      <w:proofErr w:type="spellStart"/>
      <w:r w:rsidR="00B17899" w:rsidRPr="0007257D">
        <w:rPr>
          <w:rFonts w:asciiTheme="majorBidi" w:hAnsiTheme="majorBidi" w:cstheme="majorBidi"/>
          <w:sz w:val="20"/>
          <w:szCs w:val="20"/>
        </w:rPr>
        <w:t>girls.ACC</w:t>
      </w:r>
      <w:proofErr w:type="spellEnd"/>
      <w:r w:rsidR="00B17899" w:rsidRPr="0007257D">
        <w:rPr>
          <w:rFonts w:asciiTheme="majorBidi" w:hAnsiTheme="majorBidi" w:cstheme="majorBidi"/>
          <w:sz w:val="20"/>
          <w:szCs w:val="20"/>
        </w:rPr>
        <w:t xml:space="preserve">  arrived</w:t>
      </w:r>
      <w:r w:rsidR="008E07BB">
        <w:rPr>
          <w:rFonts w:asciiTheme="majorBidi" w:hAnsiTheme="majorBidi" w:cstheme="majorBidi"/>
          <w:sz w:val="20"/>
          <w:szCs w:val="20"/>
        </w:rPr>
        <w:t>—</w:t>
      </w:r>
      <w:r w:rsidR="00B17899" w:rsidRPr="0007257D">
        <w:rPr>
          <w:rFonts w:asciiTheme="majorBidi" w:hAnsiTheme="majorBidi" w:cstheme="majorBidi"/>
          <w:sz w:val="20"/>
          <w:szCs w:val="20"/>
        </w:rPr>
        <w:t>3</w:t>
      </w:r>
      <w:r w:rsidR="008E07BB">
        <w:rPr>
          <w:rFonts w:asciiTheme="majorBidi" w:hAnsiTheme="majorBidi" w:cstheme="majorBidi"/>
          <w:sz w:val="20"/>
          <w:szCs w:val="20"/>
        </w:rPr>
        <w:t>F.</w:t>
      </w:r>
      <w:r w:rsidR="00B17899" w:rsidRPr="0007257D">
        <w:rPr>
          <w:rFonts w:asciiTheme="majorBidi" w:hAnsiTheme="majorBidi" w:cstheme="majorBidi"/>
          <w:sz w:val="20"/>
          <w:szCs w:val="20"/>
        </w:rPr>
        <w:t>PL</w:t>
      </w:r>
    </w:p>
    <w:p w14:paraId="40B05542" w14:textId="58A1C795" w:rsidR="00B17899" w:rsidRDefault="00644215" w:rsidP="00B2319D">
      <w:pPr>
        <w:autoSpaceDE w:val="0"/>
        <w:autoSpaceDN w:val="0"/>
        <w:adjustRightInd w:val="0"/>
        <w:spacing w:after="0" w:line="276" w:lineRule="auto"/>
        <w:rPr>
          <w:rFonts w:asciiTheme="majorBidi" w:hAnsiTheme="majorBidi" w:cstheme="majorBidi"/>
          <w:sz w:val="20"/>
          <w:szCs w:val="20"/>
        </w:rPr>
      </w:pPr>
      <w:r w:rsidRPr="0007257D">
        <w:rPr>
          <w:rFonts w:asciiTheme="majorBidi" w:hAnsiTheme="majorBidi" w:cstheme="majorBidi"/>
          <w:sz w:val="20"/>
          <w:szCs w:val="20"/>
        </w:rPr>
        <w:t xml:space="preserve">      ‘(I say) that the girls arrived.’  </w:t>
      </w:r>
      <w:r w:rsidR="00931594" w:rsidRPr="0007257D">
        <w:rPr>
          <w:rFonts w:asciiTheme="majorBidi" w:hAnsiTheme="majorBidi" w:cstheme="majorBidi"/>
          <w:sz w:val="20"/>
          <w:szCs w:val="20"/>
        </w:rPr>
        <w:t xml:space="preserve">      </w:t>
      </w:r>
      <w:r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fldChar w:fldCharType="begin"/>
      </w:r>
      <w:r w:rsidR="00B17899" w:rsidRPr="0007257D">
        <w:rPr>
          <w:rFonts w:asciiTheme="majorBidi" w:hAnsiTheme="majorBidi" w:cstheme="majorBidi"/>
          <w:sz w:val="20"/>
          <w:szCs w:val="20"/>
        </w:rPr>
        <w:instrText xml:space="preserve"> ADDIN ZOTERO_ITEM CSL_CITATION {"citationID":"GHiClfKo","properties":{"formattedCitation":"(Ross, 1970)","plainCitation":"(Ross, 1970)","noteIndex":0},"citationItems":[{"id":547,"uris":["http://zotero.org/users/4439491/items/MU5HD3AN"],"uri":["http://zotero.org/users/4439491/items/MU5HD3AN"],"itemData":{"id":547,"type":"chapter","title":"On Declarative Sentences","container-title":"Readings in English Transformational Grammar","publisher":"Ginn and Company","page":"22-227","author":[{"family":"Ross","given":"John"}],"container-author":[{"family":"Jacobs","given":"Roderick"},{"family":"Rosenbaum","given":"Peter"}],"issued":{"date-parts":[["1970"]]}}}],"schema":"https://github.com/citation-style-language/schema/raw/master/csl-citation.json"} </w:instrText>
      </w:r>
      <w:r w:rsidR="00B17899" w:rsidRPr="0007257D">
        <w:rPr>
          <w:rFonts w:asciiTheme="majorBidi" w:hAnsiTheme="majorBidi" w:cstheme="majorBidi"/>
          <w:sz w:val="20"/>
          <w:szCs w:val="20"/>
        </w:rPr>
        <w:fldChar w:fldCharType="separate"/>
      </w:r>
      <w:r w:rsidR="00B17899" w:rsidRPr="0007257D">
        <w:rPr>
          <w:rFonts w:asciiTheme="majorBidi" w:hAnsiTheme="majorBidi" w:cstheme="majorBidi"/>
          <w:sz w:val="20"/>
          <w:szCs w:val="20"/>
        </w:rPr>
        <w:t>(Ross, 1970)</w:t>
      </w:r>
      <w:r w:rsidR="00B17899" w:rsidRPr="0007257D">
        <w:rPr>
          <w:rFonts w:asciiTheme="majorBidi" w:hAnsiTheme="majorBidi" w:cstheme="majorBidi"/>
          <w:sz w:val="20"/>
          <w:szCs w:val="20"/>
        </w:rPr>
        <w:fldChar w:fldCharType="end"/>
      </w:r>
      <w:r w:rsidR="00931594"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t xml:space="preserve">     </w:t>
      </w:r>
      <w:r w:rsidR="00931594"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t>‘I say that the boy arrived.’</w:t>
      </w:r>
      <w:r w:rsidR="00931594"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t xml:space="preserve"> </w:t>
      </w:r>
      <w:r w:rsidR="00B17899" w:rsidRPr="0007257D">
        <w:rPr>
          <w:rFonts w:asciiTheme="majorBidi" w:hAnsiTheme="majorBidi" w:cstheme="majorBidi"/>
          <w:sz w:val="20"/>
          <w:szCs w:val="20"/>
        </w:rPr>
        <w:fldChar w:fldCharType="begin"/>
      </w:r>
      <w:r w:rsidR="00B17899" w:rsidRPr="0007257D">
        <w:rPr>
          <w:rFonts w:asciiTheme="majorBidi" w:hAnsiTheme="majorBidi" w:cstheme="majorBidi"/>
          <w:sz w:val="20"/>
          <w:szCs w:val="20"/>
        </w:rPr>
        <w:instrText xml:space="preserve"> ADDIN ZOTERO_ITEM CSL_CITATION {"citationID":"Y5nvTADR","properties":{"formattedCitation":"(Jarrah, 2019b)","plainCitation":"(Jarrah, 2019b)","noteIndex":0},"citationItems":[{"id":635,"uris":["http://zotero.org/users/4439491/items/HY8HAL3Y"],"uri":["http://zotero.org/users/4439491/items/HY8HAL3Y"],"itemData":{"id":635,"type":"article-journal","title":"Record your Agree: A case study of the Arabic complementizer &lt;i&gt;ʔinn&lt;/i&gt;","container-title":"Journal of Linguistics","page":"83-122","volume":"55","issue":"1","source":"Crossref","abstract":"This research investigates the morpho-syntactic behaviour of the Arabic complementizer Pinn in a range of Arabic varieties (Modern Standard Arabic, Jordanian Arabic, and Lebanese Arabic). It essentially argues that this complementizer SHARES (not DONATES or KEEPS, pace Ouali 2008, 2011) its unvalued φ-features with its complement T0, something that makes Pinn and T0 separate agreeing heads. An inﬂectional sufﬁx attached to Pinn is treated as a PF reﬂex (i.e. an overt morphological realization) of valuation of Pinn’s unvalued φ-features or lack thereof. This research also argues that the occurrence of such an inﬂectional sufﬁx is ruled by the postulated AGREE CHAIN RECORD, an interface condition that demands an Agree relation to have a PF reﬂex, called a RECORD (i.e. an overt Case marking on the goal or, if not, a φ-afﬁx on the probe). This way, we account for the complementary distribution of overt Case and φ-Agree in Arabic. We also show how a host of other phenomena, including word order agreement asymmetries in Modern Standard Arabic and lack of such asymmetries in Arabic vernaculars, fares well with this view.","DOI":"10.1017/S0022226718000282","ISSN":"0022-2267, 1469-7742","shortTitle":"Record your Agree","language":"en","author":[{"family":"Jarrah","given":"Marwan"}],"issued":{"date-parts":[["2019",2,1]]}}}],"schema":"https://github.com/citation-style-language/schema/raw/master/csl-citation.json"} </w:instrText>
      </w:r>
      <w:r w:rsidR="00B17899" w:rsidRPr="0007257D">
        <w:rPr>
          <w:rFonts w:asciiTheme="majorBidi" w:hAnsiTheme="majorBidi" w:cstheme="majorBidi"/>
          <w:sz w:val="20"/>
          <w:szCs w:val="20"/>
        </w:rPr>
        <w:fldChar w:fldCharType="separate"/>
      </w:r>
      <w:r w:rsidR="00B17899" w:rsidRPr="0007257D">
        <w:rPr>
          <w:rFonts w:asciiTheme="majorBidi" w:hAnsiTheme="majorBidi" w:cstheme="majorBidi"/>
          <w:sz w:val="20"/>
          <w:szCs w:val="20"/>
        </w:rPr>
        <w:t>(Jarrah, 2019b)</w:t>
      </w:r>
      <w:r w:rsidR="00B17899" w:rsidRPr="0007257D">
        <w:rPr>
          <w:rFonts w:asciiTheme="majorBidi" w:hAnsiTheme="majorBidi" w:cstheme="majorBidi"/>
          <w:sz w:val="20"/>
          <w:szCs w:val="20"/>
        </w:rPr>
        <w:fldChar w:fldCharType="end"/>
      </w:r>
      <w:r w:rsidR="00B17899" w:rsidRPr="0007257D">
        <w:rPr>
          <w:rFonts w:asciiTheme="majorBidi" w:hAnsiTheme="majorBidi" w:cstheme="majorBidi"/>
          <w:sz w:val="20"/>
          <w:szCs w:val="20"/>
        </w:rPr>
        <w:t xml:space="preserve"> </w:t>
      </w:r>
    </w:p>
    <w:p w14:paraId="51728DB9" w14:textId="77777777" w:rsidR="0018099F" w:rsidRPr="0007257D" w:rsidRDefault="0018099F" w:rsidP="00B2319D">
      <w:pPr>
        <w:autoSpaceDE w:val="0"/>
        <w:autoSpaceDN w:val="0"/>
        <w:adjustRightInd w:val="0"/>
        <w:spacing w:after="0" w:line="276" w:lineRule="auto"/>
        <w:rPr>
          <w:rFonts w:asciiTheme="majorBidi" w:hAnsiTheme="majorBidi" w:cstheme="majorBidi"/>
          <w:sz w:val="20"/>
          <w:szCs w:val="20"/>
        </w:rPr>
      </w:pPr>
    </w:p>
    <w:p w14:paraId="754FC31B" w14:textId="66A3A384" w:rsidR="002A19FD" w:rsidRDefault="000C29DB" w:rsidP="00BC0527">
      <w:pPr>
        <w:autoSpaceDE w:val="0"/>
        <w:autoSpaceDN w:val="0"/>
        <w:adjustRightInd w:val="0"/>
        <w:spacing w:after="0" w:line="240" w:lineRule="auto"/>
        <w:jc w:val="both"/>
        <w:rPr>
          <w:rFonts w:asciiTheme="majorBidi" w:hAnsiTheme="majorBidi" w:cstheme="majorBidi"/>
          <w:sz w:val="20"/>
          <w:szCs w:val="20"/>
        </w:rPr>
      </w:pPr>
      <w:r w:rsidRPr="0007257D">
        <w:rPr>
          <w:rFonts w:asciiTheme="majorBidi" w:hAnsiTheme="majorBidi" w:cstheme="majorBidi"/>
          <w:sz w:val="20"/>
          <w:szCs w:val="20"/>
          <w:lang w:val="en-US"/>
        </w:rPr>
        <w:t>T</w:t>
      </w:r>
      <w:r w:rsidR="0079160E" w:rsidRPr="0007257D">
        <w:rPr>
          <w:rFonts w:asciiTheme="majorBidi" w:hAnsiTheme="majorBidi" w:cstheme="majorBidi"/>
          <w:sz w:val="20"/>
          <w:szCs w:val="20"/>
          <w:lang w:val="en-US"/>
        </w:rPr>
        <w:t xml:space="preserve">he use of the </w:t>
      </w:r>
      <w:r w:rsidR="004E5B3B">
        <w:rPr>
          <w:rFonts w:asciiTheme="majorBidi" w:hAnsiTheme="majorBidi" w:cstheme="majorBidi"/>
          <w:sz w:val="20"/>
          <w:szCs w:val="20"/>
          <w:lang w:val="en-US"/>
        </w:rPr>
        <w:t>C</w:t>
      </w:r>
      <w:r w:rsidR="0079160E" w:rsidRPr="0007257D">
        <w:rPr>
          <w:rFonts w:asciiTheme="majorBidi" w:hAnsiTheme="majorBidi" w:cstheme="majorBidi"/>
          <w:sz w:val="20"/>
          <w:szCs w:val="20"/>
          <w:lang w:val="en-US"/>
        </w:rPr>
        <w:t xml:space="preserve"> </w:t>
      </w:r>
      <w:proofErr w:type="spellStart"/>
      <w:r w:rsidR="0079160E" w:rsidRPr="0007257D">
        <w:rPr>
          <w:rFonts w:asciiTheme="majorBidi" w:hAnsiTheme="majorBidi" w:cstheme="majorBidi"/>
          <w:i/>
          <w:iCs/>
          <w:sz w:val="20"/>
          <w:szCs w:val="20"/>
        </w:rPr>
        <w:t>ʔɨnn</w:t>
      </w:r>
      <w:proofErr w:type="spellEnd"/>
      <w:r w:rsidR="0079160E" w:rsidRPr="0007257D">
        <w:rPr>
          <w:rFonts w:asciiTheme="majorBidi" w:hAnsiTheme="majorBidi" w:cstheme="majorBidi"/>
          <w:i/>
          <w:iCs/>
          <w:sz w:val="20"/>
          <w:szCs w:val="20"/>
        </w:rPr>
        <w:t xml:space="preserve"> </w:t>
      </w:r>
      <w:r w:rsidR="0079160E" w:rsidRPr="0007257D">
        <w:rPr>
          <w:rFonts w:asciiTheme="majorBidi" w:hAnsiTheme="majorBidi" w:cstheme="majorBidi"/>
          <w:sz w:val="20"/>
          <w:szCs w:val="20"/>
        </w:rPr>
        <w:t>along with</w:t>
      </w:r>
      <w:r w:rsidR="0079160E" w:rsidRPr="0007257D">
        <w:rPr>
          <w:rFonts w:asciiTheme="majorBidi" w:hAnsiTheme="majorBidi" w:cstheme="majorBidi"/>
          <w:sz w:val="20"/>
          <w:szCs w:val="20"/>
          <w:lang w:val="en-US"/>
        </w:rPr>
        <w:t xml:space="preserve"> </w:t>
      </w:r>
      <w:r w:rsidR="00741D03" w:rsidRPr="0007257D">
        <w:rPr>
          <w:rFonts w:asciiTheme="majorBidi" w:hAnsiTheme="majorBidi" w:cstheme="majorBidi"/>
          <w:sz w:val="20"/>
          <w:szCs w:val="20"/>
          <w:lang w:val="en-US"/>
        </w:rPr>
        <w:t>an</w:t>
      </w:r>
      <w:r w:rsidR="0079160E" w:rsidRPr="0007257D">
        <w:rPr>
          <w:rFonts w:asciiTheme="majorBidi" w:hAnsiTheme="majorBidi" w:cstheme="majorBidi"/>
          <w:sz w:val="20"/>
          <w:szCs w:val="20"/>
          <w:lang w:val="en-US"/>
        </w:rPr>
        <w:t xml:space="preserve"> </w:t>
      </w:r>
      <w:r w:rsidR="00741D03" w:rsidRPr="0007257D">
        <w:rPr>
          <w:rFonts w:asciiTheme="majorBidi" w:hAnsiTheme="majorBidi" w:cstheme="majorBidi"/>
          <w:sz w:val="20"/>
          <w:szCs w:val="20"/>
          <w:lang w:val="en-US"/>
        </w:rPr>
        <w:t xml:space="preserve">explicit </w:t>
      </w:r>
      <w:r w:rsidR="0079160E" w:rsidRPr="0007257D">
        <w:rPr>
          <w:rFonts w:asciiTheme="majorBidi" w:hAnsiTheme="majorBidi" w:cstheme="majorBidi"/>
          <w:sz w:val="20"/>
          <w:szCs w:val="20"/>
          <w:lang w:val="en-US"/>
        </w:rPr>
        <w:t>verb of saying is acceptable</w:t>
      </w:r>
      <w:r w:rsidRPr="0007257D">
        <w:rPr>
          <w:rFonts w:asciiTheme="majorBidi" w:hAnsiTheme="majorBidi" w:cstheme="majorBidi"/>
          <w:sz w:val="20"/>
          <w:szCs w:val="20"/>
          <w:lang w:val="en-US"/>
        </w:rPr>
        <w:t xml:space="preserve"> in JA</w:t>
      </w:r>
      <w:r w:rsidR="0079160E" w:rsidRPr="0007257D">
        <w:rPr>
          <w:rFonts w:asciiTheme="majorBidi" w:hAnsiTheme="majorBidi" w:cstheme="majorBidi"/>
          <w:sz w:val="20"/>
          <w:szCs w:val="20"/>
          <w:lang w:val="en-US"/>
        </w:rPr>
        <w:t xml:space="preserve">. However, </w:t>
      </w:r>
      <w:proofErr w:type="gramStart"/>
      <w:r w:rsidR="0079160E" w:rsidRPr="0007257D">
        <w:rPr>
          <w:rFonts w:asciiTheme="majorBidi" w:hAnsiTheme="majorBidi" w:cstheme="majorBidi"/>
          <w:sz w:val="20"/>
          <w:szCs w:val="20"/>
          <w:lang w:val="en-US"/>
        </w:rPr>
        <w:t>assum</w:t>
      </w:r>
      <w:r w:rsidR="002A19FD" w:rsidRPr="0007257D">
        <w:rPr>
          <w:rFonts w:asciiTheme="majorBidi" w:hAnsiTheme="majorBidi" w:cstheme="majorBidi"/>
          <w:sz w:val="20"/>
          <w:szCs w:val="20"/>
          <w:lang w:val="en-US"/>
        </w:rPr>
        <w:t>ing</w:t>
      </w:r>
      <w:r w:rsidR="0079160E" w:rsidRPr="0007257D">
        <w:rPr>
          <w:rFonts w:asciiTheme="majorBidi" w:hAnsiTheme="majorBidi" w:cstheme="majorBidi"/>
          <w:sz w:val="20"/>
          <w:szCs w:val="20"/>
          <w:lang w:val="en-US"/>
        </w:rPr>
        <w:t xml:space="preserve"> that</w:t>
      </w:r>
      <w:proofErr w:type="gramEnd"/>
      <w:r w:rsidR="0079160E" w:rsidRPr="0007257D">
        <w:rPr>
          <w:rFonts w:asciiTheme="majorBidi" w:hAnsiTheme="majorBidi" w:cstheme="majorBidi"/>
          <w:sz w:val="20"/>
          <w:szCs w:val="20"/>
          <w:lang w:val="en-US"/>
        </w:rPr>
        <w:t xml:space="preserve"> </w:t>
      </w:r>
      <w:r w:rsidR="00741D03" w:rsidRPr="0007257D">
        <w:rPr>
          <w:rFonts w:asciiTheme="majorBidi" w:hAnsiTheme="majorBidi" w:cstheme="majorBidi"/>
          <w:sz w:val="20"/>
          <w:szCs w:val="20"/>
          <w:lang w:val="en-US"/>
        </w:rPr>
        <w:t>the verb of saying</w:t>
      </w:r>
      <w:r w:rsidR="000B1F14" w:rsidRPr="0007257D">
        <w:rPr>
          <w:rFonts w:asciiTheme="majorBidi" w:hAnsiTheme="majorBidi" w:cstheme="majorBidi"/>
          <w:sz w:val="20"/>
          <w:szCs w:val="20"/>
          <w:lang w:val="en-US"/>
        </w:rPr>
        <w:t xml:space="preserve"> is hidden</w:t>
      </w:r>
      <w:r w:rsidR="00741D03" w:rsidRPr="0007257D">
        <w:rPr>
          <w:rFonts w:asciiTheme="majorBidi" w:hAnsiTheme="majorBidi" w:cstheme="majorBidi"/>
          <w:sz w:val="20"/>
          <w:szCs w:val="20"/>
          <w:lang w:val="en-US"/>
        </w:rPr>
        <w:t xml:space="preserve"> </w:t>
      </w:r>
      <w:r w:rsidR="002A19FD" w:rsidRPr="0007257D">
        <w:rPr>
          <w:rFonts w:asciiTheme="majorBidi" w:hAnsiTheme="majorBidi" w:cstheme="majorBidi"/>
          <w:sz w:val="20"/>
          <w:szCs w:val="20"/>
          <w:lang w:val="en-US"/>
        </w:rPr>
        <w:t xml:space="preserve">does not </w:t>
      </w:r>
      <w:r w:rsidR="008B14F1" w:rsidRPr="0007257D">
        <w:rPr>
          <w:rFonts w:asciiTheme="majorBidi" w:hAnsiTheme="majorBidi" w:cstheme="majorBidi"/>
          <w:sz w:val="20"/>
          <w:szCs w:val="20"/>
          <w:lang w:val="en-US"/>
        </w:rPr>
        <w:t>lead to grammatical</w:t>
      </w:r>
      <w:r w:rsidR="002A19FD" w:rsidRPr="0007257D">
        <w:rPr>
          <w:rFonts w:asciiTheme="majorBidi" w:hAnsiTheme="majorBidi" w:cstheme="majorBidi"/>
          <w:sz w:val="20"/>
          <w:szCs w:val="20"/>
          <w:lang w:val="en-US"/>
        </w:rPr>
        <w:t xml:space="preserve"> structure</w:t>
      </w:r>
      <w:r w:rsidR="008B14F1" w:rsidRPr="0007257D">
        <w:rPr>
          <w:rFonts w:asciiTheme="majorBidi" w:hAnsiTheme="majorBidi" w:cstheme="majorBidi"/>
          <w:sz w:val="20"/>
          <w:szCs w:val="20"/>
          <w:lang w:val="en-US"/>
        </w:rPr>
        <w:t xml:space="preserve"> in </w:t>
      </w:r>
      <w:r w:rsidRPr="0007257D">
        <w:rPr>
          <w:rFonts w:asciiTheme="majorBidi" w:hAnsiTheme="majorBidi" w:cstheme="majorBidi"/>
          <w:sz w:val="20"/>
          <w:szCs w:val="20"/>
          <w:lang w:val="en-US"/>
        </w:rPr>
        <w:t>this variety</w:t>
      </w:r>
      <w:r w:rsidR="00741D03" w:rsidRPr="0007257D">
        <w:rPr>
          <w:rFonts w:asciiTheme="majorBidi" w:hAnsiTheme="majorBidi" w:cstheme="majorBidi"/>
          <w:sz w:val="20"/>
          <w:szCs w:val="20"/>
          <w:lang w:val="en-US"/>
        </w:rPr>
        <w:t xml:space="preserve"> </w:t>
      </w:r>
      <w:r w:rsidR="0079160E" w:rsidRPr="0007257D">
        <w:rPr>
          <w:rFonts w:asciiTheme="majorBidi" w:hAnsiTheme="majorBidi" w:cstheme="majorBidi"/>
          <w:sz w:val="20"/>
          <w:szCs w:val="20"/>
          <w:lang w:val="en-US"/>
        </w:rPr>
        <w:t>(compare (3) with (</w:t>
      </w:r>
      <w:r w:rsidR="008B14F1" w:rsidRPr="0007257D">
        <w:rPr>
          <w:rFonts w:asciiTheme="majorBidi" w:hAnsiTheme="majorBidi" w:cstheme="majorBidi"/>
          <w:sz w:val="20"/>
          <w:szCs w:val="20"/>
          <w:lang w:val="en-US"/>
        </w:rPr>
        <w:t>6</w:t>
      </w:r>
      <w:r w:rsidR="0079160E" w:rsidRPr="0007257D">
        <w:rPr>
          <w:rFonts w:asciiTheme="majorBidi" w:hAnsiTheme="majorBidi" w:cstheme="majorBidi"/>
          <w:sz w:val="20"/>
          <w:szCs w:val="20"/>
          <w:lang w:val="en-US"/>
        </w:rPr>
        <w:t>)).</w:t>
      </w:r>
      <w:r w:rsidR="00741D03" w:rsidRPr="0007257D">
        <w:rPr>
          <w:rFonts w:asciiTheme="majorBidi" w:hAnsiTheme="majorBidi" w:cstheme="majorBidi"/>
          <w:sz w:val="20"/>
          <w:szCs w:val="20"/>
          <w:lang w:val="en-US"/>
        </w:rPr>
        <w:t xml:space="preserve"> </w:t>
      </w:r>
      <w:r w:rsidR="00741D03" w:rsidRPr="0007257D">
        <w:rPr>
          <w:rFonts w:asciiTheme="majorBidi" w:hAnsiTheme="majorBidi" w:cstheme="majorBidi"/>
          <w:sz w:val="20"/>
          <w:szCs w:val="20"/>
        </w:rPr>
        <w:t xml:space="preserve">Comparing the two systems highlights the following pressing research questions: (a) Why does the hidden performative verb hypothesis only apply to SA but not JA </w:t>
      </w:r>
      <w:r w:rsidR="0007257D" w:rsidRPr="0007257D">
        <w:rPr>
          <w:rFonts w:asciiTheme="majorBidi" w:hAnsiTheme="majorBidi" w:cstheme="majorBidi"/>
          <w:sz w:val="20"/>
          <w:szCs w:val="20"/>
        </w:rPr>
        <w:t>Cs</w:t>
      </w:r>
      <w:r w:rsidR="00741D03" w:rsidRPr="0007257D">
        <w:rPr>
          <w:rFonts w:asciiTheme="majorBidi" w:hAnsiTheme="majorBidi" w:cstheme="majorBidi"/>
          <w:sz w:val="20"/>
          <w:szCs w:val="20"/>
        </w:rPr>
        <w:t xml:space="preserve">? </w:t>
      </w:r>
      <w:r w:rsidR="00AF0893" w:rsidRPr="0007257D">
        <w:rPr>
          <w:rFonts w:asciiTheme="majorBidi" w:hAnsiTheme="majorBidi" w:cstheme="majorBidi"/>
          <w:sz w:val="20"/>
          <w:szCs w:val="20"/>
        </w:rPr>
        <w:t xml:space="preserve">And </w:t>
      </w:r>
      <w:r w:rsidR="00741D03" w:rsidRPr="0007257D">
        <w:rPr>
          <w:rFonts w:asciiTheme="majorBidi" w:hAnsiTheme="majorBidi" w:cstheme="majorBidi"/>
          <w:sz w:val="20"/>
          <w:szCs w:val="20"/>
        </w:rPr>
        <w:t xml:space="preserve">(b) How is the SA </w:t>
      </w:r>
      <w:r w:rsidR="004E5B3B">
        <w:rPr>
          <w:rFonts w:asciiTheme="majorBidi" w:hAnsiTheme="majorBidi" w:cstheme="majorBidi"/>
          <w:sz w:val="20"/>
          <w:szCs w:val="20"/>
        </w:rPr>
        <w:t>C</w:t>
      </w:r>
      <w:r w:rsidR="00741D03" w:rsidRPr="0007257D">
        <w:rPr>
          <w:rFonts w:asciiTheme="majorBidi" w:hAnsiTheme="majorBidi" w:cstheme="majorBidi"/>
          <w:sz w:val="20"/>
          <w:szCs w:val="20"/>
        </w:rPr>
        <w:t xml:space="preserve"> system different from that of Arabic varieties? If not, how do they fit the universal pattern?</w:t>
      </w:r>
      <w:r w:rsidR="00F41CAE" w:rsidRPr="0007257D">
        <w:rPr>
          <w:rFonts w:asciiTheme="majorBidi" w:hAnsiTheme="majorBidi" w:cstheme="majorBidi"/>
          <w:sz w:val="20"/>
          <w:szCs w:val="20"/>
        </w:rPr>
        <w:t xml:space="preserve"> </w:t>
      </w:r>
      <w:r w:rsidR="00C45740" w:rsidRPr="0007257D">
        <w:rPr>
          <w:rFonts w:asciiTheme="majorBidi" w:hAnsiTheme="majorBidi" w:cstheme="majorBidi"/>
          <w:sz w:val="20"/>
          <w:szCs w:val="20"/>
        </w:rPr>
        <w:t>Th</w:t>
      </w:r>
      <w:r w:rsidR="007F5AA0" w:rsidRPr="0007257D">
        <w:rPr>
          <w:rFonts w:asciiTheme="majorBidi" w:hAnsiTheme="majorBidi" w:cstheme="majorBidi"/>
          <w:sz w:val="20"/>
          <w:szCs w:val="20"/>
        </w:rPr>
        <w:t>e</w:t>
      </w:r>
      <w:r w:rsidR="00C45740" w:rsidRPr="0007257D">
        <w:rPr>
          <w:rFonts w:asciiTheme="majorBidi" w:hAnsiTheme="majorBidi" w:cstheme="majorBidi"/>
          <w:sz w:val="20"/>
          <w:szCs w:val="20"/>
        </w:rPr>
        <w:t xml:space="preserve"> study </w:t>
      </w:r>
      <w:r w:rsidR="007F5AA0" w:rsidRPr="0007257D">
        <w:rPr>
          <w:rFonts w:asciiTheme="majorBidi" w:hAnsiTheme="majorBidi" w:cstheme="majorBidi"/>
          <w:sz w:val="20"/>
          <w:szCs w:val="20"/>
        </w:rPr>
        <w:t>argues</w:t>
      </w:r>
      <w:r w:rsidR="00844746" w:rsidRPr="0007257D">
        <w:rPr>
          <w:rFonts w:asciiTheme="majorBidi" w:hAnsiTheme="majorBidi" w:cstheme="majorBidi"/>
          <w:sz w:val="20"/>
          <w:szCs w:val="20"/>
        </w:rPr>
        <w:t xml:space="preserve"> that </w:t>
      </w:r>
      <w:r w:rsidR="0007257D" w:rsidRPr="0007257D">
        <w:rPr>
          <w:rFonts w:asciiTheme="majorBidi" w:hAnsiTheme="majorBidi" w:cstheme="majorBidi"/>
          <w:sz w:val="20"/>
          <w:szCs w:val="20"/>
        </w:rPr>
        <w:t>Cs</w:t>
      </w:r>
      <w:r w:rsidR="007F5AA0" w:rsidRPr="0007257D">
        <w:rPr>
          <w:rFonts w:asciiTheme="majorBidi" w:hAnsiTheme="majorBidi" w:cstheme="majorBidi"/>
          <w:sz w:val="20"/>
          <w:szCs w:val="20"/>
        </w:rPr>
        <w:t xml:space="preserve"> in Arabic are </w:t>
      </w:r>
      <w:r w:rsidR="00502CC4" w:rsidRPr="0007257D">
        <w:rPr>
          <w:rFonts w:asciiTheme="majorBidi" w:hAnsiTheme="majorBidi" w:cstheme="majorBidi"/>
          <w:sz w:val="20"/>
          <w:szCs w:val="20"/>
        </w:rPr>
        <w:t>complex morphemes</w:t>
      </w:r>
      <w:r w:rsidR="00C8150F" w:rsidRPr="0007257D">
        <w:rPr>
          <w:rFonts w:asciiTheme="majorBidi" w:hAnsiTheme="majorBidi" w:cstheme="majorBidi"/>
          <w:sz w:val="20"/>
          <w:szCs w:val="20"/>
        </w:rPr>
        <w:t xml:space="preserve"> that are</w:t>
      </w:r>
      <w:r w:rsidR="00844746" w:rsidRPr="0007257D">
        <w:rPr>
          <w:rFonts w:asciiTheme="majorBidi" w:hAnsiTheme="majorBidi" w:cstheme="majorBidi"/>
          <w:sz w:val="20"/>
          <w:szCs w:val="20"/>
        </w:rPr>
        <w:t xml:space="preserve"> </w:t>
      </w:r>
      <w:r w:rsidR="007F5AA0" w:rsidRPr="0007257D">
        <w:rPr>
          <w:rFonts w:asciiTheme="majorBidi" w:hAnsiTheme="majorBidi" w:cstheme="majorBidi"/>
          <w:sz w:val="20"/>
          <w:szCs w:val="20"/>
        </w:rPr>
        <w:t>composed of nano-syntactic features</w:t>
      </w:r>
      <w:r w:rsidR="00106E70" w:rsidRPr="0007257D">
        <w:rPr>
          <w:rFonts w:asciiTheme="majorBidi" w:hAnsiTheme="majorBidi" w:cstheme="majorBidi"/>
          <w:sz w:val="20"/>
          <w:szCs w:val="20"/>
        </w:rPr>
        <w:t xml:space="preserve"> that</w:t>
      </w:r>
      <w:r w:rsidR="007F5AA0" w:rsidRPr="0007257D">
        <w:rPr>
          <w:rFonts w:asciiTheme="majorBidi" w:hAnsiTheme="majorBidi" w:cstheme="majorBidi"/>
          <w:sz w:val="20"/>
          <w:szCs w:val="20"/>
        </w:rPr>
        <w:t xml:space="preserve"> affect their size and</w:t>
      </w:r>
      <w:r w:rsidR="00106E70" w:rsidRPr="0007257D">
        <w:rPr>
          <w:rFonts w:asciiTheme="majorBidi" w:hAnsiTheme="majorBidi" w:cstheme="majorBidi"/>
          <w:sz w:val="20"/>
          <w:szCs w:val="20"/>
        </w:rPr>
        <w:t xml:space="preserve"> </w:t>
      </w:r>
      <w:r w:rsidR="007F5AA0" w:rsidRPr="0007257D">
        <w:rPr>
          <w:rFonts w:asciiTheme="majorBidi" w:hAnsiTheme="majorBidi" w:cstheme="majorBidi"/>
          <w:sz w:val="20"/>
          <w:szCs w:val="20"/>
        </w:rPr>
        <w:t>function as triggers of presupposition</w:t>
      </w:r>
      <w:r w:rsidR="00C45740" w:rsidRPr="0007257D">
        <w:rPr>
          <w:rFonts w:asciiTheme="majorBidi" w:hAnsiTheme="majorBidi" w:cstheme="majorBidi"/>
          <w:sz w:val="20"/>
          <w:szCs w:val="20"/>
        </w:rPr>
        <w:t xml:space="preserve"> </w:t>
      </w:r>
      <w:r w:rsidR="007F5AA0" w:rsidRPr="0007257D">
        <w:rPr>
          <w:rFonts w:asciiTheme="majorBidi" w:hAnsiTheme="majorBidi" w:cstheme="majorBidi"/>
          <w:sz w:val="20"/>
          <w:szCs w:val="20"/>
        </w:rPr>
        <w:fldChar w:fldCharType="begin"/>
      </w:r>
      <w:r w:rsidR="007F5AA0" w:rsidRPr="0007257D">
        <w:rPr>
          <w:rFonts w:asciiTheme="majorBidi" w:hAnsiTheme="majorBidi" w:cstheme="majorBidi"/>
          <w:sz w:val="20"/>
          <w:szCs w:val="20"/>
        </w:rPr>
        <w:instrText xml:space="preserve"> ADDIN ZOTERO_ITEM CSL_CITATION {"citationID":"8r7JKoiQ","properties":{"formattedCitation":"(Baunaz &amp; Lander, 2018; Lena, 2018; Starke, 2009)","plainCitation":"(Baunaz &amp; Lander, 2018; Lena, 2018; Starke, 2009)","noteIndex":0},"citationItems":[{"id":644,"uris":["http://zotero.org/users/4439491/items/GBUZ9RUL"],"uri":["http://zotero.org/users/4439491/items/GBUZ9RUL"],"itemData":{"id":644,"type":"article-journal","title":"Deconstructing categories syncretic with the nominal complementizer","container-title":"Glossa: a journal of general linguistics","volume":"3","issue":"1","source":"Crossref","URL":"http://www.glossa-journal.org/articles/10.5334/gjgl.349/","DOI":"10.5334/gjgl.349","ISSN":"2397-1835","language":"en","author":[{"family":"Baunaz","given":"Lena"},{"family":"Lander","given":"Eric"}],"issued":{"date-parts":[["2018",3,5]]},"accessed":{"date-parts":[["2019",3,11]]}}},{"id":622,"uris":["http://zotero.org/users/4439491/items/WXU6CTUP"],"uri":["http://zotero.org/users/4439491/items/WXU6CTUP"],"itemData":{"id":622,"type":"chapter","title":"Decomposing Complementizers: The functional secquence of French, Modern Greek,Serbo-Croatian, and Bulgarian Complementizers","container-title":"Exploring Nanosyntax","publisher":"Oxford University Press","source":"www.oxfordscholarship.com","ISBN":"978-0-19-087678-4","language":"en_US","author":[{"family":"Lena","given":"Baunz"}],"editor":[{"family":"Baunz","given":"Lena"},{"family":"De Clercq","given":"Karen"},{"family":"Haegman","given":"Lilian"},{"family":"Lander","given":"Eric"}],"issued":{"date-parts":[["2018",6,1]]},"accessed":{"date-parts":[["2019",2,19]]}}},{"id":626,"uris":["http://zotero.org/users/4439491/items/KJ8T78XH"],"uri":["http://zotero.org/users/4439491/items/KJ8T78XH"],"itemData":{"id":626,"type":"article-journal","title":"Nanosyntax A short primer to a new approach to language","page":"6","source":"Zotero","abstract":"Nanosyntax is a novel approach to the architecture of language, designed to make (better) sense of the new empirical picture emerging from recent years of syntactic research. It is a large-scale project, addressing a wide array of issues, ranging from big issues such as the modularity of language, to ﬁne details, such as the derivation of allomorphy in irregular patterns of given languages and its interaction with syntactic structures.","language":"en","author":[{"family":"Starke","given":"Michal"}],"issued":{"date-parts":[["2009"]]}}}],"schema":"https://github.com/citation-style-language/schema/raw/master/csl-citation.json"} </w:instrText>
      </w:r>
      <w:r w:rsidR="007F5AA0" w:rsidRPr="0007257D">
        <w:rPr>
          <w:rFonts w:asciiTheme="majorBidi" w:hAnsiTheme="majorBidi" w:cstheme="majorBidi"/>
          <w:sz w:val="20"/>
          <w:szCs w:val="20"/>
        </w:rPr>
        <w:fldChar w:fldCharType="separate"/>
      </w:r>
      <w:r w:rsidR="007F5AA0" w:rsidRPr="0007257D">
        <w:rPr>
          <w:rFonts w:asciiTheme="majorBidi" w:hAnsiTheme="majorBidi" w:cstheme="majorBidi"/>
          <w:sz w:val="20"/>
          <w:szCs w:val="20"/>
        </w:rPr>
        <w:t xml:space="preserve">(Baunaz &amp; Lander, 2018; </w:t>
      </w:r>
      <w:r w:rsidR="00BC0527" w:rsidRPr="0007257D">
        <w:rPr>
          <w:rFonts w:asciiTheme="majorBidi" w:hAnsiTheme="majorBidi" w:cstheme="majorBidi"/>
          <w:sz w:val="20"/>
          <w:szCs w:val="20"/>
        </w:rPr>
        <w:t>Baunaz</w:t>
      </w:r>
      <w:r w:rsidR="007F5AA0" w:rsidRPr="0007257D">
        <w:rPr>
          <w:rFonts w:asciiTheme="majorBidi" w:hAnsiTheme="majorBidi" w:cstheme="majorBidi"/>
          <w:sz w:val="20"/>
          <w:szCs w:val="20"/>
        </w:rPr>
        <w:t>, 2018; Starke, 2009)</w:t>
      </w:r>
      <w:r w:rsidR="007F5AA0" w:rsidRPr="0007257D">
        <w:rPr>
          <w:rFonts w:asciiTheme="majorBidi" w:hAnsiTheme="majorBidi" w:cstheme="majorBidi"/>
          <w:sz w:val="20"/>
          <w:szCs w:val="20"/>
        </w:rPr>
        <w:fldChar w:fldCharType="end"/>
      </w:r>
      <w:r w:rsidR="007F5AA0" w:rsidRPr="0007257D">
        <w:rPr>
          <w:rFonts w:asciiTheme="majorBidi" w:hAnsiTheme="majorBidi" w:cstheme="majorBidi"/>
          <w:sz w:val="20"/>
          <w:szCs w:val="20"/>
        </w:rPr>
        <w:t xml:space="preserve">. Syncretic </w:t>
      </w:r>
      <w:r w:rsidR="0007257D" w:rsidRPr="0007257D">
        <w:rPr>
          <w:rFonts w:asciiTheme="majorBidi" w:hAnsiTheme="majorBidi" w:cstheme="majorBidi"/>
          <w:sz w:val="20"/>
          <w:szCs w:val="20"/>
        </w:rPr>
        <w:t>Cs</w:t>
      </w:r>
      <w:r w:rsidR="007F5AA0" w:rsidRPr="0007257D">
        <w:rPr>
          <w:rFonts w:asciiTheme="majorBidi" w:hAnsiTheme="majorBidi" w:cstheme="majorBidi"/>
          <w:sz w:val="20"/>
          <w:szCs w:val="20"/>
        </w:rPr>
        <w:t xml:space="preserve"> cannot be used without explicit verbs since their use results in </w:t>
      </w:r>
      <w:r w:rsidR="005E2C9A" w:rsidRPr="0007257D">
        <w:rPr>
          <w:rFonts w:asciiTheme="majorBidi" w:hAnsiTheme="majorBidi" w:cstheme="majorBidi"/>
          <w:sz w:val="20"/>
          <w:szCs w:val="20"/>
        </w:rPr>
        <w:t xml:space="preserve">uncontrolled presuppositions – as the case of JA. SA, on the other hand, licenses </w:t>
      </w:r>
      <w:r w:rsidR="005E2C9A" w:rsidRPr="0007257D">
        <w:rPr>
          <w:rFonts w:asciiTheme="majorBidi" w:hAnsiTheme="majorBidi" w:cstheme="majorBidi"/>
          <w:i/>
          <w:iCs/>
          <w:sz w:val="20"/>
          <w:szCs w:val="20"/>
        </w:rPr>
        <w:t xml:space="preserve">ʔinna </w:t>
      </w:r>
      <w:r w:rsidR="005E2C9A" w:rsidRPr="0007257D">
        <w:rPr>
          <w:rFonts w:asciiTheme="majorBidi" w:hAnsiTheme="majorBidi" w:cstheme="majorBidi"/>
          <w:sz w:val="20"/>
          <w:szCs w:val="20"/>
        </w:rPr>
        <w:t xml:space="preserve">but not </w:t>
      </w:r>
      <w:r w:rsidR="005E2C9A" w:rsidRPr="0007257D">
        <w:rPr>
          <w:rFonts w:asciiTheme="majorBidi" w:hAnsiTheme="majorBidi" w:cstheme="majorBidi"/>
          <w:i/>
          <w:iCs/>
          <w:sz w:val="20"/>
          <w:szCs w:val="20"/>
        </w:rPr>
        <w:t>ʔanna</w:t>
      </w:r>
      <w:r w:rsidR="007F5AA0" w:rsidRPr="0007257D">
        <w:rPr>
          <w:rFonts w:asciiTheme="majorBidi" w:hAnsiTheme="majorBidi" w:cstheme="majorBidi"/>
          <w:sz w:val="20"/>
          <w:szCs w:val="20"/>
        </w:rPr>
        <w:t xml:space="preserve"> </w:t>
      </w:r>
      <w:r w:rsidR="005E2C9A" w:rsidRPr="0007257D">
        <w:rPr>
          <w:rFonts w:asciiTheme="majorBidi" w:hAnsiTheme="majorBidi" w:cstheme="majorBidi"/>
          <w:sz w:val="20"/>
          <w:szCs w:val="20"/>
        </w:rPr>
        <w:t xml:space="preserve">because </w:t>
      </w:r>
      <w:r w:rsidR="005E2C9A" w:rsidRPr="0007257D">
        <w:rPr>
          <w:rFonts w:asciiTheme="majorBidi" w:hAnsiTheme="majorBidi" w:cstheme="majorBidi"/>
          <w:i/>
          <w:iCs/>
          <w:sz w:val="20"/>
          <w:szCs w:val="20"/>
        </w:rPr>
        <w:t>ʔinna</w:t>
      </w:r>
      <w:r w:rsidR="004E5B3B">
        <w:rPr>
          <w:rFonts w:asciiTheme="majorBidi" w:hAnsiTheme="majorBidi" w:cstheme="majorBidi"/>
          <w:i/>
          <w:iCs/>
          <w:sz w:val="20"/>
          <w:szCs w:val="20"/>
        </w:rPr>
        <w:t xml:space="preserve">, </w:t>
      </w:r>
      <w:r w:rsidR="004E5B3B" w:rsidRPr="004E5B3B">
        <w:rPr>
          <w:rFonts w:asciiTheme="majorBidi" w:hAnsiTheme="majorBidi" w:cstheme="majorBidi"/>
          <w:sz w:val="20"/>
          <w:szCs w:val="20"/>
        </w:rPr>
        <w:t>unlike</w:t>
      </w:r>
      <w:r w:rsidR="004E5B3B">
        <w:rPr>
          <w:rFonts w:asciiTheme="majorBidi" w:hAnsiTheme="majorBidi" w:cstheme="majorBidi"/>
          <w:i/>
          <w:iCs/>
          <w:sz w:val="20"/>
          <w:szCs w:val="20"/>
        </w:rPr>
        <w:t xml:space="preserve"> ʔanna,</w:t>
      </w:r>
      <w:r w:rsidR="005E2C9A" w:rsidRPr="0007257D">
        <w:rPr>
          <w:rFonts w:asciiTheme="majorBidi" w:hAnsiTheme="majorBidi" w:cstheme="majorBidi"/>
          <w:i/>
          <w:iCs/>
          <w:sz w:val="20"/>
          <w:szCs w:val="20"/>
        </w:rPr>
        <w:t xml:space="preserve"> </w:t>
      </w:r>
      <w:r w:rsidR="005E2C9A" w:rsidRPr="0007257D">
        <w:rPr>
          <w:rFonts w:asciiTheme="majorBidi" w:hAnsiTheme="majorBidi" w:cstheme="majorBidi"/>
          <w:sz w:val="20"/>
          <w:szCs w:val="20"/>
        </w:rPr>
        <w:t>is not syncretic. The analysis test</w:t>
      </w:r>
      <w:r w:rsidR="0007257D" w:rsidRPr="0007257D">
        <w:rPr>
          <w:rFonts w:asciiTheme="majorBidi" w:hAnsiTheme="majorBidi" w:cstheme="majorBidi"/>
          <w:sz w:val="20"/>
          <w:szCs w:val="20"/>
        </w:rPr>
        <w:t>s</w:t>
      </w:r>
      <w:r w:rsidR="005E2C9A" w:rsidRPr="0007257D">
        <w:rPr>
          <w:rFonts w:asciiTheme="majorBidi" w:hAnsiTheme="majorBidi" w:cstheme="majorBidi"/>
          <w:sz w:val="20"/>
          <w:szCs w:val="20"/>
        </w:rPr>
        <w:t xml:space="preserve"> constructions across factive and non-factive verbs</w:t>
      </w:r>
      <w:r w:rsidR="00A719EA">
        <w:rPr>
          <w:rFonts w:asciiTheme="majorBidi" w:hAnsiTheme="majorBidi" w:cstheme="majorBidi"/>
          <w:sz w:val="20"/>
          <w:szCs w:val="20"/>
        </w:rPr>
        <w:t>. To arrive at their functional sequence (7), we compare Arabic Cs across different languages (</w:t>
      </w:r>
      <w:proofErr w:type="spellStart"/>
      <w:r w:rsidR="00A719EA" w:rsidRPr="0007257D">
        <w:rPr>
          <w:rFonts w:asciiTheme="majorBidi" w:hAnsiTheme="majorBidi" w:cstheme="majorBidi"/>
          <w:sz w:val="20"/>
          <w:szCs w:val="20"/>
        </w:rPr>
        <w:t>Baunaz</w:t>
      </w:r>
      <w:proofErr w:type="spellEnd"/>
      <w:r w:rsidR="00A719EA">
        <w:rPr>
          <w:rFonts w:asciiTheme="majorBidi" w:hAnsiTheme="majorBidi" w:cstheme="majorBidi"/>
          <w:sz w:val="20"/>
          <w:szCs w:val="20"/>
        </w:rPr>
        <w:t>, 2018).</w:t>
      </w:r>
      <w:r w:rsidR="008F3D24" w:rsidRPr="0007257D">
        <w:rPr>
          <w:rFonts w:asciiTheme="majorBidi" w:hAnsiTheme="majorBidi" w:cstheme="majorBidi"/>
          <w:sz w:val="20"/>
          <w:szCs w:val="20"/>
        </w:rPr>
        <w:t xml:space="preserve"> </w:t>
      </w:r>
      <w:r w:rsidR="003929CD" w:rsidRPr="0007257D">
        <w:rPr>
          <w:rFonts w:asciiTheme="majorBidi" w:hAnsiTheme="majorBidi" w:cstheme="majorBidi"/>
          <w:sz w:val="20"/>
          <w:szCs w:val="20"/>
        </w:rPr>
        <w:t xml:space="preserve">The following table illustrates and orders </w:t>
      </w:r>
      <w:r w:rsidR="0007257D" w:rsidRPr="0007257D">
        <w:rPr>
          <w:rFonts w:asciiTheme="majorBidi" w:hAnsiTheme="majorBidi" w:cstheme="majorBidi"/>
          <w:sz w:val="20"/>
          <w:szCs w:val="20"/>
        </w:rPr>
        <w:t>Cs</w:t>
      </w:r>
      <w:r w:rsidR="003929CD" w:rsidRPr="0007257D">
        <w:rPr>
          <w:rFonts w:asciiTheme="majorBidi" w:hAnsiTheme="majorBidi" w:cstheme="majorBidi"/>
          <w:sz w:val="20"/>
          <w:szCs w:val="20"/>
        </w:rPr>
        <w:t xml:space="preserve"> in away to avoid ABA patterns </w:t>
      </w:r>
      <w:r w:rsidR="003929CD" w:rsidRPr="0007257D">
        <w:rPr>
          <w:rFonts w:asciiTheme="majorBidi" w:hAnsiTheme="majorBidi" w:cstheme="majorBidi"/>
          <w:sz w:val="20"/>
          <w:szCs w:val="20"/>
        </w:rPr>
        <w:fldChar w:fldCharType="begin"/>
      </w:r>
      <w:r w:rsidR="003929CD" w:rsidRPr="0007257D">
        <w:rPr>
          <w:rFonts w:asciiTheme="majorBidi" w:hAnsiTheme="majorBidi" w:cstheme="majorBidi"/>
          <w:sz w:val="20"/>
          <w:szCs w:val="20"/>
        </w:rPr>
        <w:instrText xml:space="preserve"> ADDIN ZOTERO_ITEM CSL_CITATION {"citationID":"r4ez9oQ6","properties":{"formattedCitation":"(Caha, 2009)","plainCitation":"(Caha, 2009)","noteIndex":0},"citationItems":[{"id":698,"uris":["http://zotero.org/users/4439491/items/W62HC5UU"],"uri":["http://zotero.org/users/4439491/items/W62HC5UU"],"itemData":{"id":698,"type":"thesis","title":"The nanosyntax of case","publisher":"University of Tromso","genre":"Ph.D.","author":[{"family":"Caha","given":"Paval"}],"issued":{"date-parts":[["2009"]]}}}],"schema":"https://github.com/citation-style-language/schema/raw/master/csl-citation.json"} </w:instrText>
      </w:r>
      <w:r w:rsidR="003929CD" w:rsidRPr="0007257D">
        <w:rPr>
          <w:rFonts w:asciiTheme="majorBidi" w:hAnsiTheme="majorBidi" w:cstheme="majorBidi"/>
          <w:sz w:val="20"/>
          <w:szCs w:val="20"/>
        </w:rPr>
        <w:fldChar w:fldCharType="separate"/>
      </w:r>
      <w:r w:rsidR="003929CD" w:rsidRPr="0007257D">
        <w:rPr>
          <w:rFonts w:asciiTheme="majorBidi" w:hAnsiTheme="majorBidi" w:cstheme="majorBidi"/>
          <w:sz w:val="20"/>
          <w:szCs w:val="20"/>
        </w:rPr>
        <w:t>(</w:t>
      </w:r>
      <w:proofErr w:type="spellStart"/>
      <w:r w:rsidR="003929CD" w:rsidRPr="0007257D">
        <w:rPr>
          <w:rFonts w:asciiTheme="majorBidi" w:hAnsiTheme="majorBidi" w:cstheme="majorBidi"/>
          <w:sz w:val="20"/>
          <w:szCs w:val="20"/>
        </w:rPr>
        <w:t>Caha</w:t>
      </w:r>
      <w:proofErr w:type="spellEnd"/>
      <w:r w:rsidR="003929CD" w:rsidRPr="0007257D">
        <w:rPr>
          <w:rFonts w:asciiTheme="majorBidi" w:hAnsiTheme="majorBidi" w:cstheme="majorBidi"/>
          <w:sz w:val="20"/>
          <w:szCs w:val="20"/>
        </w:rPr>
        <w:t>, 2009)</w:t>
      </w:r>
      <w:r w:rsidR="003929CD" w:rsidRPr="0007257D">
        <w:rPr>
          <w:rFonts w:asciiTheme="majorBidi" w:hAnsiTheme="majorBidi" w:cstheme="majorBidi"/>
          <w:sz w:val="20"/>
          <w:szCs w:val="20"/>
        </w:rPr>
        <w:fldChar w:fldCharType="end"/>
      </w:r>
      <w:r w:rsidR="003929CD" w:rsidRPr="0007257D">
        <w:rPr>
          <w:rFonts w:asciiTheme="majorBidi" w:hAnsiTheme="majorBidi" w:cstheme="majorBidi"/>
          <w:sz w:val="20"/>
          <w:szCs w:val="20"/>
        </w:rPr>
        <w:t>.</w:t>
      </w:r>
    </w:p>
    <w:p w14:paraId="2EC4FF3B" w14:textId="77777777" w:rsidR="0018099F" w:rsidRPr="0007257D" w:rsidRDefault="0018099F" w:rsidP="00BC0527">
      <w:pPr>
        <w:autoSpaceDE w:val="0"/>
        <w:autoSpaceDN w:val="0"/>
        <w:adjustRightInd w:val="0"/>
        <w:spacing w:after="0" w:line="240" w:lineRule="auto"/>
        <w:jc w:val="both"/>
        <w:rPr>
          <w:rFonts w:asciiTheme="majorBidi" w:hAnsiTheme="majorBidi" w:cstheme="majorBid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929CD" w:rsidRPr="0007257D" w14:paraId="52F3A1BF" w14:textId="77777777" w:rsidTr="003929CD">
        <w:tc>
          <w:tcPr>
            <w:tcW w:w="1870" w:type="dxa"/>
            <w:tcBorders>
              <w:top w:val="single" w:sz="4" w:space="0" w:color="auto"/>
              <w:bottom w:val="single" w:sz="4" w:space="0" w:color="auto"/>
            </w:tcBorders>
          </w:tcPr>
          <w:p w14:paraId="25C5C8FB" w14:textId="77777777" w:rsidR="003929CD" w:rsidRPr="0007257D" w:rsidRDefault="003929CD" w:rsidP="00EF62A3">
            <w:pPr>
              <w:jc w:val="both"/>
              <w:rPr>
                <w:rFonts w:asciiTheme="majorBidi" w:hAnsiTheme="majorBidi" w:cstheme="majorBidi"/>
                <w:sz w:val="20"/>
                <w:szCs w:val="20"/>
              </w:rPr>
            </w:pPr>
          </w:p>
        </w:tc>
        <w:tc>
          <w:tcPr>
            <w:tcW w:w="1870" w:type="dxa"/>
            <w:tcBorders>
              <w:top w:val="single" w:sz="4" w:space="0" w:color="auto"/>
              <w:bottom w:val="single" w:sz="4" w:space="0" w:color="auto"/>
            </w:tcBorders>
          </w:tcPr>
          <w:p w14:paraId="2FBC06AC" w14:textId="259B7EE5"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Emotive Factive</w:t>
            </w:r>
            <w:r w:rsidR="0007257D">
              <w:rPr>
                <w:rFonts w:asciiTheme="majorBidi" w:hAnsiTheme="majorBidi" w:cstheme="majorBidi"/>
                <w:sz w:val="20"/>
                <w:szCs w:val="20"/>
              </w:rPr>
              <w:t xml:space="preserve"> F1</w:t>
            </w:r>
          </w:p>
        </w:tc>
        <w:tc>
          <w:tcPr>
            <w:tcW w:w="1870" w:type="dxa"/>
            <w:tcBorders>
              <w:top w:val="single" w:sz="4" w:space="0" w:color="auto"/>
              <w:bottom w:val="single" w:sz="4" w:space="0" w:color="auto"/>
            </w:tcBorders>
          </w:tcPr>
          <w:p w14:paraId="5B58C4E2" w14:textId="71D2342E"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Semi-factive</w:t>
            </w:r>
            <w:r w:rsidR="0007257D">
              <w:rPr>
                <w:rFonts w:asciiTheme="majorBidi" w:hAnsiTheme="majorBidi" w:cstheme="majorBidi"/>
                <w:sz w:val="20"/>
                <w:szCs w:val="20"/>
              </w:rPr>
              <w:t xml:space="preserve"> F2</w:t>
            </w:r>
          </w:p>
        </w:tc>
        <w:tc>
          <w:tcPr>
            <w:tcW w:w="1870" w:type="dxa"/>
            <w:tcBorders>
              <w:top w:val="single" w:sz="4" w:space="0" w:color="auto"/>
              <w:bottom w:val="single" w:sz="4" w:space="0" w:color="auto"/>
            </w:tcBorders>
          </w:tcPr>
          <w:p w14:paraId="7785E81E" w14:textId="4FB4F971"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Nonfactive</w:t>
            </w:r>
            <w:r w:rsidR="0007257D">
              <w:rPr>
                <w:rFonts w:asciiTheme="majorBidi" w:hAnsiTheme="majorBidi" w:cstheme="majorBidi"/>
                <w:sz w:val="20"/>
                <w:szCs w:val="20"/>
              </w:rPr>
              <w:t xml:space="preserve"> F3</w:t>
            </w:r>
          </w:p>
        </w:tc>
        <w:tc>
          <w:tcPr>
            <w:tcW w:w="1870" w:type="dxa"/>
            <w:tcBorders>
              <w:top w:val="single" w:sz="4" w:space="0" w:color="auto"/>
              <w:bottom w:val="single" w:sz="4" w:space="0" w:color="auto"/>
            </w:tcBorders>
          </w:tcPr>
          <w:p w14:paraId="6726B4D1" w14:textId="6FDF0B6E"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Desiderative</w:t>
            </w:r>
            <w:r w:rsidR="0007257D">
              <w:rPr>
                <w:rFonts w:asciiTheme="majorBidi" w:hAnsiTheme="majorBidi" w:cstheme="majorBidi"/>
                <w:sz w:val="20"/>
                <w:szCs w:val="20"/>
              </w:rPr>
              <w:t xml:space="preserve"> F4</w:t>
            </w:r>
          </w:p>
        </w:tc>
      </w:tr>
      <w:tr w:rsidR="003929CD" w:rsidRPr="0007257D" w14:paraId="6EB37774" w14:textId="77777777" w:rsidTr="003929CD">
        <w:tc>
          <w:tcPr>
            <w:tcW w:w="1870" w:type="dxa"/>
            <w:tcBorders>
              <w:top w:val="single" w:sz="4" w:space="0" w:color="auto"/>
            </w:tcBorders>
          </w:tcPr>
          <w:p w14:paraId="679104D6" w14:textId="3202FC52"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M</w:t>
            </w:r>
            <w:r w:rsidR="0007257D">
              <w:rPr>
                <w:rFonts w:asciiTheme="majorBidi" w:hAnsiTheme="majorBidi" w:cstheme="majorBidi"/>
                <w:sz w:val="20"/>
                <w:szCs w:val="20"/>
              </w:rPr>
              <w:t>odern Greek</w:t>
            </w:r>
          </w:p>
        </w:tc>
        <w:tc>
          <w:tcPr>
            <w:tcW w:w="1870" w:type="dxa"/>
            <w:tcBorders>
              <w:top w:val="single" w:sz="4" w:space="0" w:color="auto"/>
            </w:tcBorders>
            <w:shd w:val="clear" w:color="auto" w:fill="A6A6A6" w:themeFill="background1" w:themeFillShade="A6"/>
          </w:tcPr>
          <w:p w14:paraId="41736786"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pu</w:t>
            </w:r>
            <w:proofErr w:type="spellEnd"/>
          </w:p>
        </w:tc>
        <w:tc>
          <w:tcPr>
            <w:tcW w:w="1870" w:type="dxa"/>
            <w:tcBorders>
              <w:top w:val="single" w:sz="4" w:space="0" w:color="auto"/>
            </w:tcBorders>
            <w:shd w:val="clear" w:color="auto" w:fill="F2F2F2" w:themeFill="background1" w:themeFillShade="F2"/>
          </w:tcPr>
          <w:p w14:paraId="03575B19"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pu</w:t>
            </w:r>
            <w:proofErr w:type="spellEnd"/>
            <w:r w:rsidRPr="0007257D">
              <w:rPr>
                <w:rFonts w:asciiTheme="majorBidi" w:hAnsiTheme="majorBidi" w:cstheme="majorBidi"/>
                <w:sz w:val="20"/>
                <w:szCs w:val="20"/>
              </w:rPr>
              <w:t>/</w:t>
            </w:r>
            <w:proofErr w:type="spellStart"/>
            <w:r w:rsidRPr="0007257D">
              <w:rPr>
                <w:rFonts w:asciiTheme="majorBidi" w:hAnsiTheme="majorBidi" w:cstheme="majorBidi"/>
                <w:sz w:val="20"/>
                <w:szCs w:val="20"/>
              </w:rPr>
              <w:t>oti</w:t>
            </w:r>
            <w:proofErr w:type="spellEnd"/>
          </w:p>
        </w:tc>
        <w:tc>
          <w:tcPr>
            <w:tcW w:w="1870" w:type="dxa"/>
            <w:tcBorders>
              <w:top w:val="single" w:sz="4" w:space="0" w:color="auto"/>
            </w:tcBorders>
            <w:shd w:val="clear" w:color="auto" w:fill="F2F2F2" w:themeFill="background1" w:themeFillShade="F2"/>
          </w:tcPr>
          <w:p w14:paraId="494E7246"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oti</w:t>
            </w:r>
            <w:proofErr w:type="spellEnd"/>
          </w:p>
        </w:tc>
        <w:tc>
          <w:tcPr>
            <w:tcW w:w="1870" w:type="dxa"/>
            <w:tcBorders>
              <w:top w:val="single" w:sz="4" w:space="0" w:color="auto"/>
            </w:tcBorders>
            <w:shd w:val="clear" w:color="auto" w:fill="F2F2F2" w:themeFill="background1" w:themeFillShade="F2"/>
          </w:tcPr>
          <w:p w14:paraId="6182B700"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na</w:t>
            </w:r>
            <w:proofErr w:type="spellEnd"/>
          </w:p>
        </w:tc>
      </w:tr>
      <w:tr w:rsidR="003929CD" w:rsidRPr="0007257D" w14:paraId="3AB718CE" w14:textId="77777777" w:rsidTr="003929CD">
        <w:tc>
          <w:tcPr>
            <w:tcW w:w="1870" w:type="dxa"/>
          </w:tcPr>
          <w:p w14:paraId="75FA9207" w14:textId="51FA7E64"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SA</w:t>
            </w:r>
          </w:p>
        </w:tc>
        <w:tc>
          <w:tcPr>
            <w:tcW w:w="1870" w:type="dxa"/>
            <w:shd w:val="clear" w:color="auto" w:fill="A6A6A6" w:themeFill="background1" w:themeFillShade="A6"/>
          </w:tcPr>
          <w:p w14:paraId="28C0FE2C"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ʔanna</w:t>
            </w:r>
          </w:p>
        </w:tc>
        <w:tc>
          <w:tcPr>
            <w:tcW w:w="1870" w:type="dxa"/>
            <w:shd w:val="clear" w:color="auto" w:fill="A6A6A6" w:themeFill="background1" w:themeFillShade="A6"/>
          </w:tcPr>
          <w:p w14:paraId="0EE3998E"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ʔanna</w:t>
            </w:r>
          </w:p>
        </w:tc>
        <w:tc>
          <w:tcPr>
            <w:tcW w:w="1870" w:type="dxa"/>
            <w:shd w:val="clear" w:color="auto" w:fill="F2F2F2" w:themeFill="background1" w:themeFillShade="F2"/>
          </w:tcPr>
          <w:p w14:paraId="4C869F92"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ʔɪnna</w:t>
            </w:r>
            <w:proofErr w:type="spellEnd"/>
          </w:p>
        </w:tc>
        <w:tc>
          <w:tcPr>
            <w:tcW w:w="1870" w:type="dxa"/>
            <w:shd w:val="clear" w:color="auto" w:fill="F2F2F2" w:themeFill="background1" w:themeFillShade="F2"/>
          </w:tcPr>
          <w:p w14:paraId="63A48CB6"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ʔan</w:t>
            </w:r>
            <w:proofErr w:type="spellEnd"/>
          </w:p>
        </w:tc>
      </w:tr>
      <w:tr w:rsidR="003929CD" w:rsidRPr="0007257D" w14:paraId="50E6AEA3" w14:textId="77777777" w:rsidTr="003929CD">
        <w:tc>
          <w:tcPr>
            <w:tcW w:w="1870" w:type="dxa"/>
          </w:tcPr>
          <w:p w14:paraId="1D3F65E3" w14:textId="43B14204"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S</w:t>
            </w:r>
            <w:r w:rsidR="003F1489">
              <w:rPr>
                <w:rFonts w:asciiTheme="majorBidi" w:hAnsiTheme="majorBidi" w:cstheme="majorBidi"/>
                <w:sz w:val="20"/>
                <w:szCs w:val="20"/>
              </w:rPr>
              <w:t>aso</w:t>
            </w:r>
            <w:r w:rsidRPr="0007257D">
              <w:rPr>
                <w:rFonts w:asciiTheme="majorBidi" w:hAnsiTheme="majorBidi" w:cstheme="majorBidi"/>
                <w:sz w:val="20"/>
                <w:szCs w:val="20"/>
              </w:rPr>
              <w:t>n</w:t>
            </w:r>
            <w:proofErr w:type="spellEnd"/>
            <w:r w:rsidR="003F1489">
              <w:rPr>
                <w:rFonts w:asciiTheme="majorBidi" w:hAnsiTheme="majorBidi" w:cstheme="majorBidi"/>
                <w:sz w:val="20"/>
                <w:szCs w:val="20"/>
              </w:rPr>
              <w:t xml:space="preserve"> </w:t>
            </w:r>
            <w:r w:rsidRPr="0007257D">
              <w:rPr>
                <w:rFonts w:asciiTheme="majorBidi" w:hAnsiTheme="majorBidi" w:cstheme="majorBidi"/>
                <w:sz w:val="20"/>
                <w:szCs w:val="20"/>
              </w:rPr>
              <w:t>A</w:t>
            </w:r>
            <w:r w:rsidR="003F1489">
              <w:rPr>
                <w:rFonts w:asciiTheme="majorBidi" w:hAnsiTheme="majorBidi" w:cstheme="majorBidi"/>
                <w:sz w:val="20"/>
                <w:szCs w:val="20"/>
              </w:rPr>
              <w:t>rabic</w:t>
            </w:r>
          </w:p>
        </w:tc>
        <w:tc>
          <w:tcPr>
            <w:tcW w:w="1870" w:type="dxa"/>
            <w:shd w:val="clear" w:color="auto" w:fill="A6A6A6" w:themeFill="background1" w:themeFillShade="A6"/>
          </w:tcPr>
          <w:p w14:paraId="24348125"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le</w:t>
            </w:r>
          </w:p>
        </w:tc>
        <w:tc>
          <w:tcPr>
            <w:tcW w:w="1870" w:type="dxa"/>
            <w:shd w:val="clear" w:color="auto" w:fill="A6A6A6" w:themeFill="background1" w:themeFillShade="A6"/>
          </w:tcPr>
          <w:p w14:paraId="0D4B2D74"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le</w:t>
            </w:r>
          </w:p>
        </w:tc>
        <w:tc>
          <w:tcPr>
            <w:tcW w:w="1870" w:type="dxa"/>
            <w:shd w:val="clear" w:color="auto" w:fill="A6A6A6" w:themeFill="background1" w:themeFillShade="A6"/>
          </w:tcPr>
          <w:p w14:paraId="181B79C9"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le</w:t>
            </w:r>
          </w:p>
        </w:tc>
        <w:tc>
          <w:tcPr>
            <w:tcW w:w="1870" w:type="dxa"/>
            <w:shd w:val="clear" w:color="auto" w:fill="F2F2F2" w:themeFill="background1" w:themeFillShade="F2"/>
          </w:tcPr>
          <w:p w14:paraId="711BC1CC"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ta</w:t>
            </w:r>
          </w:p>
        </w:tc>
      </w:tr>
      <w:tr w:rsidR="003929CD" w:rsidRPr="0007257D" w14:paraId="126CEB7C" w14:textId="77777777" w:rsidTr="003929CD">
        <w:tc>
          <w:tcPr>
            <w:tcW w:w="1870" w:type="dxa"/>
          </w:tcPr>
          <w:p w14:paraId="3CC6830C" w14:textId="77777777" w:rsidR="003929CD" w:rsidRPr="0007257D" w:rsidRDefault="003929CD" w:rsidP="00EF62A3">
            <w:pPr>
              <w:jc w:val="both"/>
              <w:rPr>
                <w:rFonts w:asciiTheme="majorBidi" w:hAnsiTheme="majorBidi" w:cstheme="majorBidi"/>
                <w:sz w:val="20"/>
                <w:szCs w:val="20"/>
              </w:rPr>
            </w:pPr>
            <w:bookmarkStart w:id="1" w:name="_Hlk5108392"/>
            <w:r w:rsidRPr="0007257D">
              <w:rPr>
                <w:rFonts w:asciiTheme="majorBidi" w:hAnsiTheme="majorBidi" w:cstheme="majorBidi"/>
                <w:sz w:val="20"/>
                <w:szCs w:val="20"/>
              </w:rPr>
              <w:t>JA</w:t>
            </w:r>
          </w:p>
        </w:tc>
        <w:tc>
          <w:tcPr>
            <w:tcW w:w="1870" w:type="dxa"/>
            <w:shd w:val="clear" w:color="auto" w:fill="A6A6A6" w:themeFill="background1" w:themeFillShade="A6"/>
          </w:tcPr>
          <w:p w14:paraId="269E496A" w14:textId="22A225E5"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ʔɪnn</w:t>
            </w:r>
            <w:proofErr w:type="spellEnd"/>
            <w:r w:rsidRPr="0007257D">
              <w:rPr>
                <w:rFonts w:asciiTheme="majorBidi" w:hAnsiTheme="majorBidi" w:cstheme="majorBidi"/>
                <w:sz w:val="20"/>
                <w:szCs w:val="20"/>
              </w:rPr>
              <w:t xml:space="preserve"> </w:t>
            </w:r>
          </w:p>
        </w:tc>
        <w:tc>
          <w:tcPr>
            <w:tcW w:w="1870" w:type="dxa"/>
            <w:shd w:val="clear" w:color="auto" w:fill="A6A6A6" w:themeFill="background1" w:themeFillShade="A6"/>
          </w:tcPr>
          <w:p w14:paraId="21732A1F" w14:textId="4194778A"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ʔɪnn</w:t>
            </w:r>
            <w:proofErr w:type="spellEnd"/>
            <w:r w:rsidRPr="0007257D">
              <w:rPr>
                <w:rFonts w:asciiTheme="majorBidi" w:hAnsiTheme="majorBidi" w:cstheme="majorBidi"/>
                <w:sz w:val="20"/>
                <w:szCs w:val="20"/>
              </w:rPr>
              <w:t xml:space="preserve"> </w:t>
            </w:r>
          </w:p>
        </w:tc>
        <w:tc>
          <w:tcPr>
            <w:tcW w:w="1870" w:type="dxa"/>
            <w:shd w:val="clear" w:color="auto" w:fill="A6A6A6" w:themeFill="background1" w:themeFillShade="A6"/>
          </w:tcPr>
          <w:p w14:paraId="5A23AD18" w14:textId="77BACF8F"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ʔɪnn</w:t>
            </w:r>
            <w:proofErr w:type="spellEnd"/>
            <w:r w:rsidRPr="0007257D">
              <w:rPr>
                <w:rFonts w:asciiTheme="majorBidi" w:hAnsiTheme="majorBidi" w:cstheme="majorBidi"/>
                <w:sz w:val="20"/>
                <w:szCs w:val="20"/>
              </w:rPr>
              <w:t xml:space="preserve"> </w:t>
            </w:r>
          </w:p>
        </w:tc>
        <w:tc>
          <w:tcPr>
            <w:tcW w:w="1870" w:type="dxa"/>
            <w:shd w:val="clear" w:color="auto" w:fill="A6A6A6" w:themeFill="background1" w:themeFillShade="A6"/>
          </w:tcPr>
          <w:p w14:paraId="25B456A6" w14:textId="54B9866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ʔɪnn</w:t>
            </w:r>
            <w:proofErr w:type="spellEnd"/>
            <w:r w:rsidRPr="0007257D">
              <w:rPr>
                <w:rFonts w:asciiTheme="majorBidi" w:hAnsiTheme="majorBidi" w:cstheme="majorBidi"/>
                <w:sz w:val="20"/>
                <w:szCs w:val="20"/>
              </w:rPr>
              <w:t xml:space="preserve"> </w:t>
            </w:r>
          </w:p>
        </w:tc>
      </w:tr>
      <w:bookmarkEnd w:id="1"/>
      <w:tr w:rsidR="003929CD" w:rsidRPr="0007257D" w14:paraId="289B79C2" w14:textId="77777777" w:rsidTr="003929CD">
        <w:tc>
          <w:tcPr>
            <w:tcW w:w="1870" w:type="dxa"/>
          </w:tcPr>
          <w:p w14:paraId="7792AAF7" w14:textId="4CF04850"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L</w:t>
            </w:r>
            <w:r w:rsidR="003F1489">
              <w:rPr>
                <w:rFonts w:asciiTheme="majorBidi" w:hAnsiTheme="majorBidi" w:cstheme="majorBidi"/>
                <w:sz w:val="20"/>
                <w:szCs w:val="20"/>
              </w:rPr>
              <w:t>abanese</w:t>
            </w:r>
            <w:proofErr w:type="spellEnd"/>
            <w:r w:rsidR="003F1489">
              <w:rPr>
                <w:rFonts w:asciiTheme="majorBidi" w:hAnsiTheme="majorBidi" w:cstheme="majorBidi"/>
                <w:sz w:val="20"/>
                <w:szCs w:val="20"/>
              </w:rPr>
              <w:t xml:space="preserve"> </w:t>
            </w:r>
            <w:r w:rsidRPr="0007257D">
              <w:rPr>
                <w:rFonts w:asciiTheme="majorBidi" w:hAnsiTheme="majorBidi" w:cstheme="majorBidi"/>
                <w:sz w:val="20"/>
                <w:szCs w:val="20"/>
              </w:rPr>
              <w:t>A</w:t>
            </w:r>
            <w:r w:rsidR="003F1489">
              <w:rPr>
                <w:rFonts w:asciiTheme="majorBidi" w:hAnsiTheme="majorBidi" w:cstheme="majorBidi"/>
                <w:sz w:val="20"/>
                <w:szCs w:val="20"/>
              </w:rPr>
              <w:t>rabic</w:t>
            </w:r>
          </w:p>
        </w:tc>
        <w:tc>
          <w:tcPr>
            <w:tcW w:w="1870" w:type="dxa"/>
            <w:shd w:val="clear" w:color="auto" w:fill="A6A6A6" w:themeFill="background1" w:themeFillShade="A6"/>
          </w:tcPr>
          <w:p w14:paraId="50B5CB67" w14:textId="77777777" w:rsidR="003929CD" w:rsidRPr="0007257D" w:rsidRDefault="003929CD" w:rsidP="00EF62A3">
            <w:pPr>
              <w:jc w:val="both"/>
              <w:rPr>
                <w:rFonts w:asciiTheme="majorBidi" w:hAnsiTheme="majorBidi" w:cstheme="majorBidi"/>
                <w:sz w:val="20"/>
                <w:szCs w:val="20"/>
              </w:rPr>
            </w:pPr>
            <w:bookmarkStart w:id="2" w:name="_Hlk5108404"/>
            <w:proofErr w:type="spellStart"/>
            <w:r w:rsidRPr="0007257D">
              <w:rPr>
                <w:rFonts w:asciiTheme="majorBidi" w:hAnsiTheme="majorBidi" w:cstheme="majorBidi"/>
                <w:sz w:val="20"/>
                <w:szCs w:val="20"/>
              </w:rPr>
              <w:t>ʔɘnno</w:t>
            </w:r>
            <w:bookmarkEnd w:id="2"/>
            <w:proofErr w:type="spellEnd"/>
          </w:p>
        </w:tc>
        <w:tc>
          <w:tcPr>
            <w:tcW w:w="1870" w:type="dxa"/>
            <w:shd w:val="clear" w:color="auto" w:fill="A6A6A6" w:themeFill="background1" w:themeFillShade="A6"/>
          </w:tcPr>
          <w:p w14:paraId="69490A0E"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ʔɘnno</w:t>
            </w:r>
            <w:proofErr w:type="spellEnd"/>
          </w:p>
        </w:tc>
        <w:tc>
          <w:tcPr>
            <w:tcW w:w="1870" w:type="dxa"/>
            <w:shd w:val="clear" w:color="auto" w:fill="A6A6A6" w:themeFill="background1" w:themeFillShade="A6"/>
          </w:tcPr>
          <w:p w14:paraId="32139A8C"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ʔɘnno</w:t>
            </w:r>
            <w:proofErr w:type="spellEnd"/>
          </w:p>
        </w:tc>
        <w:tc>
          <w:tcPr>
            <w:tcW w:w="1870" w:type="dxa"/>
            <w:shd w:val="clear" w:color="auto" w:fill="A6A6A6" w:themeFill="background1" w:themeFillShade="A6"/>
          </w:tcPr>
          <w:p w14:paraId="351CB012" w14:textId="77777777" w:rsidR="003929CD" w:rsidRPr="0007257D" w:rsidRDefault="003929CD" w:rsidP="00EF62A3">
            <w:pPr>
              <w:jc w:val="both"/>
              <w:rPr>
                <w:rFonts w:asciiTheme="majorBidi" w:hAnsiTheme="majorBidi" w:cstheme="majorBidi"/>
                <w:sz w:val="20"/>
                <w:szCs w:val="20"/>
              </w:rPr>
            </w:pPr>
            <w:proofErr w:type="spellStart"/>
            <w:r w:rsidRPr="0007257D">
              <w:rPr>
                <w:rFonts w:asciiTheme="majorBidi" w:hAnsiTheme="majorBidi" w:cstheme="majorBidi"/>
                <w:sz w:val="20"/>
                <w:szCs w:val="20"/>
              </w:rPr>
              <w:t>ʔɘnno</w:t>
            </w:r>
            <w:proofErr w:type="spellEnd"/>
          </w:p>
        </w:tc>
      </w:tr>
      <w:tr w:rsidR="003929CD" w:rsidRPr="0007257D" w14:paraId="153858B8" w14:textId="77777777" w:rsidTr="003929CD">
        <w:tc>
          <w:tcPr>
            <w:tcW w:w="1870" w:type="dxa"/>
          </w:tcPr>
          <w:p w14:paraId="6F9ACB6F" w14:textId="72AADE64"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F</w:t>
            </w:r>
            <w:r w:rsidR="0007257D">
              <w:rPr>
                <w:rFonts w:asciiTheme="majorBidi" w:hAnsiTheme="majorBidi" w:cstheme="majorBidi"/>
                <w:sz w:val="20"/>
                <w:szCs w:val="20"/>
              </w:rPr>
              <w:t>rench</w:t>
            </w:r>
          </w:p>
        </w:tc>
        <w:tc>
          <w:tcPr>
            <w:tcW w:w="1870" w:type="dxa"/>
            <w:shd w:val="clear" w:color="auto" w:fill="A6A6A6" w:themeFill="background1" w:themeFillShade="A6"/>
          </w:tcPr>
          <w:p w14:paraId="207B57DD"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que</w:t>
            </w:r>
          </w:p>
        </w:tc>
        <w:tc>
          <w:tcPr>
            <w:tcW w:w="1870" w:type="dxa"/>
            <w:shd w:val="clear" w:color="auto" w:fill="A6A6A6" w:themeFill="background1" w:themeFillShade="A6"/>
          </w:tcPr>
          <w:p w14:paraId="36E67A8C"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que</w:t>
            </w:r>
          </w:p>
        </w:tc>
        <w:tc>
          <w:tcPr>
            <w:tcW w:w="1870" w:type="dxa"/>
            <w:shd w:val="clear" w:color="auto" w:fill="A6A6A6" w:themeFill="background1" w:themeFillShade="A6"/>
          </w:tcPr>
          <w:p w14:paraId="42F82EB7"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que</w:t>
            </w:r>
          </w:p>
        </w:tc>
        <w:tc>
          <w:tcPr>
            <w:tcW w:w="1870" w:type="dxa"/>
            <w:shd w:val="clear" w:color="auto" w:fill="A6A6A6" w:themeFill="background1" w:themeFillShade="A6"/>
          </w:tcPr>
          <w:p w14:paraId="462504DC"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que</w:t>
            </w:r>
          </w:p>
        </w:tc>
      </w:tr>
      <w:tr w:rsidR="003929CD" w:rsidRPr="0007257D" w14:paraId="3CD12F5E" w14:textId="77777777" w:rsidTr="003929CD">
        <w:tc>
          <w:tcPr>
            <w:tcW w:w="1870" w:type="dxa"/>
            <w:tcBorders>
              <w:bottom w:val="single" w:sz="4" w:space="0" w:color="auto"/>
            </w:tcBorders>
          </w:tcPr>
          <w:p w14:paraId="2DB05ACB" w14:textId="4A83CB9B"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S</w:t>
            </w:r>
            <w:r w:rsidR="0007257D">
              <w:rPr>
                <w:rFonts w:asciiTheme="majorBidi" w:hAnsiTheme="majorBidi" w:cstheme="majorBidi"/>
                <w:sz w:val="20"/>
                <w:szCs w:val="20"/>
              </w:rPr>
              <w:t>erbo-Croatian</w:t>
            </w:r>
          </w:p>
        </w:tc>
        <w:tc>
          <w:tcPr>
            <w:tcW w:w="1870" w:type="dxa"/>
            <w:tcBorders>
              <w:bottom w:val="single" w:sz="4" w:space="0" w:color="auto"/>
            </w:tcBorders>
            <w:shd w:val="clear" w:color="auto" w:fill="A6A6A6" w:themeFill="background1" w:themeFillShade="A6"/>
          </w:tcPr>
          <w:p w14:paraId="6197F051"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da</w:t>
            </w:r>
          </w:p>
        </w:tc>
        <w:tc>
          <w:tcPr>
            <w:tcW w:w="1870" w:type="dxa"/>
            <w:tcBorders>
              <w:bottom w:val="single" w:sz="4" w:space="0" w:color="auto"/>
            </w:tcBorders>
            <w:shd w:val="clear" w:color="auto" w:fill="A6A6A6" w:themeFill="background1" w:themeFillShade="A6"/>
          </w:tcPr>
          <w:p w14:paraId="1CEB33B6"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da</w:t>
            </w:r>
          </w:p>
        </w:tc>
        <w:tc>
          <w:tcPr>
            <w:tcW w:w="1870" w:type="dxa"/>
            <w:tcBorders>
              <w:bottom w:val="single" w:sz="4" w:space="0" w:color="auto"/>
            </w:tcBorders>
            <w:shd w:val="clear" w:color="auto" w:fill="A6A6A6" w:themeFill="background1" w:themeFillShade="A6"/>
          </w:tcPr>
          <w:p w14:paraId="062B9042"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da</w:t>
            </w:r>
          </w:p>
        </w:tc>
        <w:tc>
          <w:tcPr>
            <w:tcW w:w="1870" w:type="dxa"/>
            <w:tcBorders>
              <w:bottom w:val="single" w:sz="4" w:space="0" w:color="auto"/>
            </w:tcBorders>
            <w:shd w:val="clear" w:color="auto" w:fill="A6A6A6" w:themeFill="background1" w:themeFillShade="A6"/>
          </w:tcPr>
          <w:p w14:paraId="5049DDDC" w14:textId="77777777" w:rsidR="003929CD" w:rsidRPr="0007257D" w:rsidRDefault="003929CD" w:rsidP="00EF62A3">
            <w:pPr>
              <w:jc w:val="both"/>
              <w:rPr>
                <w:rFonts w:asciiTheme="majorBidi" w:hAnsiTheme="majorBidi" w:cstheme="majorBidi"/>
                <w:sz w:val="20"/>
                <w:szCs w:val="20"/>
              </w:rPr>
            </w:pPr>
            <w:r w:rsidRPr="0007257D">
              <w:rPr>
                <w:rFonts w:asciiTheme="majorBidi" w:hAnsiTheme="majorBidi" w:cstheme="majorBidi"/>
                <w:sz w:val="20"/>
                <w:szCs w:val="20"/>
              </w:rPr>
              <w:t>da</w:t>
            </w:r>
          </w:p>
        </w:tc>
      </w:tr>
    </w:tbl>
    <w:p w14:paraId="13FFD52C" w14:textId="77777777" w:rsidR="0018099F" w:rsidRDefault="0018099F" w:rsidP="007C2236">
      <w:pPr>
        <w:spacing w:after="0"/>
        <w:jc w:val="both"/>
        <w:rPr>
          <w:rFonts w:asciiTheme="majorBidi" w:hAnsiTheme="majorBidi" w:cstheme="majorBidi"/>
          <w:sz w:val="20"/>
          <w:szCs w:val="20"/>
        </w:rPr>
      </w:pPr>
    </w:p>
    <w:p w14:paraId="3ABF69BA" w14:textId="56805313" w:rsidR="00A34D9E" w:rsidRDefault="003929CD" w:rsidP="007C2236">
      <w:pPr>
        <w:spacing w:after="0"/>
        <w:jc w:val="both"/>
        <w:rPr>
          <w:rFonts w:asciiTheme="majorBidi" w:hAnsiTheme="majorBidi" w:cstheme="majorBidi"/>
          <w:sz w:val="20"/>
          <w:szCs w:val="20"/>
        </w:rPr>
      </w:pPr>
      <w:r w:rsidRPr="0007257D">
        <w:rPr>
          <w:rFonts w:asciiTheme="majorBidi" w:hAnsiTheme="majorBidi" w:cstheme="majorBidi"/>
          <w:sz w:val="20"/>
          <w:szCs w:val="20"/>
        </w:rPr>
        <w:t xml:space="preserve">The distribution is argued to pour out from the </w:t>
      </w:r>
      <w:r w:rsidR="0007257D" w:rsidRPr="0007257D">
        <w:rPr>
          <w:rFonts w:asciiTheme="majorBidi" w:hAnsiTheme="majorBidi" w:cstheme="majorBidi"/>
          <w:sz w:val="20"/>
          <w:szCs w:val="20"/>
        </w:rPr>
        <w:t>Cs</w:t>
      </w:r>
      <w:r w:rsidRPr="0007257D">
        <w:rPr>
          <w:rFonts w:asciiTheme="majorBidi" w:hAnsiTheme="majorBidi" w:cstheme="majorBidi"/>
          <w:sz w:val="20"/>
          <w:szCs w:val="20"/>
        </w:rPr>
        <w:t xml:space="preserve"> internal semantic composition</w:t>
      </w:r>
      <w:r w:rsidR="0007257D">
        <w:rPr>
          <w:rFonts w:asciiTheme="majorBidi" w:hAnsiTheme="majorBidi" w:cstheme="majorBidi"/>
          <w:sz w:val="20"/>
          <w:szCs w:val="20"/>
        </w:rPr>
        <w:t xml:space="preserve"> (</w:t>
      </w:r>
      <w:proofErr w:type="spellStart"/>
      <w:r w:rsidR="0007257D" w:rsidRPr="0007257D">
        <w:rPr>
          <w:rFonts w:asciiTheme="majorBidi" w:hAnsiTheme="majorBidi" w:cstheme="majorBidi"/>
          <w:sz w:val="20"/>
          <w:szCs w:val="20"/>
        </w:rPr>
        <w:t>Baunaz</w:t>
      </w:r>
      <w:proofErr w:type="spellEnd"/>
      <w:r w:rsidR="0007257D">
        <w:rPr>
          <w:rFonts w:asciiTheme="majorBidi" w:hAnsiTheme="majorBidi" w:cstheme="majorBidi"/>
          <w:sz w:val="20"/>
          <w:szCs w:val="20"/>
        </w:rPr>
        <w:t>, 2018)</w:t>
      </w:r>
      <w:r w:rsidRPr="0007257D">
        <w:rPr>
          <w:rFonts w:asciiTheme="majorBidi" w:hAnsiTheme="majorBidi" w:cstheme="majorBidi"/>
          <w:sz w:val="20"/>
          <w:szCs w:val="20"/>
        </w:rPr>
        <w:t>. Avoiding *ABA patterns</w:t>
      </w:r>
      <w:r w:rsidR="007C2236">
        <w:rPr>
          <w:rFonts w:asciiTheme="majorBidi" w:hAnsiTheme="majorBidi" w:cstheme="majorBidi"/>
          <w:sz w:val="20"/>
          <w:szCs w:val="20"/>
        </w:rPr>
        <w:t xml:space="preserve"> (</w:t>
      </w:r>
      <w:proofErr w:type="spellStart"/>
      <w:r w:rsidR="007C2236">
        <w:rPr>
          <w:rFonts w:asciiTheme="majorBidi" w:hAnsiTheme="majorBidi" w:cstheme="majorBidi"/>
          <w:sz w:val="20"/>
          <w:szCs w:val="20"/>
        </w:rPr>
        <w:t>Caha</w:t>
      </w:r>
      <w:proofErr w:type="spellEnd"/>
      <w:r w:rsidR="007C2236">
        <w:rPr>
          <w:rFonts w:asciiTheme="majorBidi" w:hAnsiTheme="majorBidi" w:cstheme="majorBidi"/>
          <w:sz w:val="20"/>
          <w:szCs w:val="20"/>
        </w:rPr>
        <w:t>, 2009)</w:t>
      </w:r>
      <w:r w:rsidRPr="0007257D">
        <w:rPr>
          <w:rFonts w:asciiTheme="majorBidi" w:hAnsiTheme="majorBidi" w:cstheme="majorBidi"/>
          <w:sz w:val="20"/>
          <w:szCs w:val="20"/>
        </w:rPr>
        <w:t xml:space="preserve"> </w:t>
      </w:r>
      <w:r w:rsidR="00A34D9E" w:rsidRPr="0007257D">
        <w:rPr>
          <w:rFonts w:asciiTheme="majorBidi" w:hAnsiTheme="majorBidi" w:cstheme="majorBidi"/>
          <w:sz w:val="20"/>
          <w:szCs w:val="20"/>
        </w:rPr>
        <w:t xml:space="preserve">makes the </w:t>
      </w:r>
      <w:r w:rsidR="007C2236">
        <w:rPr>
          <w:rFonts w:asciiTheme="majorBidi" w:hAnsiTheme="majorBidi" w:cstheme="majorBidi"/>
          <w:sz w:val="20"/>
          <w:szCs w:val="20"/>
        </w:rPr>
        <w:t>following</w:t>
      </w:r>
      <w:r w:rsidR="00A34D9E" w:rsidRPr="0007257D">
        <w:rPr>
          <w:rFonts w:asciiTheme="majorBidi" w:hAnsiTheme="majorBidi" w:cstheme="majorBidi"/>
          <w:sz w:val="20"/>
          <w:szCs w:val="20"/>
        </w:rPr>
        <w:t xml:space="preserve"> ordering </w:t>
      </w:r>
      <w:r w:rsidR="004A32CC" w:rsidRPr="0007257D">
        <w:rPr>
          <w:rFonts w:asciiTheme="majorBidi" w:hAnsiTheme="majorBidi" w:cstheme="majorBidi"/>
          <w:sz w:val="20"/>
          <w:szCs w:val="20"/>
        </w:rPr>
        <w:t>an</w:t>
      </w:r>
      <w:r w:rsidR="00A34D9E" w:rsidRPr="0007257D">
        <w:rPr>
          <w:rFonts w:asciiTheme="majorBidi" w:hAnsiTheme="majorBidi" w:cstheme="majorBidi"/>
          <w:sz w:val="20"/>
          <w:szCs w:val="20"/>
        </w:rPr>
        <w:t xml:space="preserve"> optimal option for the functional sequence of Arabic </w:t>
      </w:r>
      <w:r w:rsidR="0007257D" w:rsidRPr="0007257D">
        <w:rPr>
          <w:rFonts w:asciiTheme="majorBidi" w:hAnsiTheme="majorBidi" w:cstheme="majorBidi"/>
          <w:sz w:val="20"/>
          <w:szCs w:val="20"/>
        </w:rPr>
        <w:t>Cs</w:t>
      </w:r>
      <w:r w:rsidR="00A34D9E" w:rsidRPr="0007257D">
        <w:rPr>
          <w:rFonts w:asciiTheme="majorBidi" w:hAnsiTheme="majorBidi" w:cstheme="majorBidi"/>
          <w:sz w:val="20"/>
          <w:szCs w:val="20"/>
        </w:rPr>
        <w:t xml:space="preserve">. </w:t>
      </w:r>
    </w:p>
    <w:p w14:paraId="687C5626" w14:textId="479EBD73" w:rsidR="0018099F" w:rsidRDefault="0018099F" w:rsidP="007C2236">
      <w:pPr>
        <w:spacing w:after="0"/>
        <w:jc w:val="both"/>
        <w:rPr>
          <w:rFonts w:asciiTheme="majorBidi" w:hAnsiTheme="majorBidi" w:cstheme="majorBidi"/>
          <w:sz w:val="20"/>
          <w:szCs w:val="20"/>
          <w:rtl/>
        </w:rPr>
      </w:pPr>
    </w:p>
    <w:p w14:paraId="2FD6BE65" w14:textId="5C52E575" w:rsidR="0018099F" w:rsidRDefault="0018099F" w:rsidP="007C2236">
      <w:pPr>
        <w:spacing w:after="0"/>
        <w:jc w:val="both"/>
        <w:rPr>
          <w:rFonts w:asciiTheme="majorBidi" w:hAnsiTheme="majorBidi" w:cstheme="majorBidi"/>
          <w:sz w:val="20"/>
          <w:szCs w:val="20"/>
          <w:rtl/>
        </w:rPr>
      </w:pPr>
    </w:p>
    <w:p w14:paraId="73399F41" w14:textId="77777777" w:rsidR="0018099F" w:rsidRDefault="0018099F" w:rsidP="007C2236">
      <w:pPr>
        <w:spacing w:after="0"/>
        <w:jc w:val="both"/>
        <w:rPr>
          <w:rFonts w:asciiTheme="majorBidi" w:hAnsiTheme="majorBidi" w:cstheme="majorBidi"/>
          <w:sz w:val="20"/>
          <w:szCs w:val="20"/>
        </w:rPr>
      </w:pPr>
    </w:p>
    <w:p w14:paraId="3278FB68" w14:textId="6651867E" w:rsidR="0018099F" w:rsidRDefault="0018099F" w:rsidP="007C2236">
      <w:pPr>
        <w:spacing w:after="0"/>
        <w:jc w:val="both"/>
        <w:rPr>
          <w:rFonts w:asciiTheme="majorBidi" w:hAnsiTheme="majorBidi" w:cstheme="majorBidi"/>
          <w:sz w:val="20"/>
          <w:szCs w:val="20"/>
        </w:rPr>
      </w:pPr>
    </w:p>
    <w:p w14:paraId="4D34A7EB" w14:textId="57020759" w:rsidR="00A34D9E" w:rsidRPr="0007257D" w:rsidRDefault="00A719EA" w:rsidP="003530E1">
      <w:pPr>
        <w:spacing w:after="0"/>
        <w:jc w:val="both"/>
        <w:rPr>
          <w:rFonts w:asciiTheme="majorBidi" w:hAnsiTheme="majorBidi" w:cstheme="majorBidi"/>
          <w:sz w:val="20"/>
          <w:szCs w:val="20"/>
          <w:lang w:val="fr-FR"/>
        </w:rPr>
      </w:pPr>
      <w:r>
        <w:rPr>
          <w:rFonts w:asciiTheme="majorBidi" w:hAnsiTheme="majorBidi" w:cstheme="majorBidi"/>
          <w:sz w:val="20"/>
          <w:szCs w:val="20"/>
        </w:rPr>
        <w:lastRenderedPageBreak/>
        <w:t>(7)</w:t>
      </w:r>
      <w:r w:rsidR="00A34D9E" w:rsidRPr="0007257D">
        <w:rPr>
          <w:rFonts w:asciiTheme="majorBidi" w:hAnsiTheme="majorBidi" w:cstheme="majorBidi"/>
          <w:sz w:val="20"/>
          <w:szCs w:val="20"/>
        </w:rPr>
        <w:t xml:space="preserve">                                                                                  </w:t>
      </w:r>
      <w:r w:rsidR="00A34D9E" w:rsidRPr="0007257D">
        <w:rPr>
          <w:rFonts w:asciiTheme="majorBidi" w:hAnsiTheme="majorBidi" w:cstheme="majorBidi"/>
          <w:sz w:val="20"/>
          <w:szCs w:val="20"/>
          <w:lang w:val="fr-FR"/>
        </w:rPr>
        <w:t xml:space="preserve">SA             JA         LA        </w:t>
      </w:r>
      <w:proofErr w:type="spellStart"/>
      <w:r w:rsidR="00A34D9E" w:rsidRPr="0007257D">
        <w:rPr>
          <w:rFonts w:asciiTheme="majorBidi" w:hAnsiTheme="majorBidi" w:cstheme="majorBidi"/>
          <w:sz w:val="20"/>
          <w:szCs w:val="20"/>
          <w:lang w:val="fr-FR"/>
        </w:rPr>
        <w:t>SnA</w:t>
      </w:r>
      <w:proofErr w:type="spellEnd"/>
    </w:p>
    <w:p w14:paraId="781AC041" w14:textId="63313217" w:rsidR="00A34D9E" w:rsidRPr="0007257D" w:rsidRDefault="00A34D9E" w:rsidP="00A34D9E">
      <w:pPr>
        <w:spacing w:after="0"/>
        <w:jc w:val="both"/>
        <w:rPr>
          <w:rFonts w:asciiTheme="majorBidi" w:hAnsiTheme="majorBidi" w:cstheme="majorBidi"/>
          <w:sz w:val="20"/>
          <w:szCs w:val="20"/>
          <w:lang w:val="fr-FR"/>
        </w:rPr>
      </w:pPr>
      <w:r w:rsidRPr="0007257D">
        <w:rPr>
          <w:rFonts w:asciiTheme="majorBidi" w:hAnsiTheme="majorBidi" w:cstheme="majorBidi"/>
          <w:sz w:val="20"/>
          <w:szCs w:val="20"/>
          <w:lang w:val="fr-FR"/>
        </w:rPr>
        <w:t xml:space="preserve">         a. [F1P F1]                                                      =&gt; /</w:t>
      </w:r>
      <w:proofErr w:type="spellStart"/>
      <w:r w:rsidRPr="0007257D">
        <w:rPr>
          <w:rFonts w:asciiTheme="majorBidi" w:hAnsiTheme="majorBidi" w:cstheme="majorBidi"/>
          <w:sz w:val="20"/>
          <w:szCs w:val="20"/>
          <w:lang w:val="fr-FR"/>
        </w:rPr>
        <w:t>ʔan</w:t>
      </w:r>
      <w:proofErr w:type="spellEnd"/>
      <w:r w:rsidRPr="0007257D">
        <w:rPr>
          <w:rFonts w:asciiTheme="majorBidi" w:hAnsiTheme="majorBidi" w:cstheme="majorBidi"/>
          <w:sz w:val="20"/>
          <w:szCs w:val="20"/>
          <w:lang w:val="fr-FR"/>
        </w:rPr>
        <w:t>/          /</w:t>
      </w:r>
      <w:proofErr w:type="spellStart"/>
      <w:r w:rsidRPr="0007257D">
        <w:rPr>
          <w:rFonts w:asciiTheme="majorBidi" w:hAnsiTheme="majorBidi" w:cstheme="majorBidi"/>
          <w:sz w:val="20"/>
          <w:szCs w:val="20"/>
          <w:lang w:val="fr-FR"/>
        </w:rPr>
        <w:t>ʔɪn</w:t>
      </w:r>
      <w:proofErr w:type="spellEnd"/>
      <w:r w:rsidRPr="0007257D">
        <w:rPr>
          <w:rFonts w:asciiTheme="majorBidi" w:hAnsiTheme="majorBidi" w:cstheme="majorBidi"/>
          <w:sz w:val="20"/>
          <w:szCs w:val="20"/>
          <w:lang w:val="fr-FR"/>
        </w:rPr>
        <w:t>/      /</w:t>
      </w:r>
      <w:proofErr w:type="spellStart"/>
      <w:r w:rsidRPr="0007257D">
        <w:rPr>
          <w:rFonts w:asciiTheme="majorBidi" w:hAnsiTheme="majorBidi" w:cstheme="majorBidi"/>
          <w:sz w:val="20"/>
          <w:szCs w:val="20"/>
          <w:lang w:val="fr-FR"/>
        </w:rPr>
        <w:t>ʔɘnno</w:t>
      </w:r>
      <w:proofErr w:type="spellEnd"/>
      <w:r w:rsidRPr="0007257D">
        <w:rPr>
          <w:rFonts w:asciiTheme="majorBidi" w:hAnsiTheme="majorBidi" w:cstheme="majorBidi"/>
          <w:sz w:val="20"/>
          <w:szCs w:val="20"/>
          <w:lang w:val="fr-FR"/>
        </w:rPr>
        <w:t>/     /ta/</w:t>
      </w:r>
    </w:p>
    <w:p w14:paraId="354E6E4E" w14:textId="474B9045" w:rsidR="00A34D9E" w:rsidRPr="0007257D" w:rsidRDefault="00A34D9E" w:rsidP="00A34D9E">
      <w:pPr>
        <w:spacing w:after="0"/>
        <w:jc w:val="both"/>
        <w:rPr>
          <w:rFonts w:asciiTheme="majorBidi" w:hAnsiTheme="majorBidi" w:cstheme="majorBidi"/>
          <w:sz w:val="20"/>
          <w:szCs w:val="20"/>
        </w:rPr>
      </w:pPr>
      <w:r w:rsidRPr="0007257D">
        <w:rPr>
          <w:rFonts w:asciiTheme="majorBidi" w:hAnsiTheme="majorBidi" w:cstheme="majorBidi"/>
          <w:sz w:val="20"/>
          <w:szCs w:val="20"/>
          <w:lang w:val="fr-FR"/>
        </w:rPr>
        <w:t xml:space="preserve">         </w:t>
      </w:r>
      <w:r w:rsidRPr="0007257D">
        <w:rPr>
          <w:rFonts w:asciiTheme="majorBidi" w:hAnsiTheme="majorBidi" w:cstheme="majorBidi"/>
          <w:sz w:val="20"/>
          <w:szCs w:val="20"/>
        </w:rPr>
        <w:t>b. [F2P F2 [F1P F1</w:t>
      </w:r>
      <w:proofErr w:type="gramStart"/>
      <w:r w:rsidRPr="0007257D">
        <w:rPr>
          <w:rFonts w:asciiTheme="majorBidi" w:hAnsiTheme="majorBidi" w:cstheme="majorBidi"/>
          <w:sz w:val="20"/>
          <w:szCs w:val="20"/>
        </w:rPr>
        <w:t xml:space="preserve">]]   </w:t>
      </w:r>
      <w:proofErr w:type="gramEnd"/>
      <w:r w:rsidRPr="0007257D">
        <w:rPr>
          <w:rFonts w:asciiTheme="majorBidi" w:hAnsiTheme="majorBidi" w:cstheme="majorBidi"/>
          <w:sz w:val="20"/>
          <w:szCs w:val="20"/>
        </w:rPr>
        <w:t xml:space="preserve">                                   =&gt; /</w:t>
      </w:r>
      <w:proofErr w:type="spellStart"/>
      <w:r w:rsidRPr="0007257D">
        <w:rPr>
          <w:rFonts w:asciiTheme="majorBidi" w:hAnsiTheme="majorBidi" w:cstheme="majorBidi"/>
          <w:sz w:val="20"/>
          <w:szCs w:val="20"/>
        </w:rPr>
        <w:t>ʔɪnna</w:t>
      </w:r>
      <w:proofErr w:type="spellEnd"/>
      <w:r w:rsidRPr="0007257D">
        <w:rPr>
          <w:rFonts w:asciiTheme="majorBidi" w:hAnsiTheme="majorBidi" w:cstheme="majorBidi"/>
          <w:sz w:val="20"/>
          <w:szCs w:val="20"/>
        </w:rPr>
        <w:t>/       /</w:t>
      </w:r>
      <w:proofErr w:type="spellStart"/>
      <w:r w:rsidRPr="0007257D">
        <w:rPr>
          <w:rFonts w:asciiTheme="majorBidi" w:hAnsiTheme="majorBidi" w:cstheme="majorBidi"/>
          <w:sz w:val="20"/>
          <w:szCs w:val="20"/>
        </w:rPr>
        <w:t>ʔɪn</w:t>
      </w:r>
      <w:proofErr w:type="spellEnd"/>
      <w:r w:rsidRPr="0007257D">
        <w:rPr>
          <w:rFonts w:asciiTheme="majorBidi" w:hAnsiTheme="majorBidi" w:cstheme="majorBidi"/>
          <w:sz w:val="20"/>
          <w:szCs w:val="20"/>
        </w:rPr>
        <w:t>/      /</w:t>
      </w:r>
      <w:proofErr w:type="spellStart"/>
      <w:r w:rsidRPr="0007257D">
        <w:rPr>
          <w:rFonts w:asciiTheme="majorBidi" w:hAnsiTheme="majorBidi" w:cstheme="majorBidi"/>
          <w:sz w:val="20"/>
          <w:szCs w:val="20"/>
        </w:rPr>
        <w:t>ʔɘnno</w:t>
      </w:r>
      <w:proofErr w:type="spellEnd"/>
      <w:r w:rsidRPr="0007257D">
        <w:rPr>
          <w:rFonts w:asciiTheme="majorBidi" w:hAnsiTheme="majorBidi" w:cstheme="majorBidi"/>
          <w:sz w:val="20"/>
          <w:szCs w:val="20"/>
        </w:rPr>
        <w:t>/     /le/</w:t>
      </w:r>
    </w:p>
    <w:p w14:paraId="1CEA875F" w14:textId="38EA7FC8" w:rsidR="00A34D9E" w:rsidRPr="0007257D" w:rsidRDefault="00A34D9E" w:rsidP="00A34D9E">
      <w:pPr>
        <w:spacing w:after="0"/>
        <w:jc w:val="both"/>
        <w:rPr>
          <w:rFonts w:asciiTheme="majorBidi" w:hAnsiTheme="majorBidi" w:cstheme="majorBidi"/>
          <w:sz w:val="20"/>
          <w:szCs w:val="20"/>
        </w:rPr>
      </w:pPr>
      <w:r w:rsidRPr="0007257D">
        <w:rPr>
          <w:rFonts w:asciiTheme="majorBidi" w:hAnsiTheme="majorBidi" w:cstheme="majorBidi"/>
          <w:sz w:val="20"/>
          <w:szCs w:val="20"/>
        </w:rPr>
        <w:t xml:space="preserve">         c. [F3P F3 [F2P F2 [F1P F1]</w:t>
      </w:r>
      <w:proofErr w:type="gramStart"/>
      <w:r w:rsidRPr="0007257D">
        <w:rPr>
          <w:rFonts w:asciiTheme="majorBidi" w:hAnsiTheme="majorBidi" w:cstheme="majorBidi"/>
          <w:sz w:val="20"/>
          <w:szCs w:val="20"/>
        </w:rPr>
        <w:t xml:space="preserve">]]   </w:t>
      </w:r>
      <w:proofErr w:type="gramEnd"/>
      <w:r w:rsidRPr="0007257D">
        <w:rPr>
          <w:rFonts w:asciiTheme="majorBidi" w:hAnsiTheme="majorBidi" w:cstheme="majorBidi"/>
          <w:sz w:val="20"/>
          <w:szCs w:val="20"/>
        </w:rPr>
        <w:t xml:space="preserve">                    =&gt; /ʔanna/      /</w:t>
      </w:r>
      <w:proofErr w:type="spellStart"/>
      <w:r w:rsidRPr="0007257D">
        <w:rPr>
          <w:rFonts w:asciiTheme="majorBidi" w:hAnsiTheme="majorBidi" w:cstheme="majorBidi"/>
          <w:sz w:val="20"/>
          <w:szCs w:val="20"/>
        </w:rPr>
        <w:t>ʔɪn</w:t>
      </w:r>
      <w:proofErr w:type="spellEnd"/>
      <w:r w:rsidRPr="0007257D">
        <w:rPr>
          <w:rFonts w:asciiTheme="majorBidi" w:hAnsiTheme="majorBidi" w:cstheme="majorBidi"/>
          <w:sz w:val="20"/>
          <w:szCs w:val="20"/>
        </w:rPr>
        <w:t>/      /</w:t>
      </w:r>
      <w:proofErr w:type="spellStart"/>
      <w:r w:rsidRPr="0007257D">
        <w:rPr>
          <w:rFonts w:asciiTheme="majorBidi" w:hAnsiTheme="majorBidi" w:cstheme="majorBidi"/>
          <w:sz w:val="20"/>
          <w:szCs w:val="20"/>
        </w:rPr>
        <w:t>ʔɘnno</w:t>
      </w:r>
      <w:proofErr w:type="spellEnd"/>
      <w:r w:rsidRPr="0007257D">
        <w:rPr>
          <w:rFonts w:asciiTheme="majorBidi" w:hAnsiTheme="majorBidi" w:cstheme="majorBidi"/>
          <w:sz w:val="20"/>
          <w:szCs w:val="20"/>
        </w:rPr>
        <w:t>/     /le/</w:t>
      </w:r>
    </w:p>
    <w:p w14:paraId="6C58039A" w14:textId="77777777" w:rsidR="00A34D9E" w:rsidRPr="0007257D" w:rsidRDefault="00A34D9E" w:rsidP="00A34D9E">
      <w:pPr>
        <w:spacing w:after="0"/>
        <w:jc w:val="both"/>
        <w:rPr>
          <w:rFonts w:asciiTheme="majorBidi" w:hAnsiTheme="majorBidi" w:cstheme="majorBidi"/>
          <w:sz w:val="20"/>
          <w:szCs w:val="20"/>
        </w:rPr>
      </w:pPr>
      <w:r w:rsidRPr="0007257D">
        <w:rPr>
          <w:rFonts w:asciiTheme="majorBidi" w:hAnsiTheme="majorBidi" w:cstheme="majorBidi"/>
          <w:sz w:val="20"/>
          <w:szCs w:val="20"/>
        </w:rPr>
        <w:t xml:space="preserve">         d. [F4P F4 [F3P F3 [F2P F2 [F1P F1]]</w:t>
      </w:r>
      <w:proofErr w:type="gramStart"/>
      <w:r w:rsidRPr="0007257D">
        <w:rPr>
          <w:rFonts w:asciiTheme="majorBidi" w:hAnsiTheme="majorBidi" w:cstheme="majorBidi"/>
          <w:sz w:val="20"/>
          <w:szCs w:val="20"/>
        </w:rPr>
        <w:t xml:space="preserve">]]   </w:t>
      </w:r>
      <w:proofErr w:type="gramEnd"/>
      <w:r w:rsidRPr="0007257D">
        <w:rPr>
          <w:rFonts w:asciiTheme="majorBidi" w:hAnsiTheme="majorBidi" w:cstheme="majorBidi"/>
          <w:sz w:val="20"/>
          <w:szCs w:val="20"/>
        </w:rPr>
        <w:t xml:space="preserve">    =&gt; /ʔanna/      /</w:t>
      </w:r>
      <w:proofErr w:type="spellStart"/>
      <w:r w:rsidRPr="0007257D">
        <w:rPr>
          <w:rFonts w:asciiTheme="majorBidi" w:hAnsiTheme="majorBidi" w:cstheme="majorBidi"/>
          <w:sz w:val="20"/>
          <w:szCs w:val="20"/>
        </w:rPr>
        <w:t>ʔɪn</w:t>
      </w:r>
      <w:proofErr w:type="spellEnd"/>
      <w:r w:rsidRPr="0007257D">
        <w:rPr>
          <w:rFonts w:asciiTheme="majorBidi" w:hAnsiTheme="majorBidi" w:cstheme="majorBidi"/>
          <w:sz w:val="20"/>
          <w:szCs w:val="20"/>
        </w:rPr>
        <w:t>/      /</w:t>
      </w:r>
      <w:proofErr w:type="spellStart"/>
      <w:r w:rsidRPr="0007257D">
        <w:rPr>
          <w:rFonts w:asciiTheme="majorBidi" w:hAnsiTheme="majorBidi" w:cstheme="majorBidi"/>
          <w:sz w:val="20"/>
          <w:szCs w:val="20"/>
        </w:rPr>
        <w:t>ʔɘnno</w:t>
      </w:r>
      <w:proofErr w:type="spellEnd"/>
      <w:r w:rsidRPr="0007257D">
        <w:rPr>
          <w:rFonts w:asciiTheme="majorBidi" w:hAnsiTheme="majorBidi" w:cstheme="majorBidi"/>
          <w:sz w:val="20"/>
          <w:szCs w:val="20"/>
        </w:rPr>
        <w:t>/     /le/</w:t>
      </w:r>
    </w:p>
    <w:p w14:paraId="71605DEC" w14:textId="4281EA72" w:rsidR="000A03BB" w:rsidRDefault="007C2236" w:rsidP="00A719EA">
      <w:pPr>
        <w:spacing w:after="0"/>
        <w:jc w:val="both"/>
        <w:rPr>
          <w:rFonts w:asciiTheme="majorBidi" w:hAnsiTheme="majorBidi" w:cstheme="majorBidi"/>
          <w:sz w:val="20"/>
          <w:szCs w:val="20"/>
        </w:rPr>
      </w:pPr>
      <w:r>
        <w:rPr>
          <w:rFonts w:asciiTheme="majorBidi" w:hAnsiTheme="majorBidi" w:cstheme="majorBidi"/>
          <w:sz w:val="20"/>
          <w:szCs w:val="20"/>
        </w:rPr>
        <w:t xml:space="preserve">As </w:t>
      </w:r>
      <w:r w:rsidR="003F1489">
        <w:rPr>
          <w:rFonts w:asciiTheme="majorBidi" w:hAnsiTheme="majorBidi" w:cstheme="majorBidi"/>
          <w:sz w:val="20"/>
          <w:szCs w:val="20"/>
        </w:rPr>
        <w:t xml:space="preserve">a </w:t>
      </w:r>
      <w:r>
        <w:rPr>
          <w:rFonts w:asciiTheme="majorBidi" w:hAnsiTheme="majorBidi" w:cstheme="majorBidi"/>
          <w:sz w:val="20"/>
          <w:szCs w:val="20"/>
        </w:rPr>
        <w:t>trigger</w:t>
      </w:r>
      <w:r w:rsidR="003F1489">
        <w:rPr>
          <w:rFonts w:asciiTheme="majorBidi" w:hAnsiTheme="majorBidi" w:cstheme="majorBidi"/>
          <w:sz w:val="20"/>
          <w:szCs w:val="20"/>
        </w:rPr>
        <w:t xml:space="preserve"> of</w:t>
      </w:r>
      <w:r>
        <w:rPr>
          <w:rFonts w:asciiTheme="majorBidi" w:hAnsiTheme="majorBidi" w:cstheme="majorBidi"/>
          <w:sz w:val="20"/>
          <w:szCs w:val="20"/>
        </w:rPr>
        <w:t xml:space="preserve"> different degrees of presupposition (veridical </w:t>
      </w:r>
      <w:r w:rsidR="003F1489">
        <w:rPr>
          <w:rFonts w:asciiTheme="majorBidi" w:hAnsiTheme="majorBidi" w:cstheme="majorBidi"/>
          <w:sz w:val="20"/>
          <w:szCs w:val="20"/>
        </w:rPr>
        <w:t>&gt;</w:t>
      </w:r>
      <w:r>
        <w:rPr>
          <w:rFonts w:asciiTheme="majorBidi" w:hAnsiTheme="majorBidi" w:cstheme="majorBidi"/>
          <w:sz w:val="20"/>
          <w:szCs w:val="20"/>
        </w:rPr>
        <w:t xml:space="preserve"> nonveridical</w:t>
      </w:r>
      <w:r w:rsidR="003530E1">
        <w:rPr>
          <w:rFonts w:asciiTheme="majorBidi" w:hAnsiTheme="majorBidi" w:cstheme="majorBidi"/>
          <w:sz w:val="20"/>
          <w:szCs w:val="20"/>
        </w:rPr>
        <w:t xml:space="preserve">), </w:t>
      </w:r>
      <w:r>
        <w:rPr>
          <w:rFonts w:asciiTheme="majorBidi" w:hAnsiTheme="majorBidi" w:cstheme="majorBidi"/>
          <w:sz w:val="20"/>
          <w:szCs w:val="20"/>
        </w:rPr>
        <w:t>factivity affect</w:t>
      </w:r>
      <w:r w:rsidR="00A719EA">
        <w:rPr>
          <w:rFonts w:asciiTheme="majorBidi" w:hAnsiTheme="majorBidi" w:cstheme="majorBidi"/>
          <w:sz w:val="20"/>
          <w:szCs w:val="20"/>
        </w:rPr>
        <w:t xml:space="preserve">s </w:t>
      </w:r>
      <w:r w:rsidR="00482565" w:rsidRPr="0007257D">
        <w:rPr>
          <w:rFonts w:asciiTheme="majorBidi" w:hAnsiTheme="majorBidi" w:cstheme="majorBidi"/>
          <w:sz w:val="20"/>
          <w:szCs w:val="20"/>
        </w:rPr>
        <w:t xml:space="preserve">Arabic </w:t>
      </w:r>
      <w:r w:rsidR="0007257D" w:rsidRPr="0007257D">
        <w:rPr>
          <w:rFonts w:asciiTheme="majorBidi" w:hAnsiTheme="majorBidi" w:cstheme="majorBidi"/>
          <w:sz w:val="20"/>
          <w:szCs w:val="20"/>
        </w:rPr>
        <w:t>Cs</w:t>
      </w:r>
      <w:r w:rsidR="00A719EA">
        <w:rPr>
          <w:rFonts w:asciiTheme="majorBidi" w:hAnsiTheme="majorBidi" w:cstheme="majorBidi"/>
          <w:sz w:val="20"/>
          <w:szCs w:val="20"/>
        </w:rPr>
        <w:t>.</w:t>
      </w:r>
      <w:r w:rsidR="00186B3C" w:rsidRPr="0007257D">
        <w:rPr>
          <w:rFonts w:asciiTheme="majorBidi" w:hAnsiTheme="majorBidi" w:cstheme="majorBidi"/>
          <w:sz w:val="20"/>
          <w:szCs w:val="20"/>
        </w:rPr>
        <w:t xml:space="preserve"> </w:t>
      </w:r>
      <w:r w:rsidR="00A719EA">
        <w:rPr>
          <w:rFonts w:asciiTheme="majorBidi" w:hAnsiTheme="majorBidi" w:cstheme="majorBidi"/>
          <w:sz w:val="20"/>
          <w:szCs w:val="20"/>
          <w:lang w:val="en-US"/>
        </w:rPr>
        <w:t>Cs</w:t>
      </w:r>
      <w:r w:rsidR="009426D8" w:rsidRPr="0007257D">
        <w:rPr>
          <w:rFonts w:asciiTheme="majorBidi" w:hAnsiTheme="majorBidi" w:cstheme="majorBidi"/>
          <w:sz w:val="20"/>
          <w:szCs w:val="20"/>
        </w:rPr>
        <w:t xml:space="preserve"> can be used in clause</w:t>
      </w:r>
      <w:r w:rsidR="001D69F1">
        <w:rPr>
          <w:rFonts w:asciiTheme="majorBidi" w:hAnsiTheme="majorBidi" w:cstheme="majorBidi"/>
          <w:sz w:val="20"/>
          <w:szCs w:val="20"/>
        </w:rPr>
        <w:t>-</w:t>
      </w:r>
      <w:r w:rsidR="009426D8" w:rsidRPr="0007257D">
        <w:rPr>
          <w:rFonts w:asciiTheme="majorBidi" w:hAnsiTheme="majorBidi" w:cstheme="majorBidi"/>
          <w:sz w:val="20"/>
          <w:szCs w:val="20"/>
        </w:rPr>
        <w:t>initial positions</w:t>
      </w:r>
      <w:r w:rsidR="00430021" w:rsidRPr="0007257D">
        <w:rPr>
          <w:rFonts w:asciiTheme="majorBidi" w:hAnsiTheme="majorBidi" w:cstheme="majorBidi"/>
          <w:sz w:val="20"/>
          <w:szCs w:val="20"/>
        </w:rPr>
        <w:t>,</w:t>
      </w:r>
      <w:r w:rsidR="00F03BA2" w:rsidRPr="0007257D">
        <w:rPr>
          <w:rFonts w:asciiTheme="majorBidi" w:hAnsiTheme="majorBidi" w:cstheme="majorBidi"/>
          <w:sz w:val="20"/>
          <w:szCs w:val="20"/>
        </w:rPr>
        <w:t xml:space="preserve"> only if their use</w:t>
      </w:r>
      <w:r w:rsidR="009426D8" w:rsidRPr="0007257D">
        <w:rPr>
          <w:rFonts w:asciiTheme="majorBidi" w:hAnsiTheme="majorBidi" w:cstheme="majorBidi"/>
          <w:sz w:val="20"/>
          <w:szCs w:val="20"/>
        </w:rPr>
        <w:t xml:space="preserve"> </w:t>
      </w:r>
      <w:r w:rsidR="00A719EA">
        <w:rPr>
          <w:rFonts w:asciiTheme="majorBidi" w:hAnsiTheme="majorBidi" w:cstheme="majorBidi"/>
          <w:sz w:val="20"/>
          <w:szCs w:val="20"/>
        </w:rPr>
        <w:t xml:space="preserve">is not syncretic and </w:t>
      </w:r>
      <w:r w:rsidR="009426D8" w:rsidRPr="0007257D">
        <w:rPr>
          <w:rFonts w:asciiTheme="majorBidi" w:hAnsiTheme="majorBidi" w:cstheme="majorBidi"/>
          <w:sz w:val="20"/>
          <w:szCs w:val="20"/>
        </w:rPr>
        <w:t>enables the recoverability of presupposed information</w:t>
      </w:r>
      <w:r w:rsidR="00A719EA">
        <w:rPr>
          <w:rFonts w:asciiTheme="majorBidi" w:hAnsiTheme="majorBidi" w:cstheme="majorBidi"/>
          <w:sz w:val="20"/>
          <w:szCs w:val="20"/>
        </w:rPr>
        <w:t xml:space="preserve"> without intersection.</w:t>
      </w:r>
      <w:r w:rsidR="008971D4">
        <w:rPr>
          <w:rFonts w:asciiTheme="majorBidi" w:hAnsiTheme="majorBidi" w:cstheme="majorBidi"/>
          <w:sz w:val="20"/>
          <w:szCs w:val="20"/>
        </w:rPr>
        <w:t xml:space="preserve"> </w:t>
      </w:r>
      <w:r w:rsidR="003530E1">
        <w:rPr>
          <w:rFonts w:asciiTheme="majorBidi" w:hAnsiTheme="majorBidi" w:cstheme="majorBidi"/>
          <w:sz w:val="20"/>
          <w:szCs w:val="20"/>
        </w:rPr>
        <w:t xml:space="preserve">In addition to supporting </w:t>
      </w:r>
      <w:proofErr w:type="spellStart"/>
      <w:r w:rsidR="003530E1" w:rsidRPr="0007257D">
        <w:rPr>
          <w:rFonts w:asciiTheme="majorBidi" w:hAnsiTheme="majorBidi" w:cstheme="majorBidi"/>
          <w:sz w:val="20"/>
          <w:szCs w:val="20"/>
        </w:rPr>
        <w:t>Baunaz</w:t>
      </w:r>
      <w:proofErr w:type="spellEnd"/>
      <w:r w:rsidR="003F1489">
        <w:rPr>
          <w:rFonts w:asciiTheme="majorBidi" w:hAnsiTheme="majorBidi" w:cstheme="majorBidi"/>
          <w:sz w:val="20"/>
          <w:szCs w:val="20"/>
        </w:rPr>
        <w:t>’</w:t>
      </w:r>
      <w:r w:rsidR="003530E1">
        <w:rPr>
          <w:rFonts w:asciiTheme="majorBidi" w:hAnsiTheme="majorBidi" w:cstheme="majorBidi"/>
          <w:sz w:val="20"/>
          <w:szCs w:val="20"/>
        </w:rPr>
        <w:t xml:space="preserve"> </w:t>
      </w:r>
      <w:r w:rsidR="003F1489">
        <w:rPr>
          <w:rFonts w:asciiTheme="majorBidi" w:hAnsiTheme="majorBidi" w:cstheme="majorBidi"/>
          <w:sz w:val="20"/>
          <w:szCs w:val="20"/>
        </w:rPr>
        <w:t>(</w:t>
      </w:r>
      <w:r w:rsidR="003530E1">
        <w:rPr>
          <w:rFonts w:asciiTheme="majorBidi" w:hAnsiTheme="majorBidi" w:cstheme="majorBidi"/>
          <w:sz w:val="20"/>
          <w:szCs w:val="20"/>
        </w:rPr>
        <w:t xml:space="preserve">2018) conclusion, the study shows </w:t>
      </w:r>
      <w:r w:rsidR="001D69F1">
        <w:rPr>
          <w:rFonts w:asciiTheme="majorBidi" w:hAnsiTheme="majorBidi" w:cstheme="majorBidi"/>
          <w:sz w:val="20"/>
          <w:szCs w:val="20"/>
        </w:rPr>
        <w:t>how</w:t>
      </w:r>
      <w:r w:rsidR="003530E1">
        <w:rPr>
          <w:rFonts w:asciiTheme="majorBidi" w:hAnsiTheme="majorBidi" w:cstheme="majorBidi"/>
          <w:sz w:val="20"/>
          <w:szCs w:val="20"/>
        </w:rPr>
        <w:t xml:space="preserve"> a cognizant point of view can affect veridicality and the selection of Cs cross-linguistically.</w:t>
      </w:r>
    </w:p>
    <w:p w14:paraId="43B33FC9" w14:textId="28AA36E2" w:rsidR="003530E1" w:rsidRPr="004E5B3B" w:rsidRDefault="003530E1" w:rsidP="003530E1">
      <w:pPr>
        <w:pStyle w:val="Bibliography"/>
        <w:spacing w:line="240" w:lineRule="auto"/>
        <w:ind w:left="0" w:firstLine="0"/>
        <w:jc w:val="both"/>
        <w:rPr>
          <w:sz w:val="20"/>
          <w:szCs w:val="20"/>
        </w:rPr>
      </w:pPr>
      <w:r w:rsidRPr="004E5B3B">
        <w:rPr>
          <w:rFonts w:asciiTheme="majorBidi" w:hAnsiTheme="majorBidi" w:cstheme="majorBidi"/>
          <w:b/>
          <w:bCs/>
          <w:sz w:val="20"/>
          <w:szCs w:val="20"/>
        </w:rPr>
        <w:t xml:space="preserve">Works Cited: </w:t>
      </w:r>
      <w:r w:rsidRPr="004E5B3B">
        <w:rPr>
          <w:rFonts w:asciiTheme="majorBidi" w:hAnsiTheme="majorBidi" w:cstheme="majorBidi"/>
          <w:sz w:val="20"/>
          <w:szCs w:val="20"/>
        </w:rPr>
        <w:fldChar w:fldCharType="begin"/>
      </w:r>
      <w:r w:rsidRPr="004E5B3B">
        <w:rPr>
          <w:rFonts w:asciiTheme="majorBidi" w:hAnsiTheme="majorBidi" w:cstheme="majorBidi"/>
          <w:sz w:val="20"/>
          <w:szCs w:val="20"/>
        </w:rPr>
        <w:instrText xml:space="preserve"> ADDIN ZOTERO_BIBL {"uncited":[],"omitted":[],"custom":[]} CSL_BIBLIOGRAPHY </w:instrText>
      </w:r>
      <w:r w:rsidRPr="004E5B3B">
        <w:rPr>
          <w:rFonts w:asciiTheme="majorBidi" w:hAnsiTheme="majorBidi" w:cstheme="majorBidi"/>
          <w:sz w:val="20"/>
          <w:szCs w:val="20"/>
        </w:rPr>
        <w:fldChar w:fldCharType="separate"/>
      </w:r>
      <w:r w:rsidRPr="004E5B3B">
        <w:rPr>
          <w:rFonts w:ascii="Times New Roman" w:hAnsi="Times New Roman" w:cs="Times New Roman"/>
          <w:sz w:val="20"/>
          <w:szCs w:val="20"/>
        </w:rPr>
        <w:t xml:space="preserve">Ahmed, H. (2015). </w:t>
      </w:r>
      <w:r w:rsidRPr="004E5B3B">
        <w:rPr>
          <w:rFonts w:ascii="Times New Roman" w:hAnsi="Times New Roman" w:cs="Times New Roman"/>
          <w:i/>
          <w:iCs/>
          <w:sz w:val="20"/>
          <w:szCs w:val="20"/>
        </w:rPr>
        <w:t>Verbal Complementizers in Arabic</w:t>
      </w:r>
      <w:r w:rsidRPr="004E5B3B">
        <w:rPr>
          <w:rFonts w:ascii="Times New Roman" w:hAnsi="Times New Roman" w:cs="Times New Roman"/>
          <w:sz w:val="20"/>
          <w:szCs w:val="20"/>
        </w:rPr>
        <w:t xml:space="preserve">. The University of Utah, United States. Baunaz, L., Lander, E. (2018). Deconstructing categories syncretic with the nominal complementizer. </w:t>
      </w:r>
      <w:r w:rsidRPr="004E5B3B">
        <w:rPr>
          <w:rFonts w:ascii="Times New Roman" w:hAnsi="Times New Roman" w:cs="Times New Roman"/>
          <w:i/>
          <w:iCs/>
          <w:sz w:val="20"/>
          <w:szCs w:val="20"/>
        </w:rPr>
        <w:t>Glossa:  Journal of General Linguistics</w:t>
      </w:r>
      <w:r w:rsidRPr="004E5B3B">
        <w:rPr>
          <w:rFonts w:ascii="Times New Roman" w:hAnsi="Times New Roman" w:cs="Times New Roman"/>
          <w:sz w:val="20"/>
          <w:szCs w:val="20"/>
        </w:rPr>
        <w:t xml:space="preserve">, </w:t>
      </w:r>
      <w:r w:rsidRPr="004E5B3B">
        <w:rPr>
          <w:rFonts w:ascii="Times New Roman" w:hAnsi="Times New Roman" w:cs="Times New Roman"/>
          <w:i/>
          <w:iCs/>
          <w:sz w:val="20"/>
          <w:szCs w:val="20"/>
        </w:rPr>
        <w:t>3</w:t>
      </w:r>
      <w:r w:rsidRPr="004E5B3B">
        <w:rPr>
          <w:rFonts w:ascii="Times New Roman" w:hAnsi="Times New Roman" w:cs="Times New Roman"/>
          <w:sz w:val="20"/>
          <w:szCs w:val="20"/>
        </w:rPr>
        <w:t xml:space="preserve">(1). Caha, P. (2009). </w:t>
      </w:r>
      <w:r w:rsidRPr="004E5B3B">
        <w:rPr>
          <w:rFonts w:ascii="Times New Roman" w:hAnsi="Times New Roman" w:cs="Times New Roman"/>
          <w:i/>
          <w:iCs/>
          <w:sz w:val="20"/>
          <w:szCs w:val="20"/>
        </w:rPr>
        <w:t>The nanosyntax of case</w:t>
      </w:r>
      <w:r w:rsidRPr="004E5B3B">
        <w:rPr>
          <w:rFonts w:ascii="Times New Roman" w:hAnsi="Times New Roman" w:cs="Times New Roman"/>
          <w:sz w:val="20"/>
          <w:szCs w:val="20"/>
        </w:rPr>
        <w:t xml:space="preserve"> (Ph.D.). University of Tromso. Jarrah, M. (2019a). Factivity and subject extraction in Jordanian Arabic. </w:t>
      </w:r>
      <w:r w:rsidRPr="004E5B3B">
        <w:rPr>
          <w:rFonts w:ascii="Times New Roman" w:hAnsi="Times New Roman" w:cs="Times New Roman"/>
          <w:i/>
          <w:iCs/>
          <w:sz w:val="20"/>
          <w:szCs w:val="20"/>
        </w:rPr>
        <w:t>Lingua</w:t>
      </w:r>
      <w:r w:rsidRPr="004E5B3B">
        <w:rPr>
          <w:rFonts w:ascii="Times New Roman" w:hAnsi="Times New Roman" w:cs="Times New Roman"/>
          <w:sz w:val="20"/>
          <w:szCs w:val="20"/>
        </w:rPr>
        <w:t xml:space="preserve">, </w:t>
      </w:r>
      <w:r w:rsidRPr="004E5B3B">
        <w:rPr>
          <w:rFonts w:ascii="Times New Roman" w:hAnsi="Times New Roman" w:cs="Times New Roman"/>
          <w:i/>
          <w:iCs/>
          <w:sz w:val="20"/>
          <w:szCs w:val="20"/>
        </w:rPr>
        <w:t>219</w:t>
      </w:r>
      <w:r w:rsidRPr="004E5B3B">
        <w:rPr>
          <w:rFonts w:ascii="Times New Roman" w:hAnsi="Times New Roman" w:cs="Times New Roman"/>
          <w:sz w:val="20"/>
          <w:szCs w:val="20"/>
        </w:rPr>
        <w:t xml:space="preserve">, 106–126. Jarrah, M. (2019b). Record your Agree: A case study of the Arabic complementizer </w:t>
      </w:r>
      <w:r w:rsidRPr="004E5B3B">
        <w:rPr>
          <w:rFonts w:ascii="Times New Roman" w:hAnsi="Times New Roman" w:cs="Times New Roman"/>
          <w:i/>
          <w:iCs/>
          <w:sz w:val="20"/>
          <w:szCs w:val="20"/>
        </w:rPr>
        <w:t>ʔinn</w:t>
      </w:r>
      <w:r w:rsidRPr="004E5B3B">
        <w:rPr>
          <w:rFonts w:ascii="Times New Roman" w:hAnsi="Times New Roman" w:cs="Times New Roman"/>
          <w:sz w:val="20"/>
          <w:szCs w:val="20"/>
        </w:rPr>
        <w:t xml:space="preserve">. </w:t>
      </w:r>
      <w:r w:rsidRPr="004E5B3B">
        <w:rPr>
          <w:rFonts w:ascii="Times New Roman" w:hAnsi="Times New Roman" w:cs="Times New Roman"/>
          <w:i/>
          <w:iCs/>
          <w:sz w:val="20"/>
          <w:szCs w:val="20"/>
        </w:rPr>
        <w:t>Journal of Linguistics</w:t>
      </w:r>
      <w:r w:rsidRPr="004E5B3B">
        <w:rPr>
          <w:rFonts w:ascii="Times New Roman" w:hAnsi="Times New Roman" w:cs="Times New Roman"/>
          <w:sz w:val="20"/>
          <w:szCs w:val="20"/>
        </w:rPr>
        <w:t xml:space="preserve">, </w:t>
      </w:r>
      <w:r w:rsidRPr="004E5B3B">
        <w:rPr>
          <w:rFonts w:ascii="Times New Roman" w:hAnsi="Times New Roman" w:cs="Times New Roman"/>
          <w:i/>
          <w:iCs/>
          <w:sz w:val="20"/>
          <w:szCs w:val="20"/>
        </w:rPr>
        <w:t>55</w:t>
      </w:r>
      <w:r w:rsidRPr="004E5B3B">
        <w:rPr>
          <w:rFonts w:ascii="Times New Roman" w:hAnsi="Times New Roman" w:cs="Times New Roman"/>
          <w:sz w:val="20"/>
          <w:szCs w:val="20"/>
        </w:rPr>
        <w:t xml:space="preserve">(1), 83–122. Lena, B. (2018). Decomposing Complementizers: The functional secquence of French, Modern Greek,Serbo-Croatian, and Bulgarian Complementizers. In L. Baunz, K. De Clercq, L. Haegman, &amp; E. Lander (Eds.), </w:t>
      </w:r>
      <w:r w:rsidRPr="004E5B3B">
        <w:rPr>
          <w:rFonts w:ascii="Times New Roman" w:hAnsi="Times New Roman" w:cs="Times New Roman"/>
          <w:i/>
          <w:iCs/>
          <w:sz w:val="20"/>
          <w:szCs w:val="20"/>
        </w:rPr>
        <w:t>Exploring Nanosyntax</w:t>
      </w:r>
      <w:r w:rsidRPr="004E5B3B">
        <w:rPr>
          <w:rFonts w:ascii="Times New Roman" w:hAnsi="Times New Roman" w:cs="Times New Roman"/>
          <w:sz w:val="20"/>
          <w:szCs w:val="20"/>
        </w:rPr>
        <w:t xml:space="preserve">. Oxford University Press. Ouhalla, J. (1994). Verb movement and word order in Arabic. In D. Lightfoot &amp; N. Hornstein (Eds.), </w:t>
      </w:r>
      <w:r w:rsidRPr="004E5B3B">
        <w:rPr>
          <w:rFonts w:ascii="Times New Roman" w:hAnsi="Times New Roman" w:cs="Times New Roman"/>
          <w:i/>
          <w:iCs/>
          <w:sz w:val="20"/>
          <w:szCs w:val="20"/>
        </w:rPr>
        <w:t>Verb Movement</w:t>
      </w:r>
      <w:r w:rsidRPr="004E5B3B">
        <w:rPr>
          <w:rFonts w:ascii="Times New Roman" w:hAnsi="Times New Roman" w:cs="Times New Roman"/>
          <w:sz w:val="20"/>
          <w:szCs w:val="20"/>
        </w:rPr>
        <w:t xml:space="preserve">.  Ross, J. (1970). On Declarative Sentences. In R. Jacobs &amp; P. Rosenbaum, </w:t>
      </w:r>
      <w:r w:rsidRPr="004E5B3B">
        <w:rPr>
          <w:rFonts w:ascii="Times New Roman" w:hAnsi="Times New Roman" w:cs="Times New Roman"/>
          <w:i/>
          <w:iCs/>
          <w:sz w:val="20"/>
          <w:szCs w:val="20"/>
        </w:rPr>
        <w:t>Readings in English Transformational Grammar</w:t>
      </w:r>
      <w:r w:rsidRPr="004E5B3B">
        <w:rPr>
          <w:rFonts w:ascii="Times New Roman" w:hAnsi="Times New Roman" w:cs="Times New Roman"/>
          <w:sz w:val="20"/>
          <w:szCs w:val="20"/>
        </w:rPr>
        <w:t xml:space="preserve"> (pp. 22–227). Ginn and Company. Shlonsky, U. (1997). </w:t>
      </w:r>
      <w:r w:rsidRPr="004E5B3B">
        <w:rPr>
          <w:rFonts w:ascii="Times New Roman" w:hAnsi="Times New Roman" w:cs="Times New Roman"/>
          <w:i/>
          <w:iCs/>
          <w:sz w:val="20"/>
          <w:szCs w:val="20"/>
        </w:rPr>
        <w:t>Clause Structure and Word Order in Hebrew and Arabic: An Essay in Comparative Semitic Syntax</w:t>
      </w:r>
      <w:r w:rsidRPr="004E5B3B">
        <w:rPr>
          <w:rFonts w:ascii="Times New Roman" w:hAnsi="Times New Roman" w:cs="Times New Roman"/>
          <w:sz w:val="20"/>
          <w:szCs w:val="20"/>
        </w:rPr>
        <w:t xml:space="preserve">. Oxford University Press.Soltan, U. (2006). Standard Arabic subject-verb agreement asymmetry revisited in an Agree-based minimalist syntax. In C. Boeckx (Ed.), </w:t>
      </w:r>
      <w:r w:rsidRPr="004E5B3B">
        <w:rPr>
          <w:rFonts w:ascii="Times New Roman" w:hAnsi="Times New Roman" w:cs="Times New Roman"/>
          <w:i/>
          <w:iCs/>
          <w:sz w:val="20"/>
          <w:szCs w:val="20"/>
        </w:rPr>
        <w:t>Linguistik Aktuell/Linguistics Today</w:t>
      </w:r>
      <w:r w:rsidRPr="004E5B3B">
        <w:rPr>
          <w:rFonts w:ascii="Times New Roman" w:hAnsi="Times New Roman" w:cs="Times New Roman"/>
          <w:sz w:val="20"/>
          <w:szCs w:val="20"/>
        </w:rPr>
        <w:t xml:space="preserve"> (Vol. 92, pp. 239–265). Starke, M. (2009). Nanosyntax A short primer to a new approach to language. Nordlyd (6) 1-10.</w:t>
      </w:r>
      <w:r w:rsidRPr="004E5B3B">
        <w:rPr>
          <w:rFonts w:asciiTheme="majorBidi" w:hAnsiTheme="majorBidi" w:cstheme="majorBidi"/>
          <w:sz w:val="20"/>
          <w:szCs w:val="20"/>
        </w:rPr>
        <w:fldChar w:fldCharType="end"/>
      </w:r>
    </w:p>
    <w:p w14:paraId="0A482FE5" w14:textId="77777777" w:rsidR="008971D4" w:rsidRDefault="008971D4" w:rsidP="00A719EA">
      <w:pPr>
        <w:spacing w:after="0"/>
        <w:jc w:val="both"/>
      </w:pPr>
    </w:p>
    <w:sectPr w:rsidR="008971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04451" w14:textId="77777777" w:rsidR="00551489" w:rsidRDefault="00551489" w:rsidP="00482565">
      <w:pPr>
        <w:spacing w:after="0" w:line="240" w:lineRule="auto"/>
      </w:pPr>
      <w:r>
        <w:separator/>
      </w:r>
    </w:p>
  </w:endnote>
  <w:endnote w:type="continuationSeparator" w:id="0">
    <w:p w14:paraId="6CB40CE0" w14:textId="77777777" w:rsidR="00551489" w:rsidRDefault="00551489" w:rsidP="0048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A84ED" w14:textId="77777777" w:rsidR="00551489" w:rsidRDefault="00551489" w:rsidP="00482565">
      <w:pPr>
        <w:spacing w:after="0" w:line="240" w:lineRule="auto"/>
      </w:pPr>
      <w:r>
        <w:separator/>
      </w:r>
    </w:p>
  </w:footnote>
  <w:footnote w:type="continuationSeparator" w:id="0">
    <w:p w14:paraId="360E0213" w14:textId="77777777" w:rsidR="00551489" w:rsidRDefault="00551489" w:rsidP="00482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NDE3NzcxMTUwMzFS0lEKTi0uzszPAykwrwUAVAb6MCwAAAA="/>
  </w:docVars>
  <w:rsids>
    <w:rsidRoot w:val="00B51668"/>
    <w:rsid w:val="0007257D"/>
    <w:rsid w:val="00093523"/>
    <w:rsid w:val="000A03BB"/>
    <w:rsid w:val="000B1F14"/>
    <w:rsid w:val="000C29DB"/>
    <w:rsid w:val="00106E70"/>
    <w:rsid w:val="00145ED8"/>
    <w:rsid w:val="0018099F"/>
    <w:rsid w:val="00186B3C"/>
    <w:rsid w:val="00194B52"/>
    <w:rsid w:val="001C2BFD"/>
    <w:rsid w:val="001D69F1"/>
    <w:rsid w:val="00275822"/>
    <w:rsid w:val="002A19FD"/>
    <w:rsid w:val="00320D10"/>
    <w:rsid w:val="003530E1"/>
    <w:rsid w:val="003929CD"/>
    <w:rsid w:val="003A20C9"/>
    <w:rsid w:val="003C162C"/>
    <w:rsid w:val="003F1489"/>
    <w:rsid w:val="00430021"/>
    <w:rsid w:val="00482565"/>
    <w:rsid w:val="004A040B"/>
    <w:rsid w:val="004A32CC"/>
    <w:rsid w:val="004E0E3B"/>
    <w:rsid w:val="004E5B3B"/>
    <w:rsid w:val="00502CC4"/>
    <w:rsid w:val="00551489"/>
    <w:rsid w:val="005C1BF6"/>
    <w:rsid w:val="005E2C9A"/>
    <w:rsid w:val="00617E5C"/>
    <w:rsid w:val="00626DBE"/>
    <w:rsid w:val="00644215"/>
    <w:rsid w:val="006B284B"/>
    <w:rsid w:val="00740566"/>
    <w:rsid w:val="00741D03"/>
    <w:rsid w:val="0079160E"/>
    <w:rsid w:val="007947D6"/>
    <w:rsid w:val="007C2236"/>
    <w:rsid w:val="007E7CF6"/>
    <w:rsid w:val="007F5AA0"/>
    <w:rsid w:val="00806D12"/>
    <w:rsid w:val="0083530D"/>
    <w:rsid w:val="00844746"/>
    <w:rsid w:val="00864C0C"/>
    <w:rsid w:val="00895336"/>
    <w:rsid w:val="008971D4"/>
    <w:rsid w:val="008B14F1"/>
    <w:rsid w:val="008C4E49"/>
    <w:rsid w:val="008E07BB"/>
    <w:rsid w:val="008F3D24"/>
    <w:rsid w:val="00931594"/>
    <w:rsid w:val="009426D8"/>
    <w:rsid w:val="00986676"/>
    <w:rsid w:val="009A035A"/>
    <w:rsid w:val="00A34D9E"/>
    <w:rsid w:val="00A5310D"/>
    <w:rsid w:val="00A719EA"/>
    <w:rsid w:val="00AB560E"/>
    <w:rsid w:val="00AD0F62"/>
    <w:rsid w:val="00AE2ACD"/>
    <w:rsid w:val="00AF0893"/>
    <w:rsid w:val="00AF104B"/>
    <w:rsid w:val="00B115BC"/>
    <w:rsid w:val="00B17899"/>
    <w:rsid w:val="00B2319D"/>
    <w:rsid w:val="00B24824"/>
    <w:rsid w:val="00B51668"/>
    <w:rsid w:val="00B77DDB"/>
    <w:rsid w:val="00BC0527"/>
    <w:rsid w:val="00BD7262"/>
    <w:rsid w:val="00C45740"/>
    <w:rsid w:val="00C474B2"/>
    <w:rsid w:val="00C8150F"/>
    <w:rsid w:val="00D116CE"/>
    <w:rsid w:val="00D25F89"/>
    <w:rsid w:val="00E00283"/>
    <w:rsid w:val="00E966BB"/>
    <w:rsid w:val="00ED5730"/>
    <w:rsid w:val="00EF62A3"/>
    <w:rsid w:val="00F03BA2"/>
    <w:rsid w:val="00F17ECB"/>
    <w:rsid w:val="00F26FC3"/>
    <w:rsid w:val="00F41C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F02A"/>
  <w15:chartTrackingRefBased/>
  <w15:docId w15:val="{996DBCC9-FB91-4D1D-AEEA-818AAECC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F5AA0"/>
    <w:pPr>
      <w:spacing w:after="0" w:line="480" w:lineRule="auto"/>
      <w:ind w:left="720" w:hanging="720"/>
    </w:pPr>
  </w:style>
  <w:style w:type="table" w:styleId="TableGrid">
    <w:name w:val="Table Grid"/>
    <w:basedOn w:val="TableNormal"/>
    <w:uiPriority w:val="39"/>
    <w:rsid w:val="0039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2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2565"/>
    <w:rPr>
      <w:sz w:val="20"/>
      <w:szCs w:val="20"/>
    </w:rPr>
  </w:style>
  <w:style w:type="character" w:styleId="FootnoteReference">
    <w:name w:val="footnote reference"/>
    <w:basedOn w:val="DefaultParagraphFont"/>
    <w:uiPriority w:val="99"/>
    <w:semiHidden/>
    <w:unhideWhenUsed/>
    <w:rsid w:val="00482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14417">
      <w:bodyDiv w:val="1"/>
      <w:marLeft w:val="0"/>
      <w:marRight w:val="0"/>
      <w:marTop w:val="0"/>
      <w:marBottom w:val="0"/>
      <w:divBdr>
        <w:top w:val="none" w:sz="0" w:space="0" w:color="auto"/>
        <w:left w:val="none" w:sz="0" w:space="0" w:color="auto"/>
        <w:bottom w:val="none" w:sz="0" w:space="0" w:color="auto"/>
        <w:right w:val="none" w:sz="0" w:space="0" w:color="auto"/>
      </w:divBdr>
    </w:div>
    <w:div w:id="13748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4F82-3D26-4222-AF21-E5A8505A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Abdelhady</dc:creator>
  <cp:keywords/>
  <dc:description/>
  <cp:lastModifiedBy>Saleem Mohamed Abdel Hady</cp:lastModifiedBy>
  <cp:revision>4</cp:revision>
  <cp:lastPrinted>2019-04-18T15:17:00Z</cp:lastPrinted>
  <dcterms:created xsi:type="dcterms:W3CDTF">2020-01-27T22:11:00Z</dcterms:created>
  <dcterms:modified xsi:type="dcterms:W3CDTF">2020-01-28T00:19:00Z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id="Tn94MIJd"/&gt;&lt;style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