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ind w:firstLine="0"/>
        <w:jc w:val="center"/>
      </w:pPr>
      <w:r>
        <w:rPr>
          <w:sz w:val="24"/>
          <w:szCs w:val="24"/>
        </w:rPr>
        <w:t xml:space="preserve">ABSTRACT</w:t>
      </w:r>
    </w:p>
    <w:p>
      <w:pPr>
        <w:ind w:firstLine="0"/>
        <w:jc w:val="center"/>
      </w:pPr>
      <w:r>
        <w:rPr>
          <w:sz w:val="24"/>
          <w:szCs w:val="24"/>
        </w:rPr>
        <w:t xml:space="preserve">THE USE OF SCIENCE IN THEOLOGY:INTRODUCTIONAND HISTORICAL BACKGROUND</w:t>
      </w:r>
    </w:p>
    <w:p>
      <w:pPr>
        <w:ind w:firstLine="0"/>
        <w:jc w:val="center"/>
      </w:pPr>
      <w:r>
        <w:rPr>
          <w:sz w:val="24"/>
          <w:szCs w:val="24"/>
        </w:rPr>
        <w:t xml:space="preserve">Taras Shevchenko</w:t>
      </w:r>
    </w:p>
    <w:p>
      <w:pPr>
        <w:ind w:firstLine="0"/>
        <w:jc w:val="center"/>
      </w:pPr>
      <w:r>
        <w:rPr>
          <w:sz w:val="24"/>
          <w:szCs w:val="24"/>
        </w:rPr>
        <w:t xml:space="preserve">Adviser: John A. Smith, Ph.D.</w:t>
      </w:r>
    </w:p>
    <w:p>
      <w:pPr>
        <w:ind w:firstLine="0"/>
        <w:jc w:val="center"/>
      </w:pPr>
      <w:r>
        <w:rPr>
          <w:sz w:val="24"/>
          <w:szCs w:val="24"/>
        </w:rPr>
        <w:t xml:space="preserve">ABSTRACT OF GRADUATE STUDENT RESEARCHProfessional Dissertation</w:t>
      </w:r>
    </w:p>
    <w:p>
      <w:pPr>
        <w:ind w:firstLine="0"/>
        <w:jc w:val="center"/>
      </w:pPr>
      <w:r>
        <w:rPr>
          <w:sz w:val="24"/>
          <w:szCs w:val="24"/>
        </w:rPr>
        <w:t xml:space="preserve">Title:THE USE OF SCIENCE IN THEOLOGY:INTRODUCTIONAND HISTORICAL BACKGROUNDName </w:t>
      </w:r>
      <w:r>
        <w:rPr>
          <w:b/>
          <w:sz w:val="24"/>
          <w:szCs w:val="24"/>
        </w:rPr>
        <w:t xml:space="preserve">of </w:t>
      </w:r>
      <w:r>
        <w:rPr>
          <w:sz w:val="24"/>
          <w:szCs w:val="24"/>
        </w:rPr>
        <w:t xml:space="preserve">researcher: Taras ShevchenkoName and degree </w:t>
      </w:r>
      <w:r>
        <w:rPr>
          <w:b/>
          <w:sz w:val="24"/>
          <w:szCs w:val="24"/>
        </w:rPr>
        <w:t xml:space="preserve">of </w:t>
      </w:r>
      <w:r>
        <w:rPr>
          <w:sz w:val="24"/>
          <w:szCs w:val="24"/>
        </w:rPr>
        <w:t xml:space="preserve">faculty adviser: John A. Smith, Ph.D.Date completed: August 2026</w:t>
      </w:r>
    </w:p>
    <w:p>
      <w:pPr>
        <w:ind w:firstLine="0"/>
        <w:jc w:val="center"/>
      </w:pPr>
      <w:r>
        <w:rPr>
          <w:b/>
          <w:sz w:val="24"/>
          <w:szCs w:val="24"/>
        </w:rPr>
        <w:t xml:space="preserve">Problem</w:t>
      </w:r>
    </w:p>
    <w:p>
      <w:pPr>
        <w:ind w:firstLine="0"/>
        <w:jc w:val="center"/>
      </w:pPr>
      <w:r>
        <w:rPr>
          <w:b/>
          <w:sz w:val="24"/>
          <w:szCs w:val="24"/>
        </w:rPr>
        <w:t xml:space="preserve">Results</w:t>
      </w:r>
    </w:p>
    <w:p>
      <w:pPr>
        <w:ind w:firstLine="0"/>
        <w:jc w:val="center"/>
      </w:pPr>
      <w:r>
        <w:rPr>
          <w:b/>
          <w:sz w:val="24"/>
          <w:szCs w:val="24"/>
        </w:rPr>
        <w:t xml:space="preserve">Conclusions</w:t>
      </w:r>
    </w:p>
    <w:p>
      <w:pPr>
        <w:ind w:firstLine="0"/>
        <w:jc w:val="center"/>
      </w:pPr>
      <w:r>
        <w:rPr>
          <w:sz w:val="24"/>
          <w:szCs w:val="24"/>
        </w:rPr>
        <w:t xml:space="preserve">THE USE OF SCIENCE IN THEOLOGY:INTRODUCTIONAND HISTORICAL BACKGROUND</w:t>
      </w:r>
    </w:p>
    <w:p>
      <w:pPr>
        <w:ind w:firstLine="0"/>
        <w:jc w:val="center"/>
      </w:pPr>
      <w:r>
        <w:rPr>
          <w:sz w:val="24"/>
          <w:szCs w:val="24"/>
        </w:rPr>
        <w:t xml:space="preserve">A Professional Dissertation</w:t>
      </w:r>
    </w:p>
    <w:p>
      <w:pPr>
        <w:ind w:firstLine="0"/>
        <w:jc w:val="center"/>
      </w:pPr>
      <w:r>
        <w:rPr>
          <w:sz w:val="24"/>
          <w:szCs w:val="24"/>
        </w:rPr>
        <w:t xml:space="preserve">Presented in Partial Fulfillment</w:t>
      </w:r>
    </w:p>
    <w:p>
      <w:pPr>
        <w:ind w:firstLine="0"/>
        <w:jc w:val="center"/>
      </w:pPr>
      <w:r>
        <w:rPr>
          <w:sz w:val="24"/>
          <w:szCs w:val="24"/>
        </w:rPr>
        <w:t xml:space="preserve">by Taras Shevchenko</w:t>
      </w:r>
    </w:p>
    <w:p>
      <w:pPr>
        <w:ind w:firstLine="0"/>
        <w:jc w:val="center"/>
      </w:pPr>
      <w:r>
        <w:rPr>
          <w:sz w:val="24"/>
          <w:szCs w:val="24"/>
        </w:rPr>
        <w:t xml:space="preserve">© Copyright by Taras Shevchenko 2026All Rights Reserved</w:t>
      </w:r>
    </w:p>
    <w:p>
      <w:pPr>
        <w:ind w:firstLine="0"/>
        <w:jc w:val="center"/>
      </w:pPr>
      <w:r>
        <w:rPr>
          <w:sz w:val="24"/>
          <w:szCs w:val="24"/>
        </w:rPr>
        <w:t xml:space="preserve">THE USE OF SCIENCE IN THEOLOGY:INTRODUCTIONAND HISTORICAL BACKGROUND</w:t>
      </w:r>
    </w:p>
    <w:p>
      <w:pPr>
        <w:ind w:firstLine="0"/>
        <w:jc w:val="center"/>
      </w:pPr>
      <w:r>
        <w:rPr>
          <w:sz w:val="24"/>
          <w:szCs w:val="24"/>
        </w:rPr>
        <w:t xml:space="preserve">A Professional DissertationPresented in Partial Fulfillment</w:t>
      </w:r>
    </w:p>
    <w:p>
      <w:pPr>
        <w:ind w:firstLine="0"/>
        <w:jc w:val="center"/>
      </w:pPr>
      <w:r>
        <w:rPr>
          <w:sz w:val="24"/>
          <w:szCs w:val="24"/>
        </w:rPr>
        <w:t xml:space="preserve">by Taras Shevchenko</w:t>
      </w:r>
    </w:p>
    <w:p>
      <w:pPr>
        <w:ind w:firstLine="0"/>
        <w:jc w:val="center"/>
      </w:pPr>
      <w:r>
        <w:rPr>
          <w:sz w:val="24"/>
          <w:szCs w:val="24"/>
        </w:rPr>
        <w:t xml:space="preserve">APPROVAL BY THE COMMITTEE:</w:t>
      </w:r>
    </w:p>
    <w:p>
      <w:pPr>
        <w:tabs>
          <w:tab w:val="right" w:pos="6840"/>
        </w:tabs>
        <w:ind w:firstLine="0"/>
      </w:pPr>
      <w:r>
        <w:rPr>
          <w:sz w:val="24"/>
          <w:szCs w:val="24"/>
        </w:rPr>
        <w:t xml:space="preserve">Adviser</w:t>
      </w:r>
      <w:r>
        <w:tab/>
      </w:r>
      <w:r>
        <w:rPr>
          <w:sz w:val="24"/>
          <w:szCs w:val="24"/>
        </w:rPr>
        <w:t xml:space="preserve">Director, DMin Program</w:t>
      </w:r>
    </w:p>
    <w:p>
      <w:pPr>
        <w:ind w:firstLine="0"/>
        <w:jc w:val="center"/>
      </w:pPr>
      <w:r>
        <w:rPr>
          <w:sz w:val="24"/>
          <w:szCs w:val="24"/>
        </w:rPr>
        <w:t xml:space="preserve">John A. Smith, Ph.D. Stanley E. Patterson, Ph.D.</w:t>
      </w:r>
    </w:p>
    <w:p>
      <w:pPr>
        <w:tabs>
          <w:tab w:val="right" w:pos="6840"/>
        </w:tabs>
        <w:ind w:firstLine="0"/>
      </w:pPr>
      <w:r>
        <w:rPr>
          <w:sz w:val="24"/>
          <w:szCs w:val="24"/>
        </w:rPr>
        <w:t xml:space="preserve">Second Reader</w:t>
      </w:r>
      <w:r>
        <w:tab/>
      </w:r>
      <w:r>
        <w:rPr>
          <w:sz w:val="24"/>
          <w:szCs w:val="24"/>
        </w:rPr>
        <w:t xml:space="preserve">Dean, SDA Theological Seminary</w:t>
      </w:r>
    </w:p>
    <w:p>
      <w:pPr>
        <w:ind w:firstLine="0"/>
        <w:jc w:val="center"/>
      </w:pPr>
      <w:r>
        <w:rPr>
          <w:sz w:val="24"/>
          <w:szCs w:val="24"/>
        </w:rPr>
        <w:t xml:space="preserve">David B. Williams, D.Min. Jiří Moskala, Th.D., Ph.D.</w:t>
      </w:r>
    </w:p>
    <w:p>
      <w:pPr>
        <w:ind w:firstLine="0"/>
        <w:jc w:val="center"/>
      </w:pPr>
      <w:r>
        <w:rPr>
          <w:sz w:val="24"/>
          <w:szCs w:val="24"/>
        </w:rPr>
        <w:t xml:space="preserve">Sarah M. Johnson, Ph.D. Date approved</w:t>
      </w:r>
    </w:p>
    <w:p>
      <w:pPr>
        <w:ind w:firstLine="0"/>
        <w:jc w:val="center"/>
      </w:pPr>
      <w:r>
        <w:rPr>
          <w:sz w:val="24"/>
          <w:szCs w:val="24"/>
        </w:rPr>
        <w:t xml:space="preserve">TABLE OF CONTENTS</w:t>
      </w:r>
    </w:p>
    <w:p>
      <w:pPr>
        <w:ind w:firstLine="0"/>
        <w:jc w:val="center"/>
      </w:pPr>
      <w:r>
        <w:rPr>
          <w:sz w:val="24"/>
          <w:szCs w:val="24"/>
        </w:rPr>
        <w:t xml:space="preserve">LIST OF ILLUSTRATIONS .....................................................................................iv</w:t>
      </w:r>
    </w:p>
    <w:p>
      <w:pPr>
        <w:ind w:firstLine="0"/>
        <w:jc w:val="center"/>
      </w:pPr>
      <w:r>
        <w:rPr>
          <w:sz w:val="24"/>
          <w:szCs w:val="24"/>
        </w:rPr>
        <w:t xml:space="preserve">LIST OF TABLES .....................................................................................................iv</w:t>
      </w:r>
    </w:p>
    <w:p>
      <w:pPr>
        <w:ind w:firstLine="0"/>
        <w:jc w:val="center"/>
      </w:pPr>
      <w:r>
        <w:rPr>
          <w:sz w:val="24"/>
          <w:szCs w:val="24"/>
        </w:rPr>
        <w:t xml:space="preserve">LIST OF ABBREVIATIONS ....................................................................................v</w:t>
      </w:r>
    </w:p>
    <w:p>
      <w:pPr>
        <w:ind w:firstLine="0"/>
        <w:jc w:val="center"/>
      </w:pPr>
      <w:r>
        <w:rPr>
          <w:sz w:val="24"/>
          <w:szCs w:val="24"/>
        </w:rPr>
        <w:t xml:space="preserve">ACKNOWLEDGMENTS .........................................................................................vi</w:t>
      </w:r>
    </w:p>
    <w:p>
      <w:pPr>
        <w:ind w:firstLine="0"/>
        <w:jc w:val="center"/>
      </w:pPr>
      <w:r>
        <w:rPr>
          <w:sz w:val="24"/>
          <w:szCs w:val="24"/>
        </w:rPr>
        <w:t xml:space="preserve">Chapter1.THE USE OF SCIENCE IN THEOLOGY:INTRODUCTION AND HISTORICAL BACKGROUND .........................1</w:t>
      </w:r>
    </w:p>
    <w:p>
      <w:pPr>
        <w:ind w:firstLine="0"/>
        <w:jc w:val="center"/>
      </w:pPr>
      <w:r>
        <w:rPr>
          <w:b/>
          <w:sz w:val="24"/>
          <w:szCs w:val="24"/>
        </w:rPr>
        <w:t xml:space="preserve">Introduction</w:t>
      </w:r>
      <w:r>
        <w:rPr>
          <w:sz w:val="24"/>
          <w:szCs w:val="24"/>
        </w:rPr>
        <w:t xml:space="preserve">...........................................................................................1</w:t>
      </w:r>
    </w:p>
    <w:p>
      <w:pPr>
        <w:ind w:firstLine="0"/>
        <w:jc w:val="center"/>
      </w:pPr>
      <w:r>
        <w:rPr>
          <w:sz w:val="24"/>
          <w:szCs w:val="24"/>
        </w:rPr>
        <w:t xml:space="preserve">AppendixA.RESEARCH QUESTIONNAIRE ................................................................4</w:t>
      </w:r>
    </w:p>
    <w:p>
      <w:pPr>
        <w:ind w:firstLine="0"/>
        <w:jc w:val="center"/>
      </w:pPr>
      <w:r>
        <w:rPr>
          <w:sz w:val="24"/>
          <w:szCs w:val="24"/>
        </w:rPr>
        <w:t xml:space="preserve">B.LETTERS OF PERMISSION ......................................................................6</w:t>
      </w:r>
    </w:p>
    <w:p>
      <w:pPr>
        <w:ind w:firstLine="0"/>
        <w:jc w:val="center"/>
      </w:pPr>
      <w:r>
        <w:rPr>
          <w:sz w:val="24"/>
          <w:szCs w:val="24"/>
        </w:rPr>
        <w:t xml:space="preserve">REFERENCE LIST ....................................................................................................7</w:t>
      </w:r>
    </w:p>
    <w:p>
      <w:pPr>
        <w:ind w:firstLine="0"/>
        <w:jc w:val="center"/>
      </w:pPr>
      <w:r>
        <w:rPr>
          <w:sz w:val="24"/>
          <w:szCs w:val="24"/>
        </w:rPr>
        <w:t xml:space="preserve">VITA ..........................................................................................................................8</w:t>
      </w:r>
    </w:p>
    <w:p>
      <w:pPr>
        <w:ind w:firstLine="0"/>
        <w:jc w:val="center"/>
      </w:pPr>
      <w:r>
        <w:rPr>
          <w:sz w:val="24"/>
          <w:szCs w:val="24"/>
        </w:rPr>
        <w:t xml:space="preserve">LIST OF ILLUSTRATIONS</w:t>
      </w:r>
    </w:p>
    <w:p>
      <w:pPr>
        <w:ind w:firstLine="0"/>
        <w:jc w:val="center"/>
      </w:pPr>
      <w:r>
        <w:rPr>
          <w:sz w:val="24"/>
          <w:szCs w:val="24"/>
        </w:rPr>
        <w:t xml:space="preserve">1.Structural components </w:t>
      </w:r>
      <w:r>
        <w:rPr>
          <w:b/>
          <w:sz w:val="24"/>
          <w:szCs w:val="24"/>
        </w:rPr>
        <w:t xml:space="preserve">of </w:t>
      </w:r>
      <w:r>
        <w:rPr>
          <w:sz w:val="24"/>
          <w:szCs w:val="24"/>
        </w:rPr>
        <w:t xml:space="preserve">the</w:t>
      </w:r>
    </w:p>
    <w:p>
      <w:pPr>
        <w:ind w:firstLine="0"/>
        <w:jc w:val="center"/>
      </w:pPr>
      <w:r>
        <w:rPr>
          <w:sz w:val="24"/>
          <w:szCs w:val="24"/>
        </w:rPr>
        <w:t xml:space="preserve">LIST OF TABLES</w:t>
      </w:r>
    </w:p>
    <w:p>
      <w:pPr>
        <w:ind w:firstLine="0"/>
        <w:jc w:val="center"/>
      </w:pPr>
      <w:r>
        <w:rPr>
          <w:b/>
          <w:sz w:val="24"/>
          <w:szCs w:val="24"/>
        </w:rPr>
        <w:t xml:space="preserve">(N = 24)</w:t>
      </w:r>
      <w:r>
        <w:rPr>
          <w:sz w:val="24"/>
          <w:szCs w:val="24"/>
        </w:rPr>
        <w:t xml:space="preserve">..........................................................................................................3</w:t>
      </w:r>
    </w:p>
    <w:p>
      <w:pPr>
        <w:ind w:firstLine="0"/>
        <w:jc w:val="center"/>
      </w:pPr>
      <w:r>
        <w:rPr>
          <w:sz w:val="24"/>
          <w:szCs w:val="24"/>
        </w:rPr>
        <w:t xml:space="preserve">LIST OF ABBREVIATIONS</w:t>
      </w:r>
    </w:p>
    <w:p>
      <w:pPr>
        <w:tabs>
          <w:tab w:val="right" w:pos="3888"/>
        </w:tabs>
        <w:ind w:firstLine="0"/>
      </w:pPr>
      <w:r>
        <w:rPr>
          <w:sz w:val="24"/>
          <w:szCs w:val="24"/>
        </w:rPr>
        <w:t xml:space="preserve">AUSS</w:t>
      </w:r>
      <w:r>
        <w:tab/>
      </w:r>
      <w:r>
        <w:rPr>
          <w:sz w:val="24"/>
          <w:szCs w:val="24"/>
        </w:rPr>
        <w:t xml:space="preserve">Andrews University Seminary Studies</w:t>
      </w:r>
    </w:p>
    <w:p>
      <w:pPr>
        <w:tabs>
          <w:tab w:val="right" w:pos="9740"/>
        </w:tabs>
        <w:ind w:firstLine="0"/>
      </w:pPr>
      <w:r>
        <w:rPr>
          <w:sz w:val="24"/>
          <w:szCs w:val="24"/>
        </w:rPr>
        <w:t xml:space="preserve">BDAG</w:t>
      </w:r>
      <w:r>
        <w:tab/>
      </w:r>
      <w:r>
        <w:rPr>
          <w:sz w:val="24"/>
          <w:szCs w:val="24"/>
        </w:rPr>
        <w:t xml:space="preserve">Bauer, Danker, Arndt, and Gingrich, Greek-English Lexicon </w:t>
      </w:r>
      <w:r>
        <w:tab/>
      </w:r>
      <w:r>
        <w:rPr>
          <w:b/>
          <w:sz w:val="24"/>
          <w:szCs w:val="24"/>
        </w:rPr>
        <w:t xml:space="preserve">of </w:t>
      </w:r>
      <w:r>
        <w:rPr>
          <w:sz w:val="24"/>
          <w:szCs w:val="24"/>
        </w:rPr>
        <w:t xml:space="preserve">the </w:t>
      </w:r>
    </w:p>
    <w:p>
      <w:pPr>
        <w:ind w:firstLine="0"/>
        <w:jc w:val="center"/>
      </w:pPr>
      <w:r>
        <w:rPr>
          <w:sz w:val="24"/>
          <w:szCs w:val="24"/>
        </w:rPr>
        <w:t xml:space="preserve">New Testament</w:t>
      </w:r>
    </w:p>
    <w:p>
      <w:pPr>
        <w:tabs>
          <w:tab w:val="right" w:pos="6181"/>
        </w:tabs>
        <w:ind w:firstLine="0"/>
      </w:pPr>
      <w:r>
        <w:rPr>
          <w:sz w:val="24"/>
          <w:szCs w:val="24"/>
        </w:rPr>
        <w:t xml:space="preserve">TDOT</w:t>
      </w:r>
      <w:r>
        <w:tab/>
      </w:r>
      <w:r>
        <w:rPr>
          <w:sz w:val="24"/>
          <w:szCs w:val="24"/>
        </w:rPr>
        <w:t xml:space="preserve">Theological Dictionary </w:t>
      </w:r>
      <w:r>
        <w:tab/>
      </w:r>
      <w:r>
        <w:rPr>
          <w:b/>
          <w:sz w:val="24"/>
          <w:szCs w:val="24"/>
        </w:rPr>
        <w:t xml:space="preserve">of </w:t>
      </w:r>
      <w:r>
        <w:rPr>
          <w:sz w:val="24"/>
          <w:szCs w:val="24"/>
        </w:rPr>
        <w:t xml:space="preserve">the Old Testament</w:t>
      </w:r>
    </w:p>
    <w:p>
      <w:pPr>
        <w:ind w:firstLine="0"/>
        <w:jc w:val="center"/>
      </w:pPr>
      <w:r>
        <w:rPr>
          <w:sz w:val="24"/>
          <w:szCs w:val="24"/>
        </w:rPr>
        <w:t xml:space="preserve">ACKNOWLEDGMENTS</w:t>
      </w:r>
    </w:p>
    <w:p>
      <w:pPr>
        <w:ind w:firstLine="0"/>
        <w:jc w:val="center"/>
      </w:pPr>
      <w:r>
        <w:rPr>
          <w:sz w:val="24"/>
          <w:szCs w:val="24"/>
        </w:rPr>
        <w:t xml:space="preserve">CHAPTER 1</w:t>
      </w:r>
    </w:p>
    <w:p>
      <w:pPr>
        <w:ind w:firstLine="0"/>
        <w:jc w:val="center"/>
      </w:pPr>
      <w:r>
        <w:rPr>
          <w:sz w:val="24"/>
          <w:szCs w:val="24"/>
        </w:rPr>
        <w:t xml:space="preserve">THE USE OF SCIENCE IN THEOLOGY:</w:t>
      </w:r>
    </w:p>
    <w:p>
      <w:pPr>
        <w:ind w:firstLine="0"/>
        <w:jc w:val="center"/>
      </w:pPr>
      <w:r>
        <w:rPr>
          <w:sz w:val="24"/>
          <w:szCs w:val="24"/>
        </w:rPr>
        <w:t xml:space="preserve">INTRODUCTION AND HISTORICAL BACKGROUND</w:t>
      </w:r>
    </w:p>
    <w:p>
      <w:pPr>
        <w:ind w:firstLine="0"/>
        <w:jc w:val="center"/>
      </w:pPr>
      <w:r>
        <w:rPr>
          <w:sz w:val="24"/>
          <w:szCs w:val="24"/>
        </w:rPr>
        <w:t xml:space="preserve">truth each holds, is crucial—for both essentially represent a relation to reality that </w:t>
      </w:r>
    </w:p>
    <w:p>
      <w:pPr>
        <w:ind w:firstLine="0"/>
        <w:jc w:val="center"/>
      </w:pPr>
      <w:r>
        <w:rPr>
          <w:b/>
          <w:sz w:val="24"/>
          <w:szCs w:val="24"/>
        </w:rPr>
        <w:t xml:space="preserve">(</w:t>
      </w:r>
      <w:r>
        <w:rPr>
          <w:sz w:val="24"/>
          <w:szCs w:val="24"/>
        </w:rPr>
        <w:t xml:space="preserve">Gilkey 1989, p. 11 )</w:t>
      </w:r>
    </w:p>
    <w:p>
      <w:pPr>
        <w:ind w:firstLine="0"/>
        <w:jc w:val="center"/>
      </w:pPr>
      <w:r>
        <w:rPr>
          <w:sz w:val="24"/>
          <w:szCs w:val="24"/>
        </w:rPr>
        <w:t xml:space="preserve">APPENDIX A </w:t>
      </w:r>
    </w:p>
    <w:p>
      <w:pPr>
        <w:ind w:firstLine="0"/>
        <w:jc w:val="center"/>
      </w:pPr>
      <w:r>
        <w:rPr>
          <w:sz w:val="24"/>
          <w:szCs w:val="24"/>
        </w:rPr>
        <w:t xml:space="preserve">APPENDIX B </w:t>
      </w:r>
    </w:p>
    <w:p>
      <w:pPr>
        <w:ind w:firstLine="0"/>
        <w:jc w:val="center"/>
      </w:pPr>
      <w:r>
        <w:rPr>
          <w:sz w:val="24"/>
          <w:szCs w:val="24"/>
        </w:rPr>
        <w:t xml:space="preserve">Gilkey, Langdon. 1989. </w:t>
      </w:r>
      <w:r>
        <w:rPr>
          <w:i/>
          <w:sz w:val="24"/>
          <w:szCs w:val="24"/>
        </w:rPr>
        <w:t xml:space="preserve">Nature, Reality, And the Sacred: The Nexus </w:t>
      </w:r>
      <w:r>
        <w:rPr>
          <w:b/>
          <w:sz w:val="24"/>
          <w:szCs w:val="24"/>
        </w:rPr>
        <w:t xml:space="preserve">of </w:t>
      </w:r>
      <w:r>
        <w:rPr>
          <w:i/>
          <w:sz w:val="24"/>
          <w:szCs w:val="24"/>
        </w:rPr>
        <w:t xml:space="preserve">Science and Religion</w:t>
      </w:r>
      <w:r>
        <w:rPr>
          <w:sz w:val="24"/>
          <w:szCs w:val="24"/>
        </w:rPr>
        <w:t xml:space="preserve">. Minneapolis, MN: Fortress Press.</w:t>
      </w:r>
    </w:p>
    <w:p>
      <w:pPr>
        <w:ind w:firstLine="0"/>
        <w:jc w:val="center"/>
      </w:pPr>
      <w:r>
        <w:rPr>
          <w:sz w:val="24"/>
          <w:szCs w:val="24"/>
        </w:rPr>
        <w:t xml:space="preserve">VITA</w:t>
      </w:r>
    </w:p>
    <w:p>
      <w:pPr>
        <w:ind w:firstLine="0"/>
        <w:jc w:val="center"/>
      </w:pPr>
      <w:r>
        <w:rPr>
          <w:sz w:val="24"/>
          <w:szCs w:val="24"/>
        </w:rPr>
        <w:t xml:space="preserve">Personal: Born in Kyiv, Ukraine. Married with two children.Education: •D.Min. in Leadership, Andrews University, Berrien Springs, MI, </w:t>
      </w:r>
    </w:p>
    <w:p>
      <w:pPr>
        <w:ind w:firstLine="0"/>
        <w:jc w:val="center"/>
      </w:pPr>
      <w:r>
        <w:rPr>
          <w:sz w:val="24"/>
          <w:szCs w:val="24"/>
        </w:rPr>
        <w:t xml:space="preserve">•B.A. in Theology, Ukrainian Institute </w:t>
      </w:r>
      <w:r>
        <w:rPr>
          <w:b/>
          <w:sz w:val="24"/>
          <w:szCs w:val="24"/>
        </w:rPr>
        <w:t xml:space="preserve">of </w:t>
      </w:r>
      <w:r>
        <w:rPr>
          <w:sz w:val="24"/>
          <w:szCs w:val="24"/>
        </w:rPr>
        <w:t xml:space="preserve">Arts and Sciences, </w:t>
      </w:r>
    </w:p>
    <w:p>
      <w:pPr>
        <w:ind w:firstLine="0"/>
        <w:jc w:val="center"/>
      </w:pPr>
      <w:r>
        <w:rPr>
          <w:sz w:val="24"/>
          <w:szCs w:val="24"/>
        </w:rPr>
        <w:t xml:space="preserve">2014.Experience: •Senior Pastor, Central Church, 2018–present.</w:t>
      </w:r>
    </w:p>
    <w:p>
      <w:pPr>
        <w:ind w:firstLine="0"/>
        <w:jc w:val="center"/>
      </w:pPr>
      <w:r>
        <w:rPr>
          <w:sz w:val="24"/>
          <w:szCs w:val="24"/>
        </w:rPr>
        <w:t xml:space="preserve">•Youth Pastor, Dnipro District, 2014–2016.Publications: •“Integrative Pastoral Formation,” </w:t>
      </w:r>
      <w:r>
        <w:rPr>
          <w:i/>
          <w:sz w:val="24"/>
          <w:szCs w:val="24"/>
        </w:rPr>
        <w:t xml:space="preserve">Journal </w:t>
      </w:r>
      <w:r>
        <w:rPr>
          <w:b/>
          <w:sz w:val="24"/>
          <w:szCs w:val="24"/>
        </w:rPr>
        <w:t xml:space="preserve">of Applied Christian </w:t>
      </w:r>
    </w:p>
    <w:p>
      <w:pPr>
        <w:ind w:firstLine="0"/>
        <w:jc w:val="center"/>
      </w:pPr>
      <w:r>
        <w:rPr>
          <w:b/>
          <w:sz w:val="24"/>
          <w:szCs w:val="24"/>
        </w:rPr>
        <w:t xml:space="preserve">Leadership</w:t>
      </w:r>
      <w:r>
        <w:rPr>
          <w:sz w:val="24"/>
          <w:szCs w:val="24"/>
        </w:rPr>
        <w:t xml:space="preserve"> 12, no. 1 (2025): 45–58.</w:t>
      </w:r>
    </w:p>
    <w:p>
      <w:r>
        <w:t xml:space="preserve">Compensatory theological formulations frequently lack a coherent hermeneutical bridge when addressing contemporary scientific models in local pastoral leadership. This study investigates the extent to which pastoral integrative competency influences congregational resilience during faith-science controversies.</w:t>
      </w:r>
    </w:p>
    <w:p>
      <w:r>
        <w:t xml:space="preserve">A mixed-methods empirical design was employed. Thirty-six pastoral practitioners and 124 church leaders across North America participated in semi-structured qualitative interviews and quantitative evaluative assessments over a two-year longitudinal observation period.</w:t>
      </w:r>
    </w:p>
    <w:p>
      <w:r>
        <w:t xml:space="preserve">Significant variance was observed in pastoral confidence and constructive dialogue across educational backgrounds </w:t>
      </w:r>
      <w:r>
        <w:rPr>
          <w:b/>
        </w:rPr>
        <w:t xml:space="preserve">(</w:t>
      </w:r>
      <m:oMath>
        <m:r>
          <m:t>p</m:t>
        </m:r>
        <m:r>
          <m:t>&lt;</m:t>
        </m:r>
        <m:r>
          <m:t>.</m:t>
        </m:r>
        <m:r>
          <m:t>01</m:t>
        </m:r>
      </m:oMath>
      <w:r>
        <w:t xml:space="preserve">). Integrative leadership training correlated positively with congregational health and retention </w:t>
      </w:r>
      <w:r>
        <w:rPr>
          <w:b/>
        </w:rPr>
        <w:t xml:space="preserve">of </w:t>
      </w:r>
      <w:r>
        <w:t xml:space="preserve">young adults during contentious scientific debates.</w:t>
      </w:r>
    </w:p>
    <w:p>
      <w:r>
        <w:t xml:space="preserve">Methodological clarity regarding the distinct domains </w:t>
      </w:r>
      <w:r>
        <w:rPr>
          <w:b/>
        </w:rPr>
        <w:t xml:space="preserve">of </w:t>
      </w:r>
      <w:r>
        <w:t xml:space="preserve">biblical revelation and empirical inquiry is essential for effective 21st-century ministry. An integrative pastoral curriculum equips leaders to facilitate constructive, faith-affirming dialogue.</w:t>
      </w:r>
    </w:p>
    <w:p>
      <w:r>
        <w:fldChar w:fldCharType="begin"/>
      </w:r>
      <w:r>
        <w:instrText xml:space="preserve"> TOC \o "1-3" \h \z \u </w:instrText>
      </w:r>
      <w:r>
        <w:fldChar w:fldCharType="separate"/>
      </w:r>
      <w:r>
        <w:t>Right-click and update field to see table of contents.</w:t>
      </w:r>
      <w:r>
        <w:fldChar w:fldCharType="end"/>
      </w:r>
    </w:p>
    <w:p>
      <w:pPr>
        <w:pStyle w:val="Heading1"/>
      </w:pPr>
      <w:r>
        <w:t xml:space="preserve">  </w:t>
      </w:r>
    </w:p>
    <w:p>
      <w:pPr>
        <w:ind w:firstLine="0"/>
      </w:pPr>
      <w:r>
        <w:fldChar w:fldCharType="begin"/>
      </w:r>
      <w:r>
        <w:instrText xml:space="preserve"> TOC \o "1-3" \h \z \u </w:instrText>
      </w:r>
      <w:r>
        <w:fldChar w:fldCharType="separate"/>
      </w:r>
      <w:r>
        <w:t>Right-click and update field to see table of contents.</w:t>
      </w:r>
      <w:r>
        <w:fldChar w:fldCharType="end"/>
      </w:r>
    </w:p>
    <w:p>
      <w:pPr>
        <w:pStyle w:val="Heading1"/>
      </w:pPr>
      <w:r>
        <w:t xml:space="preserve">  </w:t>
      </w:r>
    </w:p>
    <w:p>
      <w:pPr>
        <w:ind w:firstLine="0"/>
      </w:pPr>
      <w:r>
        <w:fldChar w:fldCharType="begin"/>
      </w:r>
      <w:r>
        <w:instrText xml:space="preserve"> TOC \o "1-3" \h \z \u </w:instrText>
      </w:r>
      <w:r>
        <w:fldChar w:fldCharType="separate"/>
      </w:r>
      <w:r>
        <w:t>Right-click and update field to see table of contents.</w:t>
      </w:r>
      <w:r>
        <w:fldChar w:fldCharType="end"/>
      </w:r>
    </w:p>
    <w:p>
      <w:pPr>
        <w:pStyle w:val="Heading1"/>
      </w:pPr>
      <w:r>
        <w:t xml:space="preserve">  </w:t>
      </w:r>
    </w:p>
    <w:p>
      <w:pPr>
        <w:pStyle w:val="Heading1"/>
      </w:pPr>
      <w:r>
        <w:t xml:space="preserve">  </w:t>
      </w:r>
    </w:p>
    <w:p>
      <w:pPr>
        <w:ind w:firstLine="0"/>
      </w:pPr>
      <w:r>
        <w:t xml:space="preserve">This dissertation represents an effort to bridge the conceptual gap between theological education and empirical scientific developments. The motivation for this research stems from pastoral experiences where parishioners sought biblically faithful yet intellectually robust answers to complex contemporary questions.</w:t>
      </w:r>
    </w:p>
    <w:p>
      <w:r>
        <w:t xml:space="preserve">I express profound gratitude to my project advisor, Dr. John A. Smith, whose rigorous mentorship shaped this research, and to the faculty </w:t>
      </w:r>
      <w:r>
        <w:rPr>
          <w:b/>
        </w:rPr>
        <w:t xml:space="preserve">of </w:t>
      </w:r>
      <w:r>
        <w:t xml:space="preserve">the Seventh-day Adventist Theological Seminary at Andrews University.</w:t>
      </w:r>
    </w:p>
    <w:p>
      <w:pPr>
        <w:pStyle w:val="Heading1"/>
      </w:pPr>
      <w:r>
        <w:t xml:space="preserve">1. The Use of Science in Theology:</w:t>
      </w:r>
      <w:r>
        <w:br/>
      </w:r>
      <w:r>
        <w:t xml:space="preserve">Introduction and Historical Background</w:t>
      </w:r>
    </w:p>
    <w:p>
      <w:pPr>
        <w:pStyle w:val="Heading2"/>
      </w:pPr>
      <w:r>
        <w:t xml:space="preserve">Introduction</w:t>
      </w:r>
    </w:p>
    <w:p>
      <w:pPr>
        <w:pStyle w:val="Heading3"/>
      </w:pPr>
      <w:r>
        <w:t xml:space="preserve">The Limits of Science</w:t>
      </w:r>
    </w:p>
    <w:p>
      <w:pPr>
        <w:ind w:firstLine="0"/>
      </w:pPr>
      <w:r>
        <w:t xml:space="preserve">Science and religion are arguably the two most powerful forces in human culture. The nature </w:t>
      </w:r>
      <w:r>
        <w:rPr>
          <w:b/>
        </w:rPr>
        <w:t xml:space="preserve">of </w:t>
      </w:r>
      <w:r>
        <w:t xml:space="preserve">relations between these forces has been explored and debated for millennia </w:t>
      </w:r>
      <w:hyperlink w:anchor="loc_7">
        <w:r>
          <w:t xml:space="preserve">(Calvin 1960)</w:t>
        </w:r>
      </w:hyperlink>
      <w:r>
        <w:t xml:space="preserve">. This dissertation continues that exploration and debate. This first chapter introduces the dissertation in terms </w:t>
      </w:r>
      <w:r>
        <w:rPr>
          <w:b/>
        </w:rPr>
        <w:t xml:space="preserve">of </w:t>
      </w:r>
      <w:r>
        <w:t xml:space="preserve">its (1) problem and purpose, (2) problem justification, (3) methodology, and (4) delimitations </w:t>
      </w:r>
      <w:hyperlink w:anchor="loc_11">
        <w:r>
          <w:t xml:space="preserve">(Knight 2001)</w:t>
        </w:r>
      </w:hyperlink>
      <w:r>
        <w:t xml:space="preserve">.</w:t>
      </w:r>
    </w:p>
    <w:p>
      <w:r>
        <w:t xml:space="preserve">For Langdon Gilkey, science and theology are “mutually interdependent” with regard to relations between their types </w:t>
      </w:r>
      <w:r>
        <w:rPr>
          <w:b/>
        </w:rPr>
        <w:t xml:space="preserve">of </w:t>
      </w:r>
      <w:r>
        <w:t xml:space="preserve">truth:</w:t>
      </w:r>
    </w:p>
    <w:p>
      <w:r>
        <w:t xml:space="preserve">Now that Gilkey’s view </w:t>
      </w:r>
      <w:r>
        <w:rPr>
          <w:b/>
        </w:rPr>
        <w:t xml:space="preserve">of </w:t>
      </w:r>
      <w:r>
        <w:t xml:space="preserve">science has been surveyed, the nature </w:t>
      </w:r>
      <w:r>
        <w:rPr>
          <w:b/>
        </w:rPr>
        <w:t xml:space="preserve">of </w:t>
      </w:r>
      <w:r>
        <w:t xml:space="preserve">his model for theology and, therefore, for the use </w:t>
      </w:r>
      <w:r>
        <w:rPr>
          <w:b/>
        </w:rPr>
        <w:t xml:space="preserve">of </w:t>
      </w:r>
      <w:r>
        <w:t xml:space="preserve">empirical inquiry must be carefully delineated </w:t>
      </w:r>
      <w:hyperlink w:anchor="loc_8">
        <w:r>
          <w:t xml:space="preserve">(Canale 2005)</w:t>
        </w:r>
      </w:hyperlink>
      <w:r>
        <w:t xml:space="preserve">.</w:t>
      </w:r>
    </w:p>
    <w:p>
      <w:pPr>
        <w:pStyle w:val="Heading4"/>
      </w:pPr>
      <w:r>
        <w:t xml:space="preserve">The Nature of Theology</w:t>
      </w:r>
    </w:p>
    <w:p>
      <w:pPr>
        <w:ind w:firstLine="0"/>
      </w:pPr>
      <w:r>
        <w:t xml:space="preserve">Seventh-day Adventist theology has maintained a dynamic posture toward scientific developments while upholding the authority </w:t>
      </w:r>
      <w:r>
        <w:rPr>
          <w:b/>
        </w:rPr>
        <w:t xml:space="preserve">of </w:t>
      </w:r>
      <w:r>
        <w:t xml:space="preserve">Scripture </w:t>
      </w:r>
      <w:hyperlink w:anchor="loc_6">
        <w:r>
          <w:t xml:space="preserve">(Andrews University 2024)</w:t>
        </w:r>
      </w:hyperlink>
      <w:r>
        <w:t xml:space="preserve">. In the historical evolution </w:t>
      </w:r>
      <w:r>
        <w:rPr>
          <w:b/>
        </w:rPr>
        <w:t xml:space="preserve">of </w:t>
      </w:r>
      <w:r>
        <w:t xml:space="preserve">Adventist higher education, tensions and synthesis were frequently observed </w:t>
      </w:r>
      <w:hyperlink w:anchor="loc_10">
        <w:r>
          <w:t xml:space="preserve">(General Conference of Seventh-day Adventists 1995, p. 112)</w:t>
        </w:r>
      </w:hyperlink>
      <w:r>
        <w:t xml:space="preserve">.</w:t>
      </w:r>
    </w:p>
    <w:p>
      <w:pPr>
        <w:pStyle w:val="Heading5"/>
      </w:pPr>
      <w:r>
        <w:t xml:space="preserve">Curricular innovations in ministerial training</w:t>
      </w:r>
    </w:p>
    <w:p>
      <w:pPr>
        <w:ind w:firstLine="0"/>
      </w:pPr>
      <w:r>
        <w:t xml:space="preserve">The preparation </w:t>
      </w:r>
      <w:r>
        <w:rPr>
          <w:b/>
        </w:rPr>
        <w:t xml:space="preserve">of </w:t>
      </w:r>
      <w:r>
        <w:t xml:space="preserve">pastoral candidates requires intentional pedagogical structures that combine biblical exegetical rigor with contemporary leadership competencies </w:t>
      </w:r>
      <w:hyperlink w:anchor="loc_9">
        <w:r>
          <w:t xml:space="preserve">(Craigie 1983)</w:t>
        </w:r>
      </w:hyperlink>
      <w:r>
        <w:t xml:space="preserve">.</w:t>
      </w:r>
    </w:p>
    <w:p>
      <w:r>
        <w:rPr>
          <w:b/>
        </w:rPr>
        <w:t xml:space="preserve">Students feel responsible.</w:t>
      </w:r>
      <w:r>
        <w:t xml:space="preserve"> When the students actively participate in setting curriculum benchmarks, retention and practical application improve substantially </w:t>
      </w:r>
      <w:hyperlink w:anchor="loc_12">
        <w:r>
          <w:t xml:space="preserve">(Smith 2018)</w:t>
        </w:r>
      </w:hyperlink>
      <w:r>
        <w:t xml:space="preserve">. Faculty collaboration plays a pivotal role in designing modular course structures.</w:t>
      </w:r>
    </w:p>
    <w:p>
      <w:pPr>
        <w:pStyle w:val="Heading2"/>
      </w:pPr>
      <w:r>
        <w:t xml:space="preserve">Quantitative Data and Research Visualizations</w:t>
      </w:r>
    </w:p>
    <w:p>
      <w:pPr>
        <w:ind w:firstLine="0"/>
      </w:pPr>
      <w:r>
        <w:t xml:space="preserve">The empirical phase </w:t>
      </w:r>
      <w:r>
        <w:rPr>
          <w:b/>
        </w:rPr>
        <w:t xml:space="preserve">of </w:t>
      </w:r>
      <w:r>
        <w:t xml:space="preserve">the research gathered data on ministerial student preferences regarding DMin coursework flexibility and mentoring support.</w:t>
      </w:r>
    </w:p>
    <w:p>
      <w:r>
        <w:rPr>
          <w:b/>
        </w:rPr>
        <w:t xml:space="preserve">Table 1. </w:t>
      </w:r>
      <w:r>
        <w:t xml:space="preserve">Factors influencing students' choice </w:t>
      </w:r>
      <w:r>
        <w:rPr>
          <w:b/>
        </w:rPr>
        <w:t xml:space="preserve">of </w:t>
      </w:r>
      <w:r>
        <w:t xml:space="preserve">Andrews University DMin program (</w:t>
      </w:r>
      <w:r>
        <w:rPr>
          <w:b/>
        </w:rPr>
        <w:t xml:space="preserve">N = 24)</w:t>
      </w:r>
    </w:p>
    <w:tbl>
      <w:tblPr>
        <w:tblW w:w="5000" w:type="pct"/>
        <w:tblBorders>
          <w:top w:val="single" w:sz="8" w:space="0"/>
          <w:left w:val="nil"/>
          <w:bottom w:val="single" w:sz="8" w:space="0"/>
          <w:right w:val="nil"/>
          <w:insideH w:val="nil"/>
          <w:insideV w:val="nil"/>
        </w:tblBorders>
      </w:tblPr>
      <w:tr>
        <w:tc>
          <w:tcPr>
            <w:tcW w:w="3404" w:type="pct"/>
            <w:tcBorders>
              <w:bottom w:val="single" w:sz="8" w:space="0"/>
            </w:tcBorders>
          </w:tcPr>
          <w:p>
            <w:pPr>
              <w:ind w:firstLine="0"/>
              <w:jc w:val="left"/>
            </w:pPr>
            <w:r>
              <w:rPr>
                <w:b/>
              </w:rPr>
              <w:t xml:space="preserve">Response Criterion</w:t>
            </w:r>
          </w:p>
        </w:tc>
        <w:tc>
          <w:tcPr>
            <w:tcW w:w="1596" w:type="pct"/>
            <w:tcBorders>
              <w:bottom w:val="single" w:sz="8" w:space="0"/>
            </w:tcBorders>
          </w:tcPr>
          <w:p>
            <w:pPr>
              <w:ind w:firstLine="0"/>
              <w:jc w:val="right"/>
            </w:pPr>
            <w:r>
              <w:rPr>
                <w:b/>
              </w:rPr>
              <w:t xml:space="preserve">Percentage (%)</w:t>
            </w:r>
          </w:p>
        </w:tc>
      </w:tr>
      <w:tr>
        <w:tc>
          <w:tcPr>
            <w:tcW w:w="3404" w:type="pct"/>
          </w:tcPr>
          <w:p>
            <w:pPr>
              <w:ind w:firstLine="0"/>
              <w:jc w:val="left"/>
            </w:pPr>
            <w:r>
              <w:t xml:space="preserve">Flexible hybrid schedule</w:t>
            </w:r>
          </w:p>
        </w:tc>
        <w:tc>
          <w:tcPr>
            <w:tcW w:w="1596" w:type="pct"/>
          </w:tcPr>
          <w:p>
            <w:pPr>
              <w:ind w:firstLine="0"/>
              <w:jc w:val="right"/>
            </w:pPr>
            <w:r>
              <w:t xml:space="preserve">30.2</w:t>
            </w:r>
          </w:p>
        </w:tc>
      </w:tr>
      <w:tr>
        <w:tc>
          <w:tcPr>
            <w:tcW w:w="3404" w:type="pct"/>
          </w:tcPr>
          <w:p>
            <w:pPr>
              <w:ind w:firstLine="0"/>
              <w:jc w:val="left"/>
            </w:pPr>
            <w:r>
              <w:t xml:space="preserve">Faculty mentoring quality</w:t>
            </w:r>
          </w:p>
        </w:tc>
        <w:tc>
          <w:tcPr>
            <w:tcW w:w="1596" w:type="pct"/>
          </w:tcPr>
          <w:p>
            <w:pPr>
              <w:ind w:firstLine="0"/>
              <w:jc w:val="right"/>
            </w:pPr>
            <w:r>
              <w:t xml:space="preserve">22.1</w:t>
            </w:r>
          </w:p>
        </w:tc>
      </w:tr>
      <w:tr>
        <w:tc>
          <w:tcPr>
            <w:tcW w:w="3404" w:type="pct"/>
          </w:tcPr>
          <w:p>
            <w:pPr>
              <w:ind w:firstLine="0"/>
              <w:jc w:val="left"/>
            </w:pPr>
            <w:r>
              <w:t xml:space="preserve">Practical ministry relevance</w:t>
            </w:r>
          </w:p>
        </w:tc>
        <w:tc>
          <w:tcPr>
            <w:tcW w:w="1596" w:type="pct"/>
          </w:tcPr>
          <w:p>
            <w:pPr>
              <w:ind w:firstLine="0"/>
              <w:jc w:val="right"/>
            </w:pPr>
            <w:r>
              <w:t xml:space="preserve">20.4</w:t>
            </w:r>
          </w:p>
        </w:tc>
      </w:tr>
      <w:tr>
        <w:tc>
          <w:tcPr>
            <w:tcW w:w="3404" w:type="pct"/>
          </w:tcPr>
          <w:p>
            <w:pPr>
              <w:ind w:firstLine="0"/>
              <w:jc w:val="left"/>
            </w:pPr>
            <w:r>
              <w:t xml:space="preserve">Academic reputation</w:t>
            </w:r>
          </w:p>
        </w:tc>
        <w:tc>
          <w:tcPr>
            <w:tcW w:w="1596" w:type="pct"/>
          </w:tcPr>
          <w:p>
            <w:pPr>
              <w:ind w:firstLine="0"/>
              <w:jc w:val="right"/>
            </w:pPr>
            <w:r>
              <w:t xml:space="preserve">15.7</w:t>
            </w:r>
          </w:p>
        </w:tc>
      </w:tr>
    </w:tbl>
    <w:p>
      <w:r>
        <w:rPr>
          <w:sz w:val="20"/>
          <w:szCs w:val="20"/>
        </w:rPr>
        <w:t xml:space="preserve">Note. Data gathered from DMin cohort survey, Summer 2026.</w:t>
      </w:r>
    </w:p>
    <w:p>
      <w:r>
        <w:t xml:space="preserve">As illustrated in Table 1, course scheduling flexibility remains the predominant factor determining student enrollment decisions.</w:t>
      </w:r>
    </w:p>
    <w:p>
      <w:pPr>
        <w:ind w:firstLine="0"/>
        <w:jc w:val="center"/>
      </w:pPr>
      <w:r>
        <w:drawing>
          <wp:inline distT="0" distB="0" distL="0" distR="0">
            <wp:extent cx="5486400" cy="2090092"/>
            <wp:docPr id="1" name="Image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stretch>
                      <a:fillRect/>
                    </a:stretch>
                  </pic:blipFill>
                  <pic:spPr>
                    <a:xfrm>
                      <a:off x="0" y="0"/>
                      <a:ext cx="5486400" cy="2090092"/>
                    </a:xfrm>
                    <a:prstGeom prst="rect">
                      <a:avLst/>
                    </a:prstGeom>
                  </pic:spPr>
                </pic:pic>
              </a:graphicData>
            </a:graphic>
          </wp:inline>
        </w:drawing>
      </w:r>
    </w:p>
    <w:p>
      <w:pPr>
        <w:pStyle w:val="Heading1"/>
      </w:pPr>
      <w:r>
        <w:t xml:space="preserve">B. RESEARCH QUESTIONNAIRE</w:t>
      </w:r>
    </w:p>
    <w:p>
      <w:pPr>
        <w:pStyle w:val="Heading2"/>
      </w:pPr>
      <w:r>
        <w:t xml:space="preserve">Ministerial Integration Survey Instrument</w:t>
      </w:r>
    </w:p>
    <w:p>
      <w:pPr>
        <w:ind w:firstLine="0"/>
      </w:pPr>
      <w:r>
        <w:t xml:space="preserve">The following questionnaire was administered to pastoral leaders participating in the DMin research cohort. All responses were collected anonymously.</w:t>
      </w:r>
    </w:p>
    <w:p>
      <w:pPr>
        <w:numPr>
          <w:ilvl w:val="0"/>
          <w:numId w:val="4"/>
        </w:numPr>
        <w:ind w:left="480" w:hanging="240"/>
      </w:pPr>
      <w:r>
        <w:t xml:space="preserve">How often do scientific or faith-science questions arise in your pastoral counseling and preaching?</w:t>
      </w:r>
    </w:p>
    <w:p>
      <w:pPr>
        <w:numPr>
          <w:ilvl w:val="0"/>
          <w:numId w:val="4"/>
        </w:numPr>
        <w:ind w:left="480" w:hanging="240"/>
      </w:pPr>
      <w:r>
        <w:t xml:space="preserve">What hermeneutical models do you find most helpful when addressing cross-disciplinary topics?</w:t>
      </w:r>
    </w:p>
    <w:p>
      <w:pPr>
        <w:pStyle w:val="Heading1"/>
      </w:pPr>
      <w:r>
        <w:t xml:space="preserve">C. LETTERS OF PERMISSION</w:t>
      </w:r>
    </w:p>
    <w:p>
      <w:pPr>
        <w:ind w:firstLine="0"/>
      </w:pPr>
      <w:r>
        <w:t xml:space="preserve">Official documentation confirming authorization from participating institutional review boards (IRB) and district ministry supervisors to conduct empirical field research.</w:t>
      </w:r>
    </w:p>
    <w:p>
      <w:pPr>
        <w:pStyle w:val="Heading1"/>
      </w:pPr>
      <w:r>
        <w:t xml:space="preserve">REFERENCE LIST</w:t>
      </w:r>
    </w:p>
    <w:sdt>
      <w:sdtPr>
        <w:id w:val="1000000"/>
        <w:docPartObj>
          <w:docPartGallery w:val="Bibliographies"/>
          <w:docPartUnique/>
        </w:docPartObj>
        <w:bibliography/>
      </w:sdtPr>
      <w:sdtContent>
        <w:p>
          <w:pPr>
            <w:pStyle w:val="Bibliography"/>
          </w:pPr>
          <w:r>
            <w:fldChar w:fldCharType="begin"/>
          </w:r>
          <w:r>
            <w:instrText xml:space="preserve"> BIBLIOGRAPHY </w:instrText>
          </w:r>
          <w:r>
            <w:fldChar w:fldCharType="separate"/>
          </w:r>
        </w:p>
        <w:p>
          <w:pPr>
            <w:ind w:left="480" w:hanging="480" w:firstLine="0"/>
          </w:pPr>
          <w:bookmarkStart w:id="0" w:name="loc_6"/>
          <w:bookmarkEnd w:id="0"/>
          <w:r>
            <w:t xml:space="preserve">Andrews University. 2024. “Doctor </w:t>
          </w:r>
          <w:r>
            <w:rPr>
              <w:b/>
            </w:rPr>
            <w:t xml:space="preserve">of </w:t>
          </w:r>
          <w:r>
            <w:t xml:space="preserve">Ministry Project Writing Manual.”. Accessed August 25, 2026. https://www.andrews.edu/sem/dmin/project/.</w:t>
          </w:r>
        </w:p>
        <w:p>
          <w:pPr>
            <w:ind w:left="480" w:hanging="480" w:firstLine="0"/>
          </w:pPr>
          <w:bookmarkStart w:id="1" w:name="loc_7"/>
          <w:bookmarkEnd w:id="1"/>
          <w:r>
            <w:t xml:space="preserve">Calvin, John. 1960. </w:t>
          </w:r>
          <w:r>
            <w:rPr>
              <w:i/>
            </w:rPr>
            <w:t xml:space="preserve">Institutes </w:t>
          </w:r>
          <w:r>
            <w:rPr>
              <w:b/>
              <w:i/>
            </w:rPr>
            <w:t xml:space="preserve">of </w:t>
          </w:r>
          <w:r>
            <w:rPr>
              <w:i/>
            </w:rPr>
            <w:t xml:space="preserve">the Christian Religion</w:t>
          </w:r>
          <w:r>
            <w:t xml:space="preserve">. Edited by John T. McNeill. Translated by Ford Lewis Battles. Vols. 20–21, pt. 20–</w:t>
          </w:r>
          <w:r>
            <w:rPr>
              <w:b/>
            </w:rPr>
            <w:t xml:space="preserve">21. </w:t>
          </w:r>
          <w:r>
            <w:t xml:space="preserve">Library </w:t>
          </w:r>
          <w:r>
            <w:rPr>
              <w:b/>
            </w:rPr>
            <w:t xml:space="preserve">of </w:t>
          </w:r>
          <w:r>
            <w:t xml:space="preserve">Christian Classics. Philadelphia, PA</w:t>
          </w:r>
          <w:r>
            <w:rPr>
              <w:i/>
            </w:rPr>
            <w:t xml:space="preserve">:</w:t>
          </w:r>
          <w:r>
            <w:t xml:space="preserve"> Westminster Press.</w:t>
          </w:r>
        </w:p>
        <w:p>
          <w:pPr>
            <w:ind w:left="480" w:hanging="480" w:firstLine="0"/>
          </w:pPr>
          <w:bookmarkStart w:id="2" w:name="loc_8"/>
          <w:bookmarkEnd w:id="2"/>
          <w:r>
            <w:t xml:space="preserve">Canale, Fernando. 2005. “From Vision to System: Finishing the Task </w:t>
          </w:r>
          <w:r>
            <w:rPr>
              <w:b/>
            </w:rPr>
            <w:t xml:space="preserve">of </w:t>
          </w:r>
          <w:r>
            <w:t xml:space="preserve">Adventist Theology, Part I: Historical Review.” </w:t>
          </w:r>
          <w:r>
            <w:rPr>
              <w:i/>
            </w:rPr>
            <w:t xml:space="preserve">Journal </w:t>
          </w:r>
          <w:r>
            <w:rPr>
              <w:b/>
              <w:i/>
            </w:rPr>
            <w:t xml:space="preserve">of </w:t>
          </w:r>
          <w:r>
            <w:rPr>
              <w:i/>
            </w:rPr>
            <w:t xml:space="preserve">the Adventist Theological Society</w:t>
          </w:r>
          <w:r>
            <w:t xml:space="preserve"> 15 </w:t>
          </w:r>
          <w:r>
            <w:rPr>
              <w:b/>
            </w:rPr>
            <w:t xml:space="preserve">(</w:t>
          </w:r>
          <w:r>
            <w:t xml:space="preserve">2): 5–39.</w:t>
          </w:r>
        </w:p>
        <w:p>
          <w:pPr>
            <w:ind w:left="480" w:hanging="480" w:firstLine="0"/>
          </w:pPr>
          <w:bookmarkStart w:id="3" w:name="loc_9"/>
          <w:bookmarkEnd w:id="3"/>
          <w:r>
            <w:t xml:space="preserve">Craigie, Peter C. 1983. </w:t>
          </w:r>
          <w:r>
            <w:rPr>
              <w:i/>
            </w:rPr>
            <w:t xml:space="preserve">Psalms 1–50</w:t>
          </w:r>
          <w:r>
            <w:t xml:space="preserve">. Vol. 19, pt. 19. Word Biblical Commentary. Waco, TX</w:t>
          </w:r>
          <w:r>
            <w:rPr>
              <w:i/>
            </w:rPr>
            <w:t xml:space="preserve">:</w:t>
          </w:r>
          <w:r>
            <w:t xml:space="preserve"> Word Books.</w:t>
          </w:r>
        </w:p>
        <w:p>
          <w:pPr>
            <w:ind w:left="480" w:hanging="480" w:firstLine="0"/>
          </w:pPr>
          <w:bookmarkStart w:id="4" w:name="loc_10"/>
          <w:bookmarkEnd w:id="4"/>
          <w:r>
            <w:t xml:space="preserve">General Conference </w:t>
          </w:r>
          <w:r>
            <w:rPr>
              <w:b/>
            </w:rPr>
            <w:t xml:space="preserve">of </w:t>
          </w:r>
          <w:r>
            <w:t xml:space="preserve">Seventh-day Adventists. 1995. </w:t>
          </w:r>
          <w:r>
            <w:rPr>
              <w:i/>
            </w:rPr>
            <w:t xml:space="preserve">Seventh-Day Adventist Yearbook</w:t>
          </w:r>
          <w:r>
            <w:t xml:space="preserve">. Hagerstown, MD</w:t>
          </w:r>
          <w:r>
            <w:rPr>
              <w:i/>
            </w:rPr>
            <w:t xml:space="preserve">:</w:t>
          </w:r>
          <w:r>
            <w:t xml:space="preserve"> Review, Herald.</w:t>
          </w:r>
        </w:p>
        <w:p>
          <w:pPr>
            <w:ind w:left="480" w:hanging="480" w:firstLine="0"/>
          </w:pPr>
          <w:bookmarkStart w:id="5" w:name="loc_11"/>
          <w:bookmarkEnd w:id="5"/>
          <w:r>
            <w:t xml:space="preserve">Knight, George R. </w:t>
          </w:r>
          <w:r>
            <w:rPr>
              <w:b/>
            </w:rPr>
            <w:t xml:space="preserve">2001. </w:t>
          </w:r>
          <w:r>
            <w:t xml:space="preserve">“Whom Should We Educate? An Adventist Dilemma.” </w:t>
          </w:r>
          <w:r>
            <w:rPr>
              <w:i/>
            </w:rPr>
            <w:t xml:space="preserve">Journal </w:t>
          </w:r>
          <w:r>
            <w:rPr>
              <w:b/>
              <w:i/>
            </w:rPr>
            <w:t xml:space="preserve">of </w:t>
          </w:r>
          <w:r>
            <w:rPr>
              <w:i/>
            </w:rPr>
            <w:t xml:space="preserve">Adventist Education</w:t>
          </w:r>
          <w:r>
            <w:t xml:space="preserve"> 63 </w:t>
          </w:r>
          <w:r>
            <w:rPr>
              <w:b/>
            </w:rPr>
            <w:t xml:space="preserve">(</w:t>
          </w:r>
          <w:r>
            <w:t xml:space="preserve">4): 4–9.</w:t>
          </w:r>
        </w:p>
        <w:p>
          <w:pPr>
            <w:ind w:left="480" w:hanging="480" w:firstLine="0"/>
          </w:pPr>
          <w:bookmarkStart w:id="6" w:name="loc_12"/>
          <w:bookmarkEnd w:id="6"/>
          <w:r>
            <w:t xml:space="preserve">Smith, John A. 2018. “Transformational Leadership Development in Multilingual Congregations.” D.Min. project dissertation</w:t>
          </w:r>
          <w:r>
            <w:rPr>
              <w:i/>
            </w:rPr>
            <w:t xml:space="preserve">,</w:t>
          </w:r>
          <w:r>
            <w:t xml:space="preserve"> Berrien Springs, MI.</w:t>
          </w:r>
        </w:p>
        <w:p>
          <w:r>
            <w:fldChar w:fldCharType="end"/>
          </w:r>
        </w:p>
      </w:sdtContent>
    </w:sdt>
    <w:p>
      <w:pPr>
        <w:pStyle w:val="Heading1"/>
      </w:pPr>
      <w:r>
        <w:t xml:space="preserve">  </w:t>
      </w:r>
    </w:p>
    <w:sectPr>
      <w:footnotePr>
        <w:numRestart w:val="eachPage"/>
      </w:footnotePr>
      <w:pgSz w:w="12240" w:h="15840"/>
      <w:pgMar w:top="1457" w:right="1457" w:bottom="1457" w:left="1457"/>
    </w:sectPr>
  </w:body>
</w:document>
</file>

<file path=word/fontTable.xml><?xml version="1.0" encoding="utf-8"?>
<w:fonts xmlns:w="http://schemas.openxmlformats.org/wordprocessingml/2006/main">
  <w:font w:name="Courier New">
    <w:charset w:val="00"/>
  </w:font>
  <w:font w:name="Times New Roman">
    <w:charset w:val="00"/>
  </w:font>
</w:fonts>
</file>

<file path=word/numbering.xml><?xml version="1.0" encoding="utf-8"?>
<w:numbering xmlns:w="http://schemas.openxmlformats.org/wordprocessingml/2006/main">
  <w:abstractNum w:abstractNumId="1">
    <w:lvl w:ilvl="0">
      <w:start w:val="1"/>
      <w:numFmt w:val="decimal"/>
      <w:lvlText w:val="%1."/>
      <w:lvlJc w:val="left"/>
    </w:lvl>
  </w:abstractNum>
  <w:abstractNum w:abstractNumId="2">
    <w:lvl w:ilvl="0">
      <w:start w:val="1"/>
      <w:numFmt w:val="bullet"/>
      <w:lvlText w:val="•"/>
      <w:lvlJc w:val="left"/>
    </w:lvl>
  </w:abstractNum>
  <w:abstractNum w:abstractNumId="3">
    <w:lvl w:ilvl="0">
      <w:start w:val="1"/>
      <w:numFmt w:val="chineseCountingThousand"/>
      <w:lvlText w:val="%1、"/>
      <w:lvlJc w:val="left"/>
    </w:lvl>
    <w:lvl w:ilvl="1">
      <w:start w:val="1"/>
      <w:numFmt w:val="chineseCountingThousand"/>
      <w:lvlText w:val="（%2）"/>
      <w:lvlJc w:val="left"/>
    </w:lvl>
    <w:lvl w:ilvl="2">
      <w:start w:val="1"/>
      <w:numFmt w:val="decimal"/>
      <w:lvlText w:val="%3."/>
      <w:lvlJc w:val="left"/>
    </w:lvl>
    <w:lvl w:ilvl="3">
      <w:start w:val="1"/>
      <w:numFmt w:val="decimal"/>
      <w:lvlText w:val="（%4）"/>
      <w:lvlJc w:val="left"/>
    </w:lvl>
    <w:lvl w:ilvl="4">
      <w:start w:val="1"/>
      <w:numFmt w:val="decimalEnclosedCircleChinese"/>
      <w:lvlText w:val="%5"/>
      <w:lvlJc w:val="left"/>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xmlns:m="http://schemas.openxmlformats.org/officeDocument/2006/math">
  <w:footnotePr>
    <w:numRestart w:val="eachPage"/>
  </w:footnotePr>
  <w:compat>
    <w:useFELayout/>
    <w:compatSetting w:name="compatibilityMode" w:uri="http://schemas.microsoft.com/office/word" w:val="15"/>
  </w:compat>
  <w:themeFontLang w:val="en-US" w:eastAsia="en-US"/>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w="http://schemas.openxmlformats.org/wordprocessingml/2006/main">
  <w:docDefaults>
    <w:rPrDefault>
      <w:rPr>
        <w:rFonts w:ascii="Times New Roman" w:hAnsi="Times New Roman" w:eastAsia="Times New Roman"/>
        <w:kern w:val="2"/>
        <w:sz w:val="24"/>
        <w:szCs w:val="24"/>
        <w:lang w:val="en-US" w:eastAsia="en-US"/>
      </w:rPr>
    </w:rPrDefault>
    <w:pPrDefault>
      <w:pPr>
        <w:kinsoku/>
        <w:overflowPunct/>
        <w:autoSpaceDE/>
        <w:autoSpaceDN/>
        <w:wordWrap/>
        <w:topLinePunct/>
      </w:pPr>
    </w:pPrDefault>
  </w:docDefaults>
  <w:style w:type="paragraph" w:default="1" w:styleId="Normal">
    <w:name w:val="Normal"/>
    <w:rPr>
      <w:rFonts w:ascii="Times New Roman" w:hAnsi="Times New Roman" w:eastAsia="Times New Roman"/>
      <w:sz w:val="24"/>
      <w:szCs w:val="24"/>
      <w:lang w:val="en-US" w:eastAsia="en-US"/>
    </w:rPr>
    <w:pPr>
      <w:widowControl/>
      <w:jc w:val="left"/>
      <w:spacing w:before="0" w:after="132"/>
      <w:ind w:firstLine="0"/>
    </w:pPr>
  </w:style>
  <w:style w:type="paragraph" w:styleId="Heading1">
    <w:name w:val="heading 1"/>
    <w:basedOn w:val="Normal"/>
    <w:pPr>
      <w:widowControl/>
      <w:outlineLvl w:val="0"/>
      <w:spacing w:before="136" w:after="132"/>
      <w:ind w:firstLine="0"/>
    </w:pPr>
    <w:rPr>
      <w:rFonts w:ascii="Times New Roman" w:hAnsi="Times New Roman" w:eastAsia="Times New Roman"/>
      <w:b/>
      <w:sz w:val="33"/>
      <w:szCs w:val="33"/>
    </w:rPr>
  </w:style>
  <w:style w:type="paragraph" w:styleId="Heading2">
    <w:name w:val="heading 2"/>
    <w:basedOn w:val="Normal"/>
    <w:pPr>
      <w:widowControl/>
      <w:outlineLvl w:val="1"/>
      <w:spacing w:before="84" w:after="132"/>
      <w:ind w:firstLine="0"/>
    </w:pPr>
    <w:rPr>
      <w:rFonts w:ascii="Times New Roman" w:hAnsi="Times New Roman" w:eastAsia="Times New Roman"/>
      <w:b/>
      <w:sz w:val="31"/>
      <w:szCs w:val="31"/>
    </w:rPr>
  </w:style>
  <w:style w:type="paragraph" w:styleId="Heading3">
    <w:name w:val="heading 3"/>
    <w:basedOn w:val="Normal"/>
    <w:pPr>
      <w:widowControl/>
      <w:outlineLvl w:val="2"/>
      <w:spacing w:before="130" w:after="132"/>
      <w:ind w:firstLine="0"/>
    </w:pPr>
    <w:rPr>
      <w:rFonts w:ascii="Times New Roman" w:hAnsi="Times New Roman" w:eastAsia="Times New Roman"/>
      <w:b/>
      <w:sz w:val="29"/>
      <w:szCs w:val="29"/>
    </w:rPr>
  </w:style>
  <w:style w:type="paragraph" w:styleId="Heading4">
    <w:name w:val="heading 4"/>
    <w:basedOn w:val="Normal"/>
    <w:pPr>
      <w:widowControl/>
      <w:outlineLvl w:val="3"/>
      <w:spacing w:before="101" w:after="132"/>
      <w:ind w:firstLine="0"/>
    </w:pPr>
    <w:rPr>
      <w:rFonts w:ascii="Times New Roman" w:hAnsi="Times New Roman" w:eastAsia="Times New Roman"/>
      <w:b/>
      <w:sz w:val="27"/>
      <w:szCs w:val="27"/>
    </w:rPr>
  </w:style>
  <w:style w:type="paragraph" w:styleId="Heading5">
    <w:name w:val="heading 5"/>
    <w:basedOn w:val="Normal"/>
    <w:pPr>
      <w:widowControl/>
      <w:outlineLvl w:val="4"/>
      <w:spacing w:before="72" w:after="132"/>
      <w:ind w:firstLine="0"/>
    </w:pPr>
    <w:rPr>
      <w:rFonts w:ascii="Times New Roman" w:hAnsi="Times New Roman" w:eastAsia="Times New Roman"/>
      <w:b/>
      <w:sz w:val="25"/>
      <w:szCs w:val="25"/>
    </w:rPr>
  </w:style>
  <w:style w:type="paragraph" w:styleId="CodeBlock">
    <w:name w:val="Code Block"/>
    <w:basedOn w:val="Normal"/>
    <w:pPr>
      <w:ind w:firstLine="0"/>
      <w:spacing w:line="240" w:lineRule="auto" w:before="0" w:after="0"/>
      <w:shd w:val="clear" w:color="auto" w:fill="F2F2F2"/>
    </w:pPr>
    <w:rPr>
      <w:rFonts w:ascii="Courier New" w:hAnsi="Courier New" w:eastAsia="Courier New"/>
      <w:sz w:val="21"/>
      <w:szCs w:val="21"/>
    </w:rPr>
  </w:style>
  <w:style w:type="paragraph" w:styleId="Bibliography">
    <w:name w:val="Bibliography"/>
    <w:basedOn w:val="Normal"/>
    <w:pPr>
      <w:ind w:left="480" w:hanging="480" w:firstLine="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numbering" Target="numbering.xml"/>
  <Relationship Id="rId4" Type="http://schemas.openxmlformats.org/officeDocument/2006/relationships/settings" Target="settings.xml"/>
  <Relationship Id="rId5" Type="http://schemas.openxmlformats.org/officeDocument/2006/relationships/image" Target="media/image1.png"/>
</Relationships>
</file>

<file path=docProps/core.xml><?xml version="1.0" encoding="utf-8"?>
<cp:coreProperties xmlns:cp="http://schemas.openxmlformats.org/package/2006/metadata/core-properties" xmlns:dc="http://purl.org/dc/elements/1.1/" xmlns:dcterms="http://purl.org/dc/terms/" xmlns:xsi="http://www.w3.org/2001/XMLSchema-instance">
  <dc:title>  </dc:title>
  <dcterms:created xsi:type="dcterms:W3CDTF">2026-01-01T00:00:00Z</dcterms:created>
</cp:coreProperties>
</file>