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6F6A74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5D1E9C" w:rsidRPr="005D1E9C">
        <w:rPr>
          <w:rFonts w:ascii="Times New Roman" w:hAnsi="Times New Roman" w:cs="Times New Roman"/>
          <w:sz w:val="28"/>
          <w:szCs w:val="28"/>
          <w:lang w:val="uk-UA"/>
        </w:rPr>
        <w:t>Проведення комісій</w:t>
      </w: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6E6F77" w:rsidRDefault="00046F80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Скаковський</w:t>
      </w:r>
      <w:proofErr w:type="spellEnd"/>
      <w:r w:rsidR="00E02C1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r w:rsidR="00E02C1B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r w:rsidR="00E02C1B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6F6A74" w:rsidRPr="00353624" w:rsidRDefault="006F6A74" w:rsidP="00F37A19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35362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37A19" w:rsidRPr="00353624" w:rsidRDefault="000B0F4A" w:rsidP="00F37A19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536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3536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536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692885" w:history="1">
            <w:r w:rsidR="00F37A19" w:rsidRP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F37A19" w:rsidRPr="00353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3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A19" w:rsidRPr="00353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_Toc462692885 \h </w:instrText>
            </w:r>
            <w:r w:rsidRPr="00353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3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7A19" w:rsidRPr="00353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53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31AB" w:rsidRPr="00353624" w:rsidRDefault="00720848" w:rsidP="00F37A19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462692886" w:history="1">
            <w:r w:rsidR="00F37A19" w:rsidRP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  <w:r w:rsidR="00B431AB" w:rsidRP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ОСНОВНА ЧАСТИНА</w:t>
            </w:r>
            <w:r w:rsidR="00F37A19" w:rsidRPr="00353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7C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3</w:t>
            </w:r>
          </w:hyperlink>
        </w:p>
        <w:p w:rsidR="00F37A19" w:rsidRPr="00353624" w:rsidRDefault="00B431AB" w:rsidP="00F37A19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53624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  <w:t xml:space="preserve">    </w:t>
          </w:r>
          <w:hyperlink w:anchor="_Toc462692887" w:history="1">
            <w:r w:rsidRP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1.1 Діграма потоків даних нульового рівня</w:t>
            </w:r>
            <w:r w:rsidR="00F37A19" w:rsidRPr="00353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7C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</w:hyperlink>
        </w:p>
        <w:p w:rsidR="00F37A19" w:rsidRPr="00353624" w:rsidRDefault="00720848" w:rsidP="00F37A19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92888" w:history="1">
            <w:r w:rsidR="00B431AB" w:rsidRP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  </w:t>
            </w:r>
            <w:r w:rsidR="00FB2188" w:rsidRP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</w:t>
            </w:r>
            <w:r w:rsidR="00B431AB" w:rsidRP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  <w:r w:rsidR="00B431AB" w:rsidRP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.2 </w:t>
            </w:r>
            <w:r w:rsidR="00B431AB" w:rsidRP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Діаграма потоків даних першого рівня </w:t>
            </w:r>
            <w:r w:rsidR="00F37A19" w:rsidRPr="003536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7C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FB2188" w:rsidRPr="000E6094" w:rsidRDefault="00B431AB" w:rsidP="00FB218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53624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   </w:t>
          </w:r>
          <w:r w:rsidR="00FB2188" w:rsidRPr="00353624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1.3 </w:t>
          </w:r>
          <w:hyperlink w:anchor="_Toc462692889" w:history="1">
            <w:r w:rsidRP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Діаграма потоків даних </w:t>
            </w:r>
            <w:r w:rsid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другого</w:t>
            </w:r>
            <w:r w:rsidRPr="003536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рівня</w:t>
            </w:r>
            <w:r w:rsidR="000E609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.....................................................................8</w:t>
            </w:r>
          </w:hyperlink>
        </w:p>
        <w:p w:rsidR="006F6A74" w:rsidRDefault="000B0F4A" w:rsidP="00F37A19">
          <w:pPr>
            <w:spacing w:after="0" w:line="360" w:lineRule="auto"/>
          </w:pPr>
          <w:r w:rsidRPr="0035362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353624" w:rsidRPr="00353624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Висновок............................................................................................................................</w:t>
          </w:r>
          <w:r w:rsidR="004A06B7" w:rsidRPr="005D1E9C">
            <w:rPr>
              <w:rFonts w:ascii="Times New Roman" w:hAnsi="Times New Roman" w:cs="Times New Roman"/>
              <w:bCs/>
              <w:sz w:val="28"/>
              <w:szCs w:val="28"/>
            </w:rPr>
            <w:t>.</w:t>
          </w:r>
          <w:r w:rsidR="00353624" w:rsidRPr="00353624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1</w:t>
          </w:r>
          <w:r w:rsidR="00157CB3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0</w:t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997617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2692885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817" w:rsidRPr="008165B7" w:rsidRDefault="00A2773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Аналіз бізнес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процесу</w:t>
      </w:r>
      <w:r w:rsidR="00BD5B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організаційної системи є важливим для побудови коректної інформаційної системи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. Одним із способів такого аналізу є розбиття бізнес-процесу на складові та побудова дерева процесів на основі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отриманих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складових. Цей спосіб допомагає визначити які процеси треба реал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ізувати в інформаційній системі</w:t>
      </w:r>
      <w:r w:rsidR="00473B5E"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1BDC" w:rsidRPr="008165B7" w:rsidRDefault="00A2773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F36EA5" w:rsidRPr="008165B7">
        <w:rPr>
          <w:rFonts w:ascii="Times New Roman" w:hAnsi="Times New Roman" w:cs="Times New Roman"/>
          <w:sz w:val="28"/>
          <w:szCs w:val="28"/>
          <w:lang w:val="uk-UA"/>
        </w:rPr>
        <w:t>. Одніє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ю з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технологій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ться для моделювання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бізнес-процесів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, є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побудова діаграм</w:t>
      </w:r>
      <w:r w:rsidR="00E75F89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, які 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графічним представленням потоків даних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між процесами бізнес-процесу. </w:t>
      </w: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E02C1B">
        <w:rPr>
          <w:rFonts w:ascii="Times New Roman" w:hAnsi="Times New Roman" w:cs="Times New Roman"/>
          <w:sz w:val="28"/>
          <w:szCs w:val="28"/>
          <w:lang w:val="uk-UA"/>
        </w:rPr>
        <w:t xml:space="preserve">рамках виконання даного етапу курсової роботи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потрібно провести аналіз бізнес-процесу «</w:t>
      </w:r>
      <w:r w:rsidR="005D1E9C" w:rsidRPr="005D1E9C">
        <w:rPr>
          <w:rFonts w:ascii="Times New Roman" w:hAnsi="Times New Roman" w:cs="Times New Roman"/>
          <w:sz w:val="28"/>
          <w:szCs w:val="28"/>
          <w:lang w:val="uk-UA"/>
        </w:rPr>
        <w:t>Проведення комісій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шляхом побудови </w:t>
      </w:r>
      <w:r w:rsidR="00857651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діаграм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0, </w:t>
      </w:r>
      <w:r w:rsidR="00D41BDC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="00D41BDC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6A74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692886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bookmarkEnd w:id="1"/>
      <w:r w:rsidR="0035362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ОСНОВНА ЧАСТИНА</w:t>
      </w:r>
    </w:p>
    <w:p w:rsidR="00353624" w:rsidRDefault="00353624" w:rsidP="0035362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1.1 Діаграма потоків даних нульового рівня</w:t>
      </w:r>
    </w:p>
    <w:p w:rsidR="00353624" w:rsidRDefault="00353624" w:rsidP="0035362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53624" w:rsidRDefault="00353624" w:rsidP="0035362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53624" w:rsidRDefault="00353624" w:rsidP="0035362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Діаграма потоків даних нульового рівня зображено на рис.1.1</w:t>
      </w:r>
    </w:p>
    <w:p w:rsidR="00353624" w:rsidRPr="00353624" w:rsidRDefault="000174FA" w:rsidP="0035362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3956" cy="3019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вно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A5" w:rsidRDefault="00353624" w:rsidP="00D949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1.1 - Діаграма потоків нульового рівня</w:t>
      </w:r>
    </w:p>
    <w:p w:rsidR="00353624" w:rsidRPr="00406A11" w:rsidRDefault="00353624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рівні виділено 3 основні сутності</w:t>
      </w:r>
      <w:r w:rsidR="00406A11" w:rsidRPr="00406A11">
        <w:rPr>
          <w:rFonts w:ascii="Times New Roman" w:hAnsi="Times New Roman" w:cs="Times New Roman"/>
          <w:sz w:val="28"/>
          <w:szCs w:val="28"/>
        </w:rPr>
        <w:t>:</w:t>
      </w:r>
    </w:p>
    <w:p w:rsidR="00353624" w:rsidRDefault="00353624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406A1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06A11" w:rsidRPr="00406A11">
        <w:rPr>
          <w:rFonts w:ascii="Times New Roman" w:hAnsi="Times New Roman" w:cs="Times New Roman"/>
          <w:sz w:val="28"/>
          <w:szCs w:val="28"/>
        </w:rPr>
        <w:t xml:space="preserve"> - </w:t>
      </w:r>
      <w:r w:rsidR="00406A11">
        <w:rPr>
          <w:rFonts w:ascii="Times New Roman" w:hAnsi="Times New Roman" w:cs="Times New Roman"/>
          <w:sz w:val="28"/>
          <w:szCs w:val="28"/>
          <w:lang w:val="uk-UA"/>
        </w:rPr>
        <w:t>користувачі цієї системи</w:t>
      </w:r>
      <w:r w:rsidR="00406A11" w:rsidRPr="00E02C1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6A11" w:rsidRPr="00C743FE" w:rsidRDefault="00406A11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0174FA">
        <w:rPr>
          <w:rFonts w:ascii="Times New Roman" w:hAnsi="Times New Roman" w:cs="Times New Roman"/>
          <w:sz w:val="28"/>
          <w:szCs w:val="28"/>
          <w:lang w:val="en-US"/>
        </w:rPr>
        <w:t>Deanery</w:t>
      </w:r>
      <w:r w:rsidR="000174F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0174FA">
        <w:rPr>
          <w:rFonts w:ascii="Times New Roman" w:hAnsi="Times New Roman" w:cs="Times New Roman"/>
          <w:sz w:val="28"/>
          <w:szCs w:val="28"/>
          <w:lang w:val="uk-UA"/>
        </w:rPr>
        <w:tab/>
        <w:t>деканат.</w:t>
      </w:r>
    </w:p>
    <w:p w:rsidR="000174FA" w:rsidRDefault="0034301E" w:rsidP="00406A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406A11" w:rsidRPr="00406A11">
        <w:rPr>
          <w:rFonts w:ascii="Times New Roman" w:hAnsi="Times New Roman" w:cs="Times New Roman"/>
          <w:sz w:val="28"/>
          <w:szCs w:val="28"/>
          <w:lang w:val="uk-UA"/>
        </w:rPr>
        <w:t>Від зовнішньої сутності</w:t>
      </w:r>
      <w:r w:rsidR="00A724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6A11" w:rsidRPr="00406A1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406A11" w:rsidRPr="00406A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6A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6A11" w:rsidRPr="00406A11">
        <w:rPr>
          <w:rFonts w:ascii="Times New Roman" w:hAnsi="Times New Roman" w:cs="Times New Roman"/>
          <w:sz w:val="28"/>
          <w:szCs w:val="28"/>
          <w:lang w:val="uk-UA"/>
        </w:rPr>
        <w:t>до процесу</w:t>
      </w:r>
      <w:r w:rsid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4FA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0174FA">
        <w:rPr>
          <w:rFonts w:ascii="Times New Roman" w:hAnsi="Times New Roman" w:cs="Times New Roman"/>
          <w:sz w:val="28"/>
          <w:szCs w:val="28"/>
          <w:lang w:val="uk-UA"/>
        </w:rPr>
        <w:t>rganization</w:t>
      </w:r>
      <w:proofErr w:type="spellEnd"/>
      <w:r w:rsid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74FA">
        <w:rPr>
          <w:rFonts w:ascii="Times New Roman" w:hAnsi="Times New Roman" w:cs="Times New Roman"/>
          <w:sz w:val="28"/>
          <w:szCs w:val="28"/>
          <w:lang w:val="uk-UA"/>
        </w:rPr>
        <w:t>commission</w:t>
      </w:r>
      <w:proofErr w:type="spellEnd"/>
      <w:r w:rsidR="000174FA" w:rsidRP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6A11" w:rsidRPr="00406A11">
        <w:rPr>
          <w:rFonts w:ascii="Times New Roman" w:hAnsi="Times New Roman" w:cs="Times New Roman"/>
          <w:sz w:val="28"/>
          <w:szCs w:val="28"/>
          <w:lang w:val="uk-UA"/>
        </w:rPr>
        <w:t>передаються дані</w:t>
      </w:r>
      <w:r w:rsidR="00406A11">
        <w:rPr>
          <w:rFonts w:ascii="Times New Roman" w:hAnsi="Times New Roman" w:cs="Times New Roman"/>
          <w:sz w:val="28"/>
          <w:szCs w:val="28"/>
          <w:lang w:val="uk-UA"/>
        </w:rPr>
        <w:t xml:space="preserve"> про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4301E">
        <w:rPr>
          <w:rFonts w:ascii="Times New Roman" w:hAnsi="Times New Roman" w:cs="Times New Roman"/>
          <w:sz w:val="28"/>
          <w:szCs w:val="28"/>
          <w:lang w:val="uk-UA"/>
        </w:rPr>
        <w:t>включаючи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4FA">
        <w:rPr>
          <w:rFonts w:ascii="Times New Roman" w:hAnsi="Times New Roman" w:cs="Times New Roman"/>
          <w:sz w:val="28"/>
          <w:szCs w:val="28"/>
          <w:lang w:val="uk-UA"/>
        </w:rPr>
        <w:t>успішність за цілий семестр).</w:t>
      </w:r>
    </w:p>
    <w:p w:rsidR="0034301E" w:rsidRDefault="0034301E" w:rsidP="00406A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406A11">
        <w:rPr>
          <w:rFonts w:ascii="Times New Roman" w:hAnsi="Times New Roman" w:cs="Times New Roman"/>
          <w:sz w:val="28"/>
          <w:szCs w:val="28"/>
          <w:lang w:val="uk-UA"/>
        </w:rPr>
        <w:t xml:space="preserve">Від зовнішньої сутності </w:t>
      </w:r>
      <w:r w:rsidR="000174FA">
        <w:rPr>
          <w:rFonts w:ascii="Times New Roman" w:hAnsi="Times New Roman" w:cs="Times New Roman"/>
          <w:sz w:val="28"/>
          <w:szCs w:val="28"/>
          <w:lang w:val="en-US"/>
        </w:rPr>
        <w:t>Deanery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6A11">
        <w:rPr>
          <w:rFonts w:ascii="Times New Roman" w:hAnsi="Times New Roman" w:cs="Times New Roman"/>
          <w:sz w:val="28"/>
          <w:szCs w:val="28"/>
          <w:lang w:val="uk-UA"/>
        </w:rPr>
        <w:t>до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4FA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0174FA">
        <w:rPr>
          <w:rFonts w:ascii="Times New Roman" w:hAnsi="Times New Roman" w:cs="Times New Roman"/>
          <w:sz w:val="28"/>
          <w:szCs w:val="28"/>
          <w:lang w:val="uk-UA"/>
        </w:rPr>
        <w:t>rganization</w:t>
      </w:r>
      <w:proofErr w:type="spellEnd"/>
      <w:r w:rsid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74FA">
        <w:rPr>
          <w:rFonts w:ascii="Times New Roman" w:hAnsi="Times New Roman" w:cs="Times New Roman"/>
          <w:sz w:val="28"/>
          <w:szCs w:val="28"/>
          <w:lang w:val="uk-UA"/>
        </w:rPr>
        <w:t>commission</w:t>
      </w:r>
      <w:proofErr w:type="spellEnd"/>
      <w:r w:rsidR="000174FA" w:rsidRP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6A11">
        <w:rPr>
          <w:rFonts w:ascii="Times New Roman" w:hAnsi="Times New Roman" w:cs="Times New Roman"/>
          <w:sz w:val="28"/>
          <w:szCs w:val="28"/>
          <w:lang w:val="uk-UA"/>
        </w:rPr>
        <w:t>передаються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</w:t>
      </w:r>
      <w:r w:rsidRPr="003430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4FA">
        <w:rPr>
          <w:rFonts w:ascii="Times New Roman" w:hAnsi="Times New Roman" w:cs="Times New Roman"/>
          <w:sz w:val="28"/>
          <w:szCs w:val="28"/>
          <w:lang w:val="uk-UA"/>
        </w:rPr>
        <w:t>місце та час проведення комісій</w:t>
      </w:r>
      <w:r w:rsidR="00E360E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743FE" w:rsidRPr="00C743FE" w:rsidRDefault="00C743FE" w:rsidP="00C743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43FE" w:rsidRPr="00C743FE" w:rsidRDefault="00C743FE" w:rsidP="00406A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49C4" w:rsidRDefault="00D949C4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43FE" w:rsidRDefault="00C743FE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9C4" w:rsidRDefault="00D949C4" w:rsidP="000174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74FA" w:rsidRPr="000174FA" w:rsidRDefault="000174FA" w:rsidP="000174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9C4" w:rsidRDefault="00D949C4" w:rsidP="00D949C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1.2 Діаграма потоків даних першого рівня</w:t>
      </w:r>
    </w:p>
    <w:p w:rsidR="00D949C4" w:rsidRDefault="00D949C4" w:rsidP="00D949C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949C4" w:rsidRDefault="00D949C4" w:rsidP="00D949C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949C4" w:rsidRDefault="00D949C4" w:rsidP="00D949C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Діаграма потоків даних першого рівня зображено на рис.1.2</w:t>
      </w:r>
    </w:p>
    <w:p w:rsidR="00D949C4" w:rsidRPr="00D949C4" w:rsidRDefault="00D949C4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949C4" w:rsidRDefault="00CB16C0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655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вно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C4" w:rsidRDefault="00D949C4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9C4" w:rsidRDefault="00D949C4" w:rsidP="00D949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1.2 - Діаграма потоків першого рівня</w:t>
      </w:r>
    </w:p>
    <w:p w:rsidR="00A7244A" w:rsidRDefault="00A7244A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рівні процес </w:t>
      </w:r>
      <w:r w:rsidR="000174FA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0174FA">
        <w:rPr>
          <w:rFonts w:ascii="Times New Roman" w:hAnsi="Times New Roman" w:cs="Times New Roman"/>
          <w:sz w:val="28"/>
          <w:szCs w:val="28"/>
          <w:lang w:val="uk-UA"/>
        </w:rPr>
        <w:t>rganization</w:t>
      </w:r>
      <w:proofErr w:type="spellEnd"/>
      <w:r w:rsid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74FA">
        <w:rPr>
          <w:rFonts w:ascii="Times New Roman" w:hAnsi="Times New Roman" w:cs="Times New Roman"/>
          <w:sz w:val="28"/>
          <w:szCs w:val="28"/>
          <w:lang w:val="uk-UA"/>
        </w:rPr>
        <w:t>commission</w:t>
      </w:r>
      <w:proofErr w:type="spellEnd"/>
      <w:r w:rsidR="000174FA" w:rsidRP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розкладено на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процес авторизації користувача </w:t>
      </w:r>
      <w:r w:rsidR="000174FA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A724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</w:t>
      </w:r>
      <w:r w:rsidR="000174FA" w:rsidRP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4FA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розкладу комісії </w:t>
      </w:r>
      <w:r w:rsidR="00BE4FED">
        <w:rPr>
          <w:rFonts w:ascii="Times New Roman" w:hAnsi="Times New Roman" w:cs="Times New Roman"/>
          <w:sz w:val="28"/>
          <w:szCs w:val="28"/>
          <w:lang w:val="en-US"/>
        </w:rPr>
        <w:t>Preparation</w:t>
      </w:r>
      <w:r w:rsidR="000174FA" w:rsidRP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4FED">
        <w:rPr>
          <w:rFonts w:ascii="Times New Roman" w:hAnsi="Times New Roman" w:cs="Times New Roman"/>
          <w:sz w:val="28"/>
          <w:szCs w:val="28"/>
          <w:lang w:val="en-US"/>
        </w:rPr>
        <w:t>commission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4FA">
        <w:rPr>
          <w:rFonts w:ascii="Times New Roman" w:hAnsi="Times New Roman" w:cs="Times New Roman"/>
          <w:sz w:val="28"/>
          <w:szCs w:val="28"/>
          <w:lang w:val="uk-UA"/>
        </w:rPr>
        <w:t>та процес комісія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4FA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0174FA" w:rsidRP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4FA">
        <w:rPr>
          <w:rFonts w:ascii="Times New Roman" w:hAnsi="Times New Roman" w:cs="Times New Roman"/>
          <w:sz w:val="28"/>
          <w:szCs w:val="28"/>
          <w:lang w:val="en-US"/>
        </w:rPr>
        <w:t>commission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244A" w:rsidRPr="00D42B69" w:rsidRDefault="00A7244A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6A11">
        <w:rPr>
          <w:rFonts w:ascii="Times New Roman" w:hAnsi="Times New Roman" w:cs="Times New Roman"/>
          <w:sz w:val="28"/>
          <w:szCs w:val="28"/>
          <w:lang w:val="uk-UA"/>
        </w:rPr>
        <w:t>Від зовнішньої сутності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4FA">
        <w:rPr>
          <w:rFonts w:ascii="Times New Roman" w:hAnsi="Times New Roman" w:cs="Times New Roman"/>
          <w:sz w:val="28"/>
          <w:szCs w:val="28"/>
          <w:lang w:val="en-US"/>
        </w:rPr>
        <w:t>Deanery</w:t>
      </w:r>
      <w:r w:rsidRPr="00406A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процесу </w:t>
      </w:r>
      <w:r w:rsidR="00CB16C0">
        <w:rPr>
          <w:rFonts w:ascii="Times New Roman" w:hAnsi="Times New Roman" w:cs="Times New Roman"/>
          <w:sz w:val="28"/>
          <w:szCs w:val="28"/>
          <w:lang w:val="en-US"/>
        </w:rPr>
        <w:t>Preparation</w:t>
      </w:r>
      <w:r w:rsidR="00CB16C0" w:rsidRPr="00CB16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6C0">
        <w:rPr>
          <w:rFonts w:ascii="Times New Roman" w:hAnsi="Times New Roman" w:cs="Times New Roman"/>
          <w:sz w:val="28"/>
          <w:szCs w:val="28"/>
          <w:lang w:val="en-US"/>
        </w:rPr>
        <w:t>commission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6A11">
        <w:rPr>
          <w:rFonts w:ascii="Times New Roman" w:hAnsi="Times New Roman" w:cs="Times New Roman"/>
          <w:sz w:val="28"/>
          <w:szCs w:val="28"/>
          <w:lang w:val="uk-UA"/>
        </w:rPr>
        <w:t>передаються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</w:t>
      </w:r>
      <w:r w:rsidR="000174FA">
        <w:rPr>
          <w:rFonts w:ascii="Times New Roman" w:hAnsi="Times New Roman" w:cs="Times New Roman"/>
          <w:sz w:val="28"/>
          <w:szCs w:val="28"/>
          <w:lang w:val="uk-UA"/>
        </w:rPr>
        <w:t>о місце та час проведення комісії</w:t>
      </w:r>
      <w:r w:rsidR="00D42B6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174FA">
        <w:rPr>
          <w:rFonts w:ascii="Times New Roman" w:hAnsi="Times New Roman" w:cs="Times New Roman"/>
          <w:sz w:val="28"/>
          <w:szCs w:val="28"/>
          <w:lang w:val="uk-UA"/>
        </w:rPr>
        <w:t xml:space="preserve"> Від внутрішнього накопичувача </w:t>
      </w:r>
      <w:r w:rsidR="000174FA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0174FA" w:rsidRP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4FA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0174F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0174FA" w:rsidRPr="00017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4FA">
        <w:rPr>
          <w:rFonts w:ascii="Times New Roman" w:hAnsi="Times New Roman" w:cs="Times New Roman"/>
          <w:sz w:val="28"/>
          <w:szCs w:val="28"/>
          <w:lang w:val="uk-UA"/>
        </w:rPr>
        <w:t>передаються дані про кількість студентів які будуть брати участь в комісії</w:t>
      </w:r>
      <w:r w:rsidR="00D42B6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174FA" w:rsidRPr="00BE4FED" w:rsidRDefault="003B4F9B" w:rsidP="003B4F9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внутрішнього накопичувача</w:t>
      </w:r>
      <w:r w:rsidR="00BE4FED" w:rsidRPr="00BE4F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4FED">
        <w:rPr>
          <w:rFonts w:ascii="Times New Roman" w:hAnsi="Times New Roman" w:cs="Times New Roman"/>
          <w:sz w:val="28"/>
          <w:szCs w:val="28"/>
          <w:lang w:val="en-US"/>
        </w:rPr>
        <w:t>Timetable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передаються дані які необхідні для проведення комісії. Результат комісії записується в </w:t>
      </w:r>
      <w:r>
        <w:rPr>
          <w:rFonts w:ascii="Times New Roman" w:hAnsi="Times New Roman" w:cs="Times New Roman"/>
          <w:sz w:val="28"/>
          <w:szCs w:val="28"/>
          <w:lang w:val="uk-UA"/>
        </w:rPr>
        <w:t>внутрішн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 накопичувач </w:t>
      </w:r>
      <w:r>
        <w:rPr>
          <w:rFonts w:ascii="Times New Roman" w:hAnsi="Times New Roman" w:cs="Times New Roman"/>
          <w:sz w:val="28"/>
          <w:szCs w:val="28"/>
          <w:lang w:val="en-US"/>
        </w:rPr>
        <w:t>Resul</w:t>
      </w:r>
      <w:r w:rsidR="00BE4FE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E4F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74FA" w:rsidRDefault="000174FA" w:rsidP="00AA4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49D2" w:rsidRDefault="00AA49D2" w:rsidP="00AA49D2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1.</w:t>
      </w:r>
      <w:r w:rsidRPr="00AA49D2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Діаграма потоків даних другого рівня </w:t>
      </w:r>
    </w:p>
    <w:p w:rsidR="00AA49D2" w:rsidRDefault="00AA49D2" w:rsidP="00AA49D2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A49D2" w:rsidRDefault="00AA49D2" w:rsidP="00AA49D2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A49D2" w:rsidRDefault="00AA49D2" w:rsidP="00AA49D2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Діаграма потоків даних другого рівня зображено на рис.1.3</w:t>
      </w:r>
    </w:p>
    <w:p w:rsidR="00AA49D2" w:rsidRPr="00D42B69" w:rsidRDefault="00BE4FED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002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вно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F9" w:rsidRPr="00BE4FED" w:rsidRDefault="00A51244" w:rsidP="00BE4F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1.3 - Діаграма потоків другого рівня</w:t>
      </w:r>
    </w:p>
    <w:p w:rsidR="00046F80" w:rsidRPr="00C55CF9" w:rsidRDefault="00046F80" w:rsidP="00C55CF9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5CF9"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proofErr w:type="spellStart"/>
      <w:r w:rsidR="00BE4FED" w:rsidRPr="00C55CF9">
        <w:rPr>
          <w:rFonts w:ascii="Times New Roman" w:hAnsi="Times New Roman" w:cs="Times New Roman"/>
          <w:sz w:val="28"/>
          <w:szCs w:val="28"/>
          <w:lang w:val="uk-UA"/>
        </w:rPr>
        <w:t>Аuthorization</w:t>
      </w:r>
      <w:proofErr w:type="spellEnd"/>
      <w:r w:rsidRPr="00C55CF9">
        <w:rPr>
          <w:rFonts w:ascii="Times New Roman" w:hAnsi="Times New Roman" w:cs="Times New Roman"/>
          <w:sz w:val="28"/>
          <w:szCs w:val="28"/>
          <w:lang w:val="uk-UA"/>
        </w:rPr>
        <w:t xml:space="preserve"> поділяється на </w:t>
      </w:r>
      <w:r w:rsidR="00C55CF9" w:rsidRPr="00C55CF9">
        <w:rPr>
          <w:rFonts w:ascii="Times New Roman" w:hAnsi="Times New Roman" w:cs="Times New Roman"/>
          <w:sz w:val="28"/>
          <w:szCs w:val="28"/>
        </w:rPr>
        <w:t>2</w:t>
      </w:r>
      <w:r w:rsidRPr="00C55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5CF9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C55CF9">
        <w:rPr>
          <w:rFonts w:ascii="Times New Roman" w:hAnsi="Times New Roman" w:cs="Times New Roman"/>
          <w:sz w:val="28"/>
          <w:szCs w:val="28"/>
        </w:rPr>
        <w:t>:</w:t>
      </w:r>
    </w:p>
    <w:p w:rsidR="00046F80" w:rsidRDefault="00046F80" w:rsidP="00046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046F80">
        <w:t xml:space="preserve"> </w:t>
      </w:r>
      <w:proofErr w:type="spellStart"/>
      <w:r w:rsidR="00C55CF9" w:rsidRPr="00C55CF9">
        <w:rPr>
          <w:rFonts w:ascii="Times New Roman" w:hAnsi="Times New Roman" w:cs="Times New Roman"/>
          <w:sz w:val="28"/>
          <w:szCs w:val="28"/>
          <w:lang w:val="uk-UA"/>
        </w:rPr>
        <w:t>Аuthorization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6F80" w:rsidRDefault="00046F80" w:rsidP="00046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C55CF9" w:rsidRPr="00C55CF9">
        <w:t xml:space="preserve"> </w:t>
      </w:r>
      <w:proofErr w:type="spellStart"/>
      <w:r w:rsidR="00C55CF9" w:rsidRPr="00C55CF9">
        <w:rPr>
          <w:rFonts w:ascii="Times New Roman" w:hAnsi="Times New Roman" w:cs="Times New Roman"/>
          <w:sz w:val="28"/>
          <w:szCs w:val="28"/>
          <w:lang w:val="uk-UA"/>
        </w:rPr>
        <w:t>Registration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5CF9" w:rsidRPr="00C55CF9" w:rsidRDefault="00C55CF9" w:rsidP="00C55CF9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5CF9"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="00BE4FED">
        <w:rPr>
          <w:rFonts w:ascii="Times New Roman" w:hAnsi="Times New Roman" w:cs="Times New Roman"/>
          <w:sz w:val="28"/>
          <w:szCs w:val="28"/>
          <w:lang w:val="en-US"/>
        </w:rPr>
        <w:t>Preparation</w:t>
      </w:r>
      <w:r w:rsidR="00BE4FED" w:rsidRPr="00CB16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4FED">
        <w:rPr>
          <w:rFonts w:ascii="Times New Roman" w:hAnsi="Times New Roman" w:cs="Times New Roman"/>
          <w:sz w:val="28"/>
          <w:szCs w:val="28"/>
          <w:lang w:val="en-US"/>
        </w:rPr>
        <w:t>commission</w:t>
      </w:r>
      <w:r w:rsidR="00BE4F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5CF9">
        <w:rPr>
          <w:rFonts w:ascii="Times New Roman" w:hAnsi="Times New Roman" w:cs="Times New Roman"/>
          <w:sz w:val="28"/>
          <w:szCs w:val="28"/>
          <w:lang w:val="uk-UA"/>
        </w:rPr>
        <w:t xml:space="preserve">поділяється на </w:t>
      </w:r>
      <w:r w:rsidRPr="00C55CF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55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5CF9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C55C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5CF9" w:rsidRPr="00C55CF9" w:rsidRDefault="00C55CF9" w:rsidP="00C55C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BE4FED">
        <w:rPr>
          <w:rFonts w:ascii="Times New Roman" w:hAnsi="Times New Roman" w:cs="Times New Roman"/>
          <w:sz w:val="28"/>
          <w:szCs w:val="28"/>
          <w:lang w:val="en-US"/>
        </w:rPr>
        <w:t>Find location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5CF9" w:rsidRDefault="00BE4FED" w:rsidP="00046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Create timetable</w:t>
      </w:r>
      <w:r w:rsidR="00C55C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5746" w:rsidRDefault="00505746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5746" w:rsidRDefault="00505746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49D2" w:rsidRDefault="00D70803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51244" w:rsidRDefault="00A51244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1607" w:rsidRDefault="002F1607" w:rsidP="00A5124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51244" w:rsidRDefault="00A51244" w:rsidP="00A5124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0174FA" w:rsidRPr="00BE4FED" w:rsidRDefault="000174FA" w:rsidP="000174FA">
      <w:pPr>
        <w:rPr>
          <w:lang w:val="en-US"/>
        </w:rPr>
      </w:pPr>
      <w:bookmarkStart w:id="2" w:name="_Toc462692888"/>
    </w:p>
    <w:p w:rsidR="007F26B6" w:rsidRPr="008165B7" w:rsidRDefault="007F26B6" w:rsidP="00E02C1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GoBack"/>
      <w:bookmarkEnd w:id="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0174FA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817" w:rsidRPr="008165B7" w:rsidRDefault="00AC2C5F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Розроблені в домашній роботі д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іаграми </w:t>
      </w:r>
      <w:r w:rsidR="001B4562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1B4562" w:rsidRPr="00652F36">
        <w:rPr>
          <w:rFonts w:ascii="Times New Roman" w:hAnsi="Times New Roman" w:cs="Times New Roman"/>
          <w:sz w:val="28"/>
          <w:szCs w:val="28"/>
          <w:lang w:val="uk-UA"/>
        </w:rPr>
        <w:t xml:space="preserve"> складаються 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>з наступних елементів: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а) зовнішні накопичувачі(джерела інформації);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б) процеси обробки інформації;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в) внутрішні накопичувачі(джерела інформації) – використовуються для збереження інформації, яка отримується з процесів обробки інформації;</w:t>
      </w:r>
    </w:p>
    <w:p w:rsidR="001B4562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г) потік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– стрілка, яка з’єднує між собою накопичувач і процес обробки, або навпаки.</w:t>
      </w:r>
    </w:p>
    <w:p w:rsidR="00652C23" w:rsidRPr="008165B7" w:rsidRDefault="00652C2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Процеси між собою обмінюються інформацією лише через внутрішній накопичувач.</w:t>
      </w:r>
    </w:p>
    <w:p w:rsidR="00505746" w:rsidRPr="00E360EE" w:rsidRDefault="00505746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462692889"/>
    </w:p>
    <w:p w:rsidR="00505746" w:rsidRPr="00E360EE" w:rsidRDefault="00505746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05746" w:rsidRPr="00E360EE" w:rsidRDefault="00505746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05746" w:rsidRPr="00E360EE" w:rsidRDefault="00505746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05746" w:rsidRPr="00E360EE" w:rsidRDefault="00505746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05746" w:rsidRPr="00E360EE" w:rsidRDefault="00505746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05746" w:rsidRPr="00E360EE" w:rsidRDefault="00505746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05746" w:rsidRPr="00E360EE" w:rsidRDefault="00505746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05746" w:rsidRPr="00E360EE" w:rsidRDefault="00505746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05746" w:rsidRPr="00E360EE" w:rsidRDefault="00505746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6F80" w:rsidRDefault="00046F80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bookmarkEnd w:id="4"/>
    <w:p w:rsidR="00046F80" w:rsidRDefault="00046F80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46F80" w:rsidRDefault="00046F80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16DC9" w:rsidRPr="00505746" w:rsidRDefault="00F16DC9" w:rsidP="005057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947D6F" w:rsidRDefault="00947D6F" w:rsidP="00A5124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947D6F" w:rsidSect="002E2483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848" w:rsidRDefault="00720848" w:rsidP="00473B5E">
      <w:pPr>
        <w:spacing w:after="0" w:line="240" w:lineRule="auto"/>
      </w:pPr>
      <w:r>
        <w:separator/>
      </w:r>
    </w:p>
  </w:endnote>
  <w:endnote w:type="continuationSeparator" w:id="0">
    <w:p w:rsidR="00720848" w:rsidRDefault="00720848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848" w:rsidRDefault="00720848" w:rsidP="00473B5E">
      <w:pPr>
        <w:spacing w:after="0" w:line="240" w:lineRule="auto"/>
      </w:pPr>
      <w:r>
        <w:separator/>
      </w:r>
    </w:p>
  </w:footnote>
  <w:footnote w:type="continuationSeparator" w:id="0">
    <w:p w:rsidR="00720848" w:rsidRDefault="00720848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05746" w:rsidRPr="00473B5E" w:rsidRDefault="000B0F4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05746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E4FE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05746" w:rsidRPr="00473B5E" w:rsidRDefault="00505746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1D3FDF"/>
    <w:multiLevelType w:val="hybridMultilevel"/>
    <w:tmpl w:val="D2F0FB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035F3"/>
    <w:rsid w:val="0000622D"/>
    <w:rsid w:val="000174FA"/>
    <w:rsid w:val="00033A1A"/>
    <w:rsid w:val="00042911"/>
    <w:rsid w:val="00046F80"/>
    <w:rsid w:val="00060048"/>
    <w:rsid w:val="00062F18"/>
    <w:rsid w:val="000675D4"/>
    <w:rsid w:val="0008333B"/>
    <w:rsid w:val="00090C76"/>
    <w:rsid w:val="000A0970"/>
    <w:rsid w:val="000B0F4A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6094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57CB3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2BBA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A3CD5"/>
    <w:rsid w:val="002A59AD"/>
    <w:rsid w:val="002A60F9"/>
    <w:rsid w:val="002A6C59"/>
    <w:rsid w:val="002B1070"/>
    <w:rsid w:val="002C47C2"/>
    <w:rsid w:val="002D43CA"/>
    <w:rsid w:val="002E1739"/>
    <w:rsid w:val="002E2483"/>
    <w:rsid w:val="002F1607"/>
    <w:rsid w:val="002F6C3D"/>
    <w:rsid w:val="002F7CAD"/>
    <w:rsid w:val="00310FA0"/>
    <w:rsid w:val="00320CC5"/>
    <w:rsid w:val="00332BC1"/>
    <w:rsid w:val="0034301E"/>
    <w:rsid w:val="003449D2"/>
    <w:rsid w:val="00344C17"/>
    <w:rsid w:val="003468BE"/>
    <w:rsid w:val="00353624"/>
    <w:rsid w:val="00360BF0"/>
    <w:rsid w:val="00360DBA"/>
    <w:rsid w:val="00361AE4"/>
    <w:rsid w:val="00362918"/>
    <w:rsid w:val="00362B9B"/>
    <w:rsid w:val="00364DE0"/>
    <w:rsid w:val="0039010A"/>
    <w:rsid w:val="003959CA"/>
    <w:rsid w:val="003A037F"/>
    <w:rsid w:val="003A17C8"/>
    <w:rsid w:val="003B37D1"/>
    <w:rsid w:val="003B4F9B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6A11"/>
    <w:rsid w:val="00407542"/>
    <w:rsid w:val="00421611"/>
    <w:rsid w:val="00422E25"/>
    <w:rsid w:val="00426B09"/>
    <w:rsid w:val="004469AA"/>
    <w:rsid w:val="00473B5E"/>
    <w:rsid w:val="00474455"/>
    <w:rsid w:val="0047661F"/>
    <w:rsid w:val="004811EF"/>
    <w:rsid w:val="004918F1"/>
    <w:rsid w:val="00494EF4"/>
    <w:rsid w:val="00497144"/>
    <w:rsid w:val="004A06B7"/>
    <w:rsid w:val="004A6894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05746"/>
    <w:rsid w:val="00512498"/>
    <w:rsid w:val="00515FB5"/>
    <w:rsid w:val="00521E81"/>
    <w:rsid w:val="00524F7F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1E9C"/>
    <w:rsid w:val="005D4AF0"/>
    <w:rsid w:val="005D6920"/>
    <w:rsid w:val="005F073E"/>
    <w:rsid w:val="005F55A1"/>
    <w:rsid w:val="006165FB"/>
    <w:rsid w:val="0064389E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373B"/>
    <w:rsid w:val="00712607"/>
    <w:rsid w:val="00720848"/>
    <w:rsid w:val="00731304"/>
    <w:rsid w:val="007314F3"/>
    <w:rsid w:val="00732349"/>
    <w:rsid w:val="00737608"/>
    <w:rsid w:val="0074700D"/>
    <w:rsid w:val="00750EAA"/>
    <w:rsid w:val="0075139B"/>
    <w:rsid w:val="007520D7"/>
    <w:rsid w:val="00757F12"/>
    <w:rsid w:val="00760EBD"/>
    <w:rsid w:val="007A3271"/>
    <w:rsid w:val="007A3E02"/>
    <w:rsid w:val="007B29E6"/>
    <w:rsid w:val="007C012D"/>
    <w:rsid w:val="007D3D4C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671C5"/>
    <w:rsid w:val="008705FC"/>
    <w:rsid w:val="00886422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54B4"/>
    <w:rsid w:val="00947D6F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4D7"/>
    <w:rsid w:val="00A30E4C"/>
    <w:rsid w:val="00A3368B"/>
    <w:rsid w:val="00A361A0"/>
    <w:rsid w:val="00A45F24"/>
    <w:rsid w:val="00A51244"/>
    <w:rsid w:val="00A53EF9"/>
    <w:rsid w:val="00A7244A"/>
    <w:rsid w:val="00A81866"/>
    <w:rsid w:val="00A84CE7"/>
    <w:rsid w:val="00A9658B"/>
    <w:rsid w:val="00AA21BD"/>
    <w:rsid w:val="00AA49D2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31AB"/>
    <w:rsid w:val="00B44DAA"/>
    <w:rsid w:val="00B530D6"/>
    <w:rsid w:val="00B54770"/>
    <w:rsid w:val="00B55CD7"/>
    <w:rsid w:val="00B61981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4FED"/>
    <w:rsid w:val="00BE5AFC"/>
    <w:rsid w:val="00BF0A14"/>
    <w:rsid w:val="00C01860"/>
    <w:rsid w:val="00C01AA7"/>
    <w:rsid w:val="00C05518"/>
    <w:rsid w:val="00C12EAC"/>
    <w:rsid w:val="00C42D13"/>
    <w:rsid w:val="00C45AB8"/>
    <w:rsid w:val="00C55CF9"/>
    <w:rsid w:val="00C67978"/>
    <w:rsid w:val="00C74382"/>
    <w:rsid w:val="00C743FE"/>
    <w:rsid w:val="00CA2ACF"/>
    <w:rsid w:val="00CA4018"/>
    <w:rsid w:val="00CB16C0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14F4A"/>
    <w:rsid w:val="00D41BDC"/>
    <w:rsid w:val="00D42B69"/>
    <w:rsid w:val="00D56F8B"/>
    <w:rsid w:val="00D70803"/>
    <w:rsid w:val="00D751D1"/>
    <w:rsid w:val="00D806CC"/>
    <w:rsid w:val="00D8479D"/>
    <w:rsid w:val="00D949C4"/>
    <w:rsid w:val="00D97E72"/>
    <w:rsid w:val="00DA0514"/>
    <w:rsid w:val="00DA2191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12328"/>
    <w:rsid w:val="00E2285A"/>
    <w:rsid w:val="00E23A53"/>
    <w:rsid w:val="00E23BC9"/>
    <w:rsid w:val="00E24E9A"/>
    <w:rsid w:val="00E360EE"/>
    <w:rsid w:val="00E37885"/>
    <w:rsid w:val="00E56702"/>
    <w:rsid w:val="00E5680D"/>
    <w:rsid w:val="00E67B0B"/>
    <w:rsid w:val="00E75F89"/>
    <w:rsid w:val="00E95BF6"/>
    <w:rsid w:val="00E96F7F"/>
    <w:rsid w:val="00EA64FE"/>
    <w:rsid w:val="00EB18D8"/>
    <w:rsid w:val="00EB4762"/>
    <w:rsid w:val="00EC13AE"/>
    <w:rsid w:val="00ED0692"/>
    <w:rsid w:val="00ED596D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2188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B4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31AB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FB218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B4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31AB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FB21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3346">
              <w:marLeft w:val="0"/>
              <w:marRight w:val="5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160">
                  <w:marLeft w:val="0"/>
                  <w:marRight w:val="0"/>
                  <w:marTop w:val="0"/>
                  <w:marBottom w:val="109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313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5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576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9789">
                      <w:marLeft w:val="0"/>
                      <w:marRight w:val="0"/>
                      <w:marTop w:val="0"/>
                      <w:marBottom w:val="109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5423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DF4FA-8231-444E-B499-76A5F5EC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GFF</cp:lastModifiedBy>
  <cp:revision>2</cp:revision>
  <dcterms:created xsi:type="dcterms:W3CDTF">2017-01-03T19:46:00Z</dcterms:created>
  <dcterms:modified xsi:type="dcterms:W3CDTF">2017-01-03T19:46:00Z</dcterms:modified>
</cp:coreProperties>
</file>