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D365</w:t>
      </w:r>
      <w:r>
        <w:t xml:space="preserve"> </w:t>
      </w:r>
      <w:r>
        <w:t xml:space="preserve">F&amp;O</w:t>
      </w:r>
      <w:r>
        <w:t xml:space="preserve"> </w:t>
      </w:r>
      <w:r>
        <w:t xml:space="preserve">Analytics</w:t>
      </w:r>
      <w:r>
        <w:t xml:space="preserve"> </w:t>
      </w:r>
      <w:r>
        <w:t xml:space="preserve">Migration</w:t>
      </w:r>
      <w:r>
        <w:t xml:space="preserve"> </w:t>
      </w:r>
      <w:r>
        <w:t xml:space="preserve">—</w:t>
      </w:r>
      <w:r>
        <w:t xml:space="preserve"> </w:t>
      </w:r>
      <w:r>
        <w:t xml:space="preserve">Resource</w:t>
      </w:r>
      <w:r>
        <w:t xml:space="preserve"> </w:t>
      </w:r>
      <w:r>
        <w:t xml:space="preserve">Estimate</w:t>
      </w:r>
      <w:r>
        <w:t xml:space="preserve"> </w:t>
      </w:r>
      <w:r>
        <w:t xml:space="preserve">v3.0</w:t>
      </w:r>
    </w:p>
    <w:p>
      <w:pPr>
        <w:pStyle w:val="Subtitle"/>
      </w:pPr>
      <w:r>
        <w:t xml:space="preserve">Resource,</w:t>
      </w:r>
      <w:r>
        <w:t xml:space="preserve"> </w:t>
      </w:r>
      <w:r>
        <w:t xml:space="preserve">Effort</w:t>
      </w:r>
      <w:r>
        <w:t xml:space="preserve"> </w:t>
      </w:r>
      <w:r>
        <w:t xml:space="preserve">&amp;</w:t>
      </w:r>
      <w:r>
        <w:t xml:space="preserve"> </w:t>
      </w:r>
      <w:r>
        <w:t xml:space="preserve">Delivery</w:t>
      </w:r>
      <w:r>
        <w:t xml:space="preserve"> </w:t>
      </w:r>
      <w:r>
        <w:t xml:space="preserve">Plan</w:t>
      </w:r>
      <w:r>
        <w:t xml:space="preserve"> </w:t>
      </w:r>
      <w:r>
        <w:t xml:space="preserve">—</w:t>
      </w:r>
      <w:r>
        <w:t xml:space="preserve"> </w:t>
      </w:r>
      <w:r>
        <w:t xml:space="preserve">Phases</w:t>
      </w:r>
      <w:r>
        <w:t xml:space="preserve"> </w:t>
      </w:r>
      <w:r>
        <w:t xml:space="preserve">1</w:t>
      </w:r>
      <w:r>
        <w:t xml:space="preserve"> </w:t>
      </w:r>
      <w:r>
        <w:t xml:space="preserve">through</w:t>
      </w:r>
      <w:r>
        <w:t xml:space="preserve"> </w:t>
      </w:r>
      <w:r>
        <w:t xml:space="preserve">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5965086a6d05d8da8e57b6f5cdcc5c257911122"/>
    <w:p>
      <w:pPr>
        <w:pStyle w:val="Heading1"/>
      </w:pPr>
      <w:r>
        <w:t xml:space="preserve">D365 F&amp;O Analytics Migration — Enterprise Program Estimate</w:t>
      </w:r>
    </w:p>
    <w:p>
      <w:pPr>
        <w:pStyle w:val="FirstParagraph"/>
      </w:pPr>
      <w:r>
        <w:rPr>
          <w:bCs/>
          <w:b/>
        </w:rPr>
        <w:t xml:space="preserve">Resource, Effort &amp; Delivery Plan — Phases 1 through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Source system</w:t>
            </w:r>
          </w:p>
        </w:tc>
        <w:tc>
          <w:tcPr/>
          <w:p>
            <w:pPr>
              <w:pStyle w:val="Compact"/>
              <w:jc w:val="left"/>
            </w:pPr>
            <w:r>
              <w:t xml:space="preserve">Microsoft Dynamics AX 2012</w:t>
            </w:r>
          </w:p>
        </w:tc>
      </w:tr>
      <w:tr>
        <w:tc>
          <w:tcPr/>
          <w:p>
            <w:pPr>
              <w:pStyle w:val="Compact"/>
              <w:jc w:val="left"/>
            </w:pPr>
            <w:r>
              <w:t xml:space="preserve">Target system</w:t>
            </w:r>
          </w:p>
        </w:tc>
        <w:tc>
          <w:tcPr/>
          <w:p>
            <w:pPr>
              <w:pStyle w:val="Compact"/>
              <w:jc w:val="left"/>
            </w:pPr>
            <w:r>
              <w:t xml:space="preserve">Microsoft Dynamics 365 Finance &amp; Operations</w:t>
            </w:r>
          </w:p>
        </w:tc>
      </w:tr>
      <w:tr>
        <w:tc>
          <w:tcPr/>
          <w:p>
            <w:pPr>
              <w:pStyle w:val="Compact"/>
              <w:jc w:val="left"/>
            </w:pPr>
            <w:r>
              <w:t xml:space="preserve">Analytics platform</w:t>
            </w:r>
          </w:p>
        </w:tc>
        <w:tc>
          <w:tcPr/>
          <w:p>
            <w:pPr>
              <w:pStyle w:val="Compact"/>
              <w:jc w:val="left"/>
            </w:pPr>
            <w:r>
              <w:t xml:space="preserve">Azure Databricks (Unity Catalog, Delta Lake)</w:t>
            </w:r>
          </w:p>
        </w:tc>
      </w:tr>
      <w:tr>
        <w:tc>
          <w:tcPr/>
          <w:p>
            <w:pPr>
              <w:pStyle w:val="Compact"/>
              <w:jc w:val="left"/>
            </w:pPr>
            <w:r>
              <w:t xml:space="preserve">Ingestion</w:t>
            </w:r>
          </w:p>
        </w:tc>
        <w:tc>
          <w:tcPr/>
          <w:p>
            <w:pPr>
              <w:pStyle w:val="Compact"/>
              <w:jc w:val="left"/>
            </w:pPr>
            <w:r>
              <w:t xml:space="preserve">Azure Databricks Lakeflow Connect D365 connector reading from ADLS Gen2 (Synapse Link output, delivered by separate team)</w:t>
            </w:r>
          </w:p>
        </w:tc>
      </w:tr>
      <w:tr>
        <w:tc>
          <w:tcPr/>
          <w:p>
            <w:pPr>
              <w:pStyle w:val="Compact"/>
              <w:jc w:val="left"/>
            </w:pPr>
            <w:r>
              <w:t xml:space="preserve">Accelerators</w:t>
            </w:r>
          </w:p>
        </w:tc>
        <w:tc>
          <w:tcPr/>
          <w:p>
            <w:pPr>
              <w:pStyle w:val="Compact"/>
              <w:jc w:val="left"/>
            </w:pPr>
            <w:r>
              <w:t xml:space="preserve">AI development agent + Microsoft FastTrack Implementation Assets</w:t>
            </w:r>
          </w:p>
        </w:tc>
      </w:tr>
      <w:tr>
        <w:tc>
          <w:tcPr/>
          <w:p>
            <w:pPr>
              <w:pStyle w:val="Compact"/>
              <w:jc w:val="left"/>
            </w:pPr>
            <w:r>
              <w:t xml:space="preserve">Scope of estimate</w:t>
            </w:r>
          </w:p>
        </w:tc>
        <w:tc>
          <w:tcPr/>
          <w:p>
            <w:pPr>
              <w:pStyle w:val="Compact"/>
              <w:jc w:val="left"/>
            </w:pPr>
            <w:r>
              <w:t xml:space="preserve">Phases 1–5 (Business Insight Review, Raw &amp; Silver, Dimensional Model, OBT, Insight Implementation)</w:t>
            </w:r>
          </w:p>
        </w:tc>
      </w:tr>
      <w:tr>
        <w:tc>
          <w:tcPr/>
          <w:p>
            <w:pPr>
              <w:pStyle w:val="Compact"/>
              <w:jc w:val="left"/>
            </w:pPr>
            <w:r>
              <w:t xml:space="preserve">Timeline</w:t>
            </w:r>
          </w:p>
        </w:tc>
        <w:tc>
          <w:tcPr/>
          <w:p>
            <w:pPr>
              <w:pStyle w:val="Compact"/>
              <w:jc w:val="left"/>
            </w:pPr>
            <w:r>
              <w:t xml:space="preserve">6 weeks (Phase 1) + 9 months (Phases 2–5) = ~10.5 months total</w:t>
            </w:r>
          </w:p>
        </w:tc>
      </w:tr>
      <w:tr>
        <w:tc>
          <w:tcPr/>
          <w:p>
            <w:pPr>
              <w:pStyle w:val="Compact"/>
              <w:jc w:val="left"/>
            </w:pPr>
            <w:r>
              <w:t xml:space="preserve">Scale of scope</w:t>
            </w:r>
          </w:p>
        </w:tc>
        <w:tc>
          <w:tcPr/>
          <w:p>
            <w:pPr>
              <w:pStyle w:val="Compact"/>
              <w:jc w:val="left"/>
            </w:pPr>
            <w:r>
              <w:t xml:space="preserve">12,000 insight questionnaires · ~200 D365 F&amp;O entities · ~50 dims · ~30 facts · ~30 OBTs</w:t>
            </w:r>
          </w:p>
        </w:tc>
      </w:tr>
      <w:tr>
        <w:tc>
          <w:tcPr/>
          <w:p>
            <w:pPr>
              <w:pStyle w:val="Compact"/>
              <w:jc w:val="left"/>
            </w:pPr>
            <w:r>
              <w:t xml:space="preserve">Document version</w:t>
            </w:r>
          </w:p>
        </w:tc>
        <w:tc>
          <w:tcPr/>
          <w:p>
            <w:pPr>
              <w:pStyle w:val="Compact"/>
              <w:jc w:val="left"/>
            </w:pPr>
            <w:r>
              <w:t xml:space="preserve">3.0 — Accelerator-adjusted release; supersedes v2.0 (July 2026 baseline)</w:t>
            </w:r>
          </w:p>
        </w:tc>
      </w:tr>
      <w:tr>
        <w:tc>
          <w:tcPr/>
          <w:p>
            <w:pPr>
              <w:pStyle w:val="Compact"/>
              <w:jc w:val="left"/>
            </w:pPr>
            <w:r>
              <w:t xml:space="preserve">Prepared</w:t>
            </w:r>
          </w:p>
        </w:tc>
        <w:tc>
          <w:tcPr/>
          <w:p>
            <w:pPr>
              <w:pStyle w:val="Compact"/>
              <w:jc w:val="left"/>
            </w:pPr>
            <w:r>
              <w:t xml:space="preserve">July 2026</w:t>
            </w:r>
          </w:p>
        </w:tc>
      </w:tr>
    </w:tbl>
    <w:p>
      <w:r>
        <w:pict>
          <v:rect style="width:0;height:1.5pt" o:hralign="center" o:hrstd="t" o:hr="t"/>
        </w:pict>
      </w:r>
    </w:p>
    <w:bookmarkEnd w:id="20"/>
    <w:bookmarkStart w:id="23" w:name="executive-summary"/>
    <w:p>
      <w:pPr>
        <w:pStyle w:val="Heading1"/>
      </w:pPr>
      <w:r>
        <w:t xml:space="preserve">1. Executive Summary</w:t>
      </w:r>
    </w:p>
    <w:p>
      <w:pPr>
        <w:pStyle w:val="FirstParagraph"/>
      </w:pPr>
      <w:r>
        <w:t xml:space="preserve">This document estimates the resources, effort, and delivery approach required to migrate the analytics platform from Microsoft Dynamics AX 2012 to Microsoft Dynamics 365 Finance &amp; Operations on Azure Databricks, using three accelerators applied against the v2.0 baseline: an</w:t>
      </w:r>
      <w:r>
        <w:t xml:space="preserve"> </w:t>
      </w:r>
      <w:r>
        <w:rPr>
          <w:bCs/>
          <w:b/>
        </w:rPr>
        <w:t xml:space="preserve">AI development agent</w:t>
      </w:r>
      <w:r>
        <w:t xml:space="preserve">, the</w:t>
      </w:r>
      <w:r>
        <w:t xml:space="preserve"> </w:t>
      </w:r>
      <w:r>
        <w:rPr>
          <w:bCs/>
          <w:b/>
        </w:rPr>
        <w:t xml:space="preserve">Microsoft FastTrack Implementation Assets</w:t>
      </w:r>
      <w:r>
        <w:t xml:space="preserve">, and the</w:t>
      </w:r>
      <w:r>
        <w:t xml:space="preserve"> </w:t>
      </w:r>
      <w:r>
        <w:rPr>
          <w:bCs/>
          <w:b/>
        </w:rPr>
        <w:t xml:space="preserve">Azure Databricks Lakeflow Connect D365 connector</w:t>
      </w:r>
      <w:r>
        <w:t xml:space="preserve"> </w:t>
      </w:r>
      <w:r>
        <w:t xml:space="preserve">consuming Azure Synapse Link output from ADLS Gen2.</w:t>
      </w:r>
    </w:p>
    <w:p>
      <w:pPr>
        <w:pStyle w:val="BodyText"/>
      </w:pPr>
      <w:r>
        <w:t xml:space="preserve">The program is delivered in two consecutive workstreams: Phase 1 (Business Insight Review) over 6 weeks, followed by Phases 2–5 (implementation) over 9 months.</w:t>
      </w:r>
    </w:p>
    <w:bookmarkStart w:id="21" w:name="headline-numbers-verified"/>
    <w:p>
      <w:pPr>
        <w:pStyle w:val="Heading2"/>
      </w:pPr>
      <w:r>
        <w:t xml:space="preserve">Headline Numbers — Verified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Baseline (v2.0)</w:t>
            </w:r>
          </w:p>
        </w:tc>
        <w:tc>
          <w:tcPr/>
          <w:p>
            <w:pPr>
              <w:pStyle w:val="Compact"/>
              <w:jc w:val="left"/>
            </w:pPr>
            <w:r>
              <w:t xml:space="preserve">With Accelerators (v3.0)</w:t>
            </w:r>
          </w:p>
        </w:tc>
        <w:tc>
          <w:tcPr/>
          <w:p>
            <w:pPr>
              <w:pStyle w:val="Compact"/>
              <w:jc w:val="left"/>
            </w:pPr>
            <w:r>
              <w:t xml:space="preserve">Reduction</w:t>
            </w:r>
          </w:p>
        </w:tc>
      </w:tr>
      <w:tr>
        <w:tc>
          <w:tcPr/>
          <w:p>
            <w:pPr>
              <w:pStyle w:val="Compact"/>
              <w:jc w:val="left"/>
            </w:pPr>
            <w:r>
              <w:t xml:space="preserve">Total program effort</w:t>
            </w:r>
          </w:p>
        </w:tc>
        <w:tc>
          <w:tcPr/>
          <w:p>
            <w:pPr>
              <w:pStyle w:val="Compact"/>
              <w:jc w:val="left"/>
            </w:pPr>
            <w:r>
              <w:t xml:space="preserve">~47,036 person-hours</w:t>
            </w:r>
          </w:p>
        </w:tc>
        <w:tc>
          <w:tcPr/>
          <w:p>
            <w:pPr>
              <w:pStyle w:val="Compact"/>
              <w:jc w:val="left"/>
            </w:pPr>
            <w:r>
              <w:rPr>
                <w:bCs/>
                <w:b/>
              </w:rPr>
              <w:t xml:space="preserve">~29,200–31,500 person-hours</w:t>
            </w:r>
          </w:p>
        </w:tc>
        <w:tc>
          <w:tcPr/>
          <w:p>
            <w:pPr>
              <w:pStyle w:val="Compact"/>
              <w:jc w:val="left"/>
            </w:pPr>
            <w:r>
              <w:rPr>
                <w:bCs/>
                <w:b/>
              </w:rPr>
              <w:t xml:space="preserve">~33–38%</w:t>
            </w:r>
          </w:p>
        </w:tc>
      </w:tr>
      <w:tr>
        <w:tc>
          <w:tcPr/>
          <w:p>
            <w:pPr>
              <w:pStyle w:val="Compact"/>
              <w:jc w:val="left"/>
            </w:pPr>
            <w:r>
              <w:t xml:space="preserve">Person-months</w:t>
            </w:r>
          </w:p>
        </w:tc>
        <w:tc>
          <w:tcPr/>
          <w:p>
            <w:pPr>
              <w:pStyle w:val="Compact"/>
              <w:jc w:val="left"/>
            </w:pPr>
            <w:r>
              <w:t xml:space="preserve">~310</w:t>
            </w:r>
          </w:p>
        </w:tc>
        <w:tc>
          <w:tcPr/>
          <w:p>
            <w:pPr>
              <w:pStyle w:val="Compact"/>
              <w:jc w:val="left"/>
            </w:pPr>
            <w:r>
              <w:t xml:space="preserve">~192–207</w:t>
            </w:r>
          </w:p>
        </w:tc>
        <w:tc>
          <w:tcPr/>
          <w:p>
            <w:pPr>
              <w:pStyle w:val="Compact"/>
              <w:jc w:val="left"/>
            </w:pPr>
            <w:r>
              <w:t xml:space="preserve">~33–38%</w:t>
            </w:r>
          </w:p>
        </w:tc>
      </w:tr>
      <w:tr>
        <w:tc>
          <w:tcPr/>
          <w:p>
            <w:pPr>
              <w:pStyle w:val="Compact"/>
              <w:jc w:val="left"/>
            </w:pPr>
            <w:r>
              <w:t xml:space="preserve">Phase 1 effort (6 weeks)</w:t>
            </w:r>
          </w:p>
        </w:tc>
        <w:tc>
          <w:tcPr/>
          <w:p>
            <w:pPr>
              <w:pStyle w:val="Compact"/>
              <w:jc w:val="left"/>
            </w:pPr>
            <w:r>
              <w:t xml:space="preserve">~7,500 hrs / 36 reviewers</w:t>
            </w:r>
          </w:p>
        </w:tc>
        <w:tc>
          <w:tcPr/>
          <w:p>
            <w:pPr>
              <w:pStyle w:val="Compact"/>
              <w:jc w:val="left"/>
            </w:pPr>
            <w:r>
              <w:t xml:space="preserve">~6,300–6,700 hrs / 30–32 reviewers</w:t>
            </w:r>
          </w:p>
        </w:tc>
        <w:tc>
          <w:tcPr/>
          <w:p>
            <w:pPr>
              <w:pStyle w:val="Compact"/>
              <w:jc w:val="left"/>
            </w:pPr>
            <w:r>
              <w:t xml:space="preserve">~11–16%</w:t>
            </w:r>
          </w:p>
        </w:tc>
      </w:tr>
      <w:tr>
        <w:tc>
          <w:tcPr/>
          <w:p>
            <w:pPr>
              <w:pStyle w:val="Compact"/>
              <w:jc w:val="left"/>
            </w:pPr>
            <w:r>
              <w:t xml:space="preserve">Phases 2–5 effort (9 months)</w:t>
            </w:r>
          </w:p>
        </w:tc>
        <w:tc>
          <w:tcPr/>
          <w:p>
            <w:pPr>
              <w:pStyle w:val="Compact"/>
              <w:jc w:val="left"/>
            </w:pPr>
            <w:r>
              <w:t xml:space="preserve">~38,800 hrs</w:t>
            </w:r>
          </w:p>
        </w:tc>
        <w:tc>
          <w:tcPr/>
          <w:p>
            <w:pPr>
              <w:pStyle w:val="Compact"/>
              <w:jc w:val="left"/>
            </w:pPr>
            <w:r>
              <w:t xml:space="preserve">~19,900–22,000 hrs</w:t>
            </w:r>
          </w:p>
        </w:tc>
        <w:tc>
          <w:tcPr/>
          <w:p>
            <w:pPr>
              <w:pStyle w:val="Compact"/>
              <w:jc w:val="left"/>
            </w:pPr>
            <w:r>
              <w:t xml:space="preserve">~43–49%</w:t>
            </w:r>
          </w:p>
        </w:tc>
      </w:tr>
      <w:tr>
        <w:tc>
          <w:tcPr/>
          <w:p>
            <w:pPr>
              <w:pStyle w:val="Compact"/>
              <w:jc w:val="left"/>
            </w:pPr>
            <w:r>
              <w:t xml:space="preserve">Peak team size (Phases 2–5, M5–M7)</w:t>
            </w:r>
          </w:p>
        </w:tc>
        <w:tc>
          <w:tcPr/>
          <w:p>
            <w:pPr>
              <w:pStyle w:val="Compact"/>
              <w:jc w:val="left"/>
            </w:pPr>
            <w:r>
              <w:t xml:space="preserve">45 FTEs</w:t>
            </w:r>
          </w:p>
        </w:tc>
        <w:tc>
          <w:tcPr/>
          <w:p>
            <w:pPr>
              <w:pStyle w:val="Compact"/>
              <w:jc w:val="left"/>
            </w:pPr>
            <w:r>
              <w:rPr>
                <w:bCs/>
                <w:b/>
              </w:rPr>
              <w:t xml:space="preserve">~29–32 FTEs</w:t>
            </w:r>
          </w:p>
        </w:tc>
        <w:tc>
          <w:tcPr/>
          <w:p>
            <w:pPr>
              <w:pStyle w:val="Compact"/>
              <w:jc w:val="left"/>
            </w:pPr>
            <w:r>
              <w:rPr>
                <w:bCs/>
                <w:b/>
              </w:rPr>
              <w:t xml:space="preserve">~29–36%</w:t>
            </w:r>
          </w:p>
        </w:tc>
      </w:tr>
      <w:tr>
        <w:tc>
          <w:tcPr/>
          <w:p>
            <w:pPr>
              <w:pStyle w:val="Compact"/>
              <w:jc w:val="left"/>
            </w:pPr>
            <w:r>
              <w:t xml:space="preserve">Peak team size (Phase 1, Weeks 1–6)</w:t>
            </w:r>
          </w:p>
        </w:tc>
        <w:tc>
          <w:tcPr/>
          <w:p>
            <w:pPr>
              <w:pStyle w:val="Compact"/>
              <w:jc w:val="left"/>
            </w:pPr>
            <w:r>
              <w:t xml:space="preserve">40 FTEs</w:t>
            </w:r>
          </w:p>
        </w:tc>
        <w:tc>
          <w:tcPr/>
          <w:p>
            <w:pPr>
              <w:pStyle w:val="Compact"/>
              <w:jc w:val="left"/>
            </w:pPr>
            <w:r>
              <w:t xml:space="preserve">~35–37 FTEs</w:t>
            </w:r>
          </w:p>
        </w:tc>
        <w:tc>
          <w:tcPr/>
          <w:p>
            <w:pPr>
              <w:pStyle w:val="Compact"/>
              <w:jc w:val="left"/>
            </w:pPr>
            <w:r>
              <w:t xml:space="preserve">~8–13%</w:t>
            </w:r>
          </w:p>
        </w:tc>
      </w:tr>
      <w:tr>
        <w:tc>
          <w:tcPr/>
          <w:p>
            <w:pPr>
              <w:pStyle w:val="Compact"/>
              <w:jc w:val="left"/>
            </w:pPr>
            <w:r>
              <w:t xml:space="preserve">Total program duration</w:t>
            </w:r>
          </w:p>
        </w:tc>
        <w:tc>
          <w:tcPr/>
          <w:p>
            <w:pPr>
              <w:pStyle w:val="Compact"/>
              <w:jc w:val="left"/>
            </w:pPr>
            <w:r>
              <w:t xml:space="preserve">~10.5 months</w:t>
            </w:r>
          </w:p>
        </w:tc>
        <w:tc>
          <w:tcPr/>
          <w:p>
            <w:pPr>
              <w:pStyle w:val="Compact"/>
              <w:jc w:val="left"/>
            </w:pPr>
            <w:r>
              <w:t xml:space="preserve">~10.5 months (unchanged)</w:t>
            </w:r>
          </w:p>
        </w:tc>
        <w:tc>
          <w:tcPr/>
          <w:p>
            <w:pPr>
              <w:pStyle w:val="Compact"/>
              <w:jc w:val="left"/>
            </w:pPr>
            <w:r>
              <w:t xml:space="preserve">Timeline preserved</w:t>
            </w:r>
          </w:p>
        </w:tc>
      </w:tr>
      <w:tr>
        <w:tc>
          <w:tcPr/>
          <w:p>
            <w:pPr>
              <w:pStyle w:val="Compact"/>
              <w:jc w:val="left"/>
            </w:pPr>
            <w:r>
              <w:t xml:space="preserve">Includes 10% contingency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Delivery confidence at v3.0 estimate</w:t>
            </w:r>
          </w:p>
        </w:tc>
        <w:tc>
          <w:tcPr/>
          <w:p>
            <w:pPr>
              <w:pStyle w:val="Compact"/>
              <w:jc w:val="left"/>
            </w:pPr>
            <w:r>
              <w:t xml:space="preserve">Moderate–High, contingent on Phase 1 questionnaire quality, AI priming quality, and business-user availability across both phases</w:t>
            </w:r>
          </w:p>
        </w:tc>
        <w:tc>
          <w:tcPr/>
          <w:p>
            <w:pPr>
              <w:pStyle w:val="Compact"/>
            </w:pPr>
          </w:p>
        </w:tc>
        <w:tc>
          <w:tcPr/>
          <w:p>
            <w:pPr>
              <w:pStyle w:val="Compact"/>
            </w:pPr>
          </w:p>
        </w:tc>
      </w:tr>
    </w:tbl>
    <w:bookmarkEnd w:id="21"/>
    <w:bookmarkStart w:id="22" w:name="primary-delivery-risk"/>
    <w:p>
      <w:pPr>
        <w:pStyle w:val="Heading2"/>
      </w:pPr>
      <w:r>
        <w:t xml:space="preserve">Primary Delivery Risk</w:t>
      </w:r>
    </w:p>
    <w:p>
      <w:pPr>
        <w:pStyle w:val="FirstParagraph"/>
      </w:pPr>
      <w:r>
        <w:t xml:space="preserve">Phase 5 remains the dominant workstream (~40% of accelerator-adjusted program effort) and requires implementation of ~12,000 business insights across ~4.5 months of active development. With AI-assisted pattern-based development against cleanly-structured OBTs, the required throughput of approximately 130 insights/day is achievable with ~10–12 data engineers rather than the 20 in the baseline. The dominant risks shift from staffing volume to accelerator effectiveness:</w:t>
      </w:r>
    </w:p>
    <w:p>
      <w:pPr>
        <w:numPr>
          <w:ilvl w:val="0"/>
          <w:numId w:val="1001"/>
        </w:numPr>
        <w:pStyle w:val="Compact"/>
      </w:pPr>
      <w:r>
        <w:rPr>
          <w:bCs/>
          <w:b/>
        </w:rPr>
        <w:t xml:space="preserve">Phase 1 questionnaire quality</w:t>
      </w:r>
      <w:r>
        <w:t xml:space="preserve"> </w:t>
      </w:r>
      <w:r>
        <w:t xml:space="preserve">— upstream gate for AI-assisted Phase 5 code generation</w:t>
      </w:r>
    </w:p>
    <w:p>
      <w:pPr>
        <w:numPr>
          <w:ilvl w:val="0"/>
          <w:numId w:val="1001"/>
        </w:numPr>
        <w:pStyle w:val="Compact"/>
      </w:pPr>
      <w:r>
        <w:rPr>
          <w:bCs/>
          <w:b/>
        </w:rPr>
        <w:t xml:space="preserve">AI agent priming quality</w:t>
      </w:r>
      <w:r>
        <w:t xml:space="preserve"> </w:t>
      </w:r>
      <w:r>
        <w:t xml:space="preserve">— a generic AI model without F&amp;O context delivers materially less than a domain-primed one</w:t>
      </w:r>
    </w:p>
    <w:p>
      <w:pPr>
        <w:pStyle w:val="FirstParagraph"/>
      </w:pPr>
      <w:r>
        <w:t xml:space="preserve">If either is weak, the accelerator savings collapse and the program reverts toward the baseline estimate.</w:t>
      </w:r>
    </w:p>
    <w:p>
      <w:r>
        <w:pict>
          <v:rect style="width:0;height:1.5pt" o:hralign="center" o:hrstd="t" o:hr="t"/>
        </w:pict>
      </w:r>
    </w:p>
    <w:bookmarkEnd w:id="22"/>
    <w:bookmarkEnd w:id="23"/>
    <w:bookmarkStart w:id="27" w:name="accelerator-context"/>
    <w:p>
      <w:pPr>
        <w:pStyle w:val="Heading1"/>
      </w:pPr>
      <w:r>
        <w:t xml:space="preserve">2. Accelerator Context</w:t>
      </w:r>
    </w:p>
    <w:bookmarkStart w:id="24" w:name="azure-databricks-d365-connector"/>
    <w:p>
      <w:pPr>
        <w:pStyle w:val="Heading2"/>
      </w:pPr>
      <w:r>
        <w:t xml:space="preserve">2.1 Azure Databricks D365 Connector</w:t>
      </w:r>
    </w:p>
    <w:p>
      <w:pPr>
        <w:pStyle w:val="FirstParagraph"/>
      </w:pPr>
      <w:r>
        <w:t xml:space="preserve">The Lakeflow Connect Dynamics 365 connector reads Synapse Link changelogs directly from ADLS Gen2 (populated by a separate team) and creates streaming tables in Unity Catalog. Impact:</w:t>
      </w:r>
    </w:p>
    <w:p>
      <w:pPr>
        <w:numPr>
          <w:ilvl w:val="0"/>
          <w:numId w:val="1002"/>
        </w:numPr>
        <w:pStyle w:val="Compact"/>
      </w:pPr>
      <w:r>
        <w:t xml:space="preserve">Eliminates most Bronze layer engineering (auto-discovers schema, creates streaming tables, handles incremental via</w:t>
      </w:r>
      <w:r>
        <w:t xml:space="preserve"> </w:t>
      </w:r>
      <w:r>
        <w:rPr>
          <w:rStyle w:val="VerbatimChar"/>
        </w:rPr>
        <w:t xml:space="preserve">versionnumber</w:t>
      </w:r>
      <w:r>
        <w:t xml:space="preserve">, maps Dataverse types to Delta types, manages CRUD from Dataverse)</w:t>
      </w:r>
    </w:p>
    <w:p>
      <w:pPr>
        <w:numPr>
          <w:ilvl w:val="0"/>
          <w:numId w:val="1002"/>
        </w:numPr>
        <w:pStyle w:val="Compact"/>
      </w:pPr>
      <w:r>
        <w:t xml:space="preserve">Retained constraints: 250-tables-per-pipeline limit still requires 2–3 domain-oriented pipeline designs; no automated schema evolution (schema-drift monitoring still required); option-set integers, GUID lookups, and multi-select fields still require Silver-layer decoding</w:t>
      </w:r>
    </w:p>
    <w:bookmarkEnd w:id="24"/>
    <w:bookmarkStart w:id="25" w:name="Xabb3feb2c4b83b1ab87e24716ca6958dd48cd0a"/>
    <w:p>
      <w:pPr>
        <w:pStyle w:val="Heading2"/>
      </w:pPr>
      <w:r>
        <w:t xml:space="preserve">2.2 Microsoft FastTrack Implementation Assets</w:t>
      </w:r>
    </w:p>
    <w:p>
      <w:pPr>
        <w:pStyle w:val="FirstParagraph"/>
      </w:pPr>
      <w:r>
        <w:t xml:space="preserve">The Dynamics 365 FastTrack team maintains a repository (</w:t>
      </w:r>
      <w:r>
        <w:rPr>
          <w:rStyle w:val="VerbatimChar"/>
        </w:rPr>
        <w:t xml:space="preserve">microsoft/Dynamics-365-FastTrack-Implementation-Assets</w:t>
      </w:r>
      <w:r>
        <w:t xml:space="preserve">) of F&amp;O analytics patterns. Directly relevant to this program: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Asset</w:t>
            </w:r>
          </w:p>
        </w:tc>
        <w:tc>
          <w:tcPr/>
          <w:p>
            <w:pPr>
              <w:pStyle w:val="Compact"/>
              <w:jc w:val="left"/>
            </w:pPr>
            <w:r>
              <w:t xml:space="preserve">Where it helps</w:t>
            </w:r>
          </w:p>
        </w:tc>
      </w:tr>
      <w:tr>
        <w:tc>
          <w:tcPr/>
          <w:p>
            <w:pPr>
              <w:pStyle w:val="Compact"/>
              <w:jc w:val="left"/>
            </w:pPr>
            <w:r>
              <w:t xml:space="preserve">CDMUtil parsing patterns</w:t>
            </w:r>
          </w:p>
        </w:tc>
        <w:tc>
          <w:tcPr/>
          <w:p>
            <w:pPr>
              <w:pStyle w:val="Compact"/>
              <w:jc w:val="left"/>
            </w:pPr>
            <w:r>
              <w:t xml:space="preserve">Silver layer entity metadata handling</w:t>
            </w:r>
          </w:p>
        </w:tc>
      </w:tr>
      <w:tr>
        <w:tc>
          <w:tcPr/>
          <w:p>
            <w:pPr>
              <w:pStyle w:val="Compact"/>
              <w:jc w:val="left"/>
            </w:pPr>
            <w:r>
              <w:t xml:space="preserve">Entity list templates (</w:t>
            </w:r>
            <w:r>
              <w:rPr>
                <w:rStyle w:val="VerbatimChar"/>
              </w:rPr>
              <w:t xml:space="preserve">EntityList.json</w:t>
            </w:r>
            <w:r>
              <w:t xml:space="preserve">)</w:t>
            </w:r>
          </w:p>
        </w:tc>
        <w:tc>
          <w:tcPr/>
          <w:p>
            <w:pPr>
              <w:pStyle w:val="Compact"/>
              <w:jc w:val="left"/>
            </w:pPr>
            <w:r>
              <w:t xml:space="preserve">Domain-oriented pipeline design</w:t>
            </w:r>
          </w:p>
        </w:tc>
      </w:tr>
      <w:tr>
        <w:tc>
          <w:tcPr/>
          <w:p>
            <w:pPr>
              <w:pStyle w:val="Compact"/>
              <w:jc w:val="left"/>
            </w:pPr>
            <w:r>
              <w:t xml:space="preserve">Sub-table / super-table map</w:t>
            </w:r>
          </w:p>
        </w:tc>
        <w:tc>
          <w:tcPr/>
          <w:p>
            <w:pPr>
              <w:pStyle w:val="Compact"/>
              <w:jc w:val="left"/>
            </w:pPr>
            <w:r>
              <w:t xml:space="preserve">Avoids re-discovery of F&amp;O sub-tables (CompanyInfo, DirPerson etc.)</w:t>
            </w:r>
          </w:p>
        </w:tc>
      </w:tr>
      <w:tr>
        <w:tc>
          <w:tcPr/>
          <w:p>
            <w:pPr>
              <w:pStyle w:val="Compact"/>
              <w:jc w:val="left"/>
            </w:pPr>
            <w:r>
              <w:t xml:space="preserve">Enum translation logic</w:t>
            </w:r>
          </w:p>
        </w:tc>
        <w:tc>
          <w:tcPr/>
          <w:p>
            <w:pPr>
              <w:pStyle w:val="Compact"/>
              <w:jc w:val="left"/>
            </w:pPr>
            <w:r>
              <w:t xml:space="preserve">Silver-layer option-set integer decoding</w:t>
            </w:r>
          </w:p>
        </w:tc>
      </w:tr>
      <w:tr>
        <w:tc>
          <w:tcPr/>
          <w:p>
            <w:pPr>
              <w:pStyle w:val="Compact"/>
              <w:jc w:val="left"/>
            </w:pPr>
            <w:r>
              <w:rPr>
                <w:rStyle w:val="VerbatimChar"/>
              </w:rPr>
              <w:t xml:space="preserve">remove_mserp_prefix</w:t>
            </w:r>
            <w:r>
              <w:t xml:space="preserve"> </w:t>
            </w:r>
            <w:r>
              <w:t xml:space="preserve">pattern</w:t>
            </w:r>
          </w:p>
        </w:tc>
        <w:tc>
          <w:tcPr/>
          <w:p>
            <w:pPr>
              <w:pStyle w:val="Compact"/>
              <w:jc w:val="left"/>
            </w:pPr>
            <w:r>
              <w:t xml:space="preserve">F&amp;O virtual entity naming</w:t>
            </w:r>
          </w:p>
        </w:tc>
      </w:tr>
      <w:tr>
        <w:tc>
          <w:tcPr/>
          <w:p>
            <w:pPr>
              <w:pStyle w:val="Compact"/>
              <w:jc w:val="left"/>
            </w:pPr>
            <w:r>
              <w:t xml:space="preserve">View syntax replacement</w:t>
            </w:r>
          </w:p>
        </w:tc>
        <w:tc>
          <w:tcPr/>
          <w:p>
            <w:pPr>
              <w:pStyle w:val="Compact"/>
              <w:jc w:val="left"/>
            </w:pPr>
            <w:r>
              <w:t xml:space="preserve">SQL view syntax handling</w:t>
            </w:r>
          </w:p>
        </w:tc>
      </w:tr>
      <w:tr>
        <w:tc>
          <w:tcPr/>
          <w:p>
            <w:pPr>
              <w:pStyle w:val="Compact"/>
              <w:jc w:val="left"/>
            </w:pPr>
            <w:r>
              <w:t xml:space="preserve">Architecture patterns</w:t>
            </w:r>
          </w:p>
        </w:tc>
        <w:tc>
          <w:tcPr/>
          <w:p>
            <w:pPr>
              <w:pStyle w:val="Compact"/>
              <w:jc w:val="left"/>
            </w:pPr>
            <w:r>
              <w:t xml:space="preserve">Reference medallion patterns for F&amp;O</w:t>
            </w:r>
          </w:p>
        </w:tc>
      </w:tr>
    </w:tbl>
    <w:p>
      <w:pPr>
        <w:pStyle w:val="BodyText"/>
      </w:pPr>
      <w:r>
        <w:t xml:space="preserve">Important: FastTrack assets are Synapse-oriented; porting to Databricks/PySpark is real engineering work, included in the Phase 2 estimate.</w:t>
      </w:r>
    </w:p>
    <w:bookmarkEnd w:id="25"/>
    <w:bookmarkStart w:id="26" w:name="ai-development-agent"/>
    <w:p>
      <w:pPr>
        <w:pStyle w:val="Heading2"/>
      </w:pPr>
      <w:r>
        <w:t xml:space="preserve">2.3 AI Development Agent</w:t>
      </w:r>
    </w:p>
    <w:p>
      <w:pPr>
        <w:pStyle w:val="FirstParagraph"/>
      </w:pPr>
      <w:r>
        <w:t xml:space="preserve">An AI agent capable of generating Delta Lake DDL, PySpark/Spark SQL transformations, SCD merge logic, DQ expectations, unit test scaffolding, and documentation from structured specifications. The AI does not replace human judgment for design decisions, domain interpretation, business rule verification, or business-user interaction.</w:t>
      </w:r>
      <w:r>
        <w:t xml:space="preserve"> </w:t>
      </w:r>
      <w:r>
        <w:rPr>
          <w:bCs/>
          <w:b/>
        </w:rPr>
        <w:t xml:space="preserve">New activity introduced by AI adoption: agent priming with F&amp;O entity model, dimensional model, OBT schemas, and questionnaires — estimated at 200–400 hours in Months 4–5.</w:t>
      </w:r>
    </w:p>
    <w:p>
      <w:r>
        <w:pict>
          <v:rect style="width:0;height:1.5pt" o:hralign="center" o:hrstd="t" o:hr="t"/>
        </w:pict>
      </w:r>
    </w:p>
    <w:bookmarkEnd w:id="26"/>
    <w:bookmarkEnd w:id="27"/>
    <w:bookmarkStart w:id="31" w:name="X6b5a84154ec460073d9d74d5afeec5f1e65f192"/>
    <w:p>
      <w:pPr>
        <w:pStyle w:val="Heading1"/>
      </w:pPr>
      <w:r>
        <w:t xml:space="preserve">3. Solution Architecture on Azure Databricks</w:t>
      </w:r>
    </w:p>
    <w:p>
      <w:pPr>
        <w:pStyle w:val="FirstParagraph"/>
      </w:pPr>
      <w:r>
        <w:t xml:space="preserve">All layers are implemented on the Azure Databricks platform, using Delta Lake as the storage format and Unity Catalog for governance.</w:t>
      </w:r>
    </w:p>
    <w:bookmarkStart w:id="28" w:name="Xe8cbded2ffe107eac090333194e900cb035de95"/>
    <w:p>
      <w:pPr>
        <w:pStyle w:val="Heading2"/>
      </w:pPr>
      <w:r>
        <w:t xml:space="preserve">3.1 Ingestion Path (Simplified by D365 Connector)</w:t>
      </w:r>
    </w:p>
    <w:p>
      <w:pPr>
        <w:pStyle w:val="FirstParagraph"/>
      </w:pPr>
      <w:r>
        <w:t xml:space="preserve">F&amp;O data is replicated to ADLS Gen2 via Azure Synapse Link (managed by a separate team). Databricks then ingests directly using the</w:t>
      </w:r>
      <w:r>
        <w:t xml:space="preserve"> </w:t>
      </w:r>
      <w:r>
        <w:rPr>
          <w:bCs/>
          <w:b/>
        </w:rPr>
        <w:t xml:space="preserve">Lakeflow Connect Dynamics 365 connector</w:t>
      </w:r>
      <w:r>
        <w:t xml:space="preserve"> </w:t>
      </w:r>
      <w:r>
        <w:t xml:space="preserve">which reads Synapse Link changelogs and creates streaming tables in Unity Catalog. This eliminates the custom Bronze pipeline engineering that would otherwise be required.</w:t>
      </w:r>
    </w:p>
    <w:bookmarkEnd w:id="28"/>
    <w:bookmarkStart w:id="29" w:name="medallion-layers"/>
    <w:p>
      <w:pPr>
        <w:pStyle w:val="Heading2"/>
      </w:pPr>
      <w:r>
        <w:t xml:space="preserve">3.2 Medallion Layers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Purpose</w:t>
            </w:r>
          </w:p>
        </w:tc>
        <w:tc>
          <w:tcPr/>
          <w:p>
            <w:pPr>
              <w:pStyle w:val="Compact"/>
              <w:jc w:val="left"/>
            </w:pPr>
            <w:r>
              <w:t xml:space="preserve">Databricks Implementation</w:t>
            </w:r>
          </w:p>
        </w:tc>
        <w:tc>
          <w:tcPr/>
          <w:p>
            <w:pPr>
              <w:pStyle w:val="Compact"/>
              <w:jc w:val="left"/>
            </w:pPr>
            <w:r>
              <w:t xml:space="preserve">Accelerator</w:t>
            </w:r>
          </w:p>
        </w:tc>
      </w:tr>
      <w:tr>
        <w:tc>
          <w:tcPr/>
          <w:p>
            <w:pPr>
              <w:pStyle w:val="Compact"/>
              <w:jc w:val="left"/>
            </w:pPr>
            <w:r>
              <w:t xml:space="preserve">Bronze / Raw</w:t>
            </w:r>
          </w:p>
        </w:tc>
        <w:tc>
          <w:tcPr/>
          <w:p>
            <w:pPr>
              <w:pStyle w:val="Compact"/>
              <w:jc w:val="left"/>
            </w:pPr>
            <w:r>
              <w:t xml:space="preserve">Immutable landing of source data</w:t>
            </w:r>
          </w:p>
        </w:tc>
        <w:tc>
          <w:tcPr/>
          <w:p>
            <w:pPr>
              <w:pStyle w:val="Compact"/>
              <w:jc w:val="left"/>
            </w:pPr>
            <w:r>
              <w:t xml:space="preserve">Delta streaming tables auto-created by Lakeflow Connect connector; partitioned by ingest date</w:t>
            </w:r>
          </w:p>
        </w:tc>
        <w:tc>
          <w:tcPr/>
          <w:p>
            <w:pPr>
              <w:pStyle w:val="Compact"/>
              <w:jc w:val="left"/>
            </w:pPr>
            <w:r>
              <w:rPr>
                <w:bCs/>
                <w:b/>
              </w:rPr>
              <w:t xml:space="preserve">D365 Connector</w:t>
            </w:r>
          </w:p>
        </w:tc>
      </w:tr>
      <w:tr>
        <w:tc>
          <w:tcPr/>
          <w:p>
            <w:pPr>
              <w:pStyle w:val="Compact"/>
              <w:jc w:val="left"/>
            </w:pPr>
            <w:r>
              <w:t xml:space="preserve">Silver</w:t>
            </w:r>
          </w:p>
        </w:tc>
        <w:tc>
          <w:tcPr/>
          <w:p>
            <w:pPr>
              <w:pStyle w:val="Compact"/>
              <w:jc w:val="left"/>
            </w:pPr>
            <w:r>
              <w:t xml:space="preserve">Cleansed, standardized, deduplicated, conformed; option-sets decoded, GUID lookups resolved, SCD applied</w:t>
            </w:r>
          </w:p>
        </w:tc>
        <w:tc>
          <w:tcPr/>
          <w:p>
            <w:pPr>
              <w:pStyle w:val="Compact"/>
              <w:jc w:val="left"/>
            </w:pPr>
            <w:r>
              <w:t xml:space="preserve">Delta tables built via Databricks pipelines with FastTrack CDM patterns and AI-generated transformations</w:t>
            </w:r>
          </w:p>
        </w:tc>
        <w:tc>
          <w:tcPr/>
          <w:p>
            <w:pPr>
              <w:pStyle w:val="Compact"/>
              <w:jc w:val="left"/>
            </w:pPr>
            <w:r>
              <w:rPr>
                <w:bCs/>
                <w:b/>
              </w:rPr>
              <w:t xml:space="preserve">FastTrack + AI</w:t>
            </w:r>
          </w:p>
        </w:tc>
      </w:tr>
      <w:tr>
        <w:tc>
          <w:tcPr/>
          <w:p>
            <w:pPr>
              <w:pStyle w:val="Compact"/>
              <w:jc w:val="left"/>
            </w:pPr>
            <w:r>
              <w:t xml:space="preserve">Gold — Dimensional Model</w:t>
            </w:r>
          </w:p>
        </w:tc>
        <w:tc>
          <w:tcPr/>
          <w:p>
            <w:pPr>
              <w:pStyle w:val="Compact"/>
              <w:jc w:val="left"/>
            </w:pPr>
            <w:r>
              <w:t xml:space="preserve">Enterprise Kimball star schema</w:t>
            </w:r>
          </w:p>
        </w:tc>
        <w:tc>
          <w:tcPr/>
          <w:p>
            <w:pPr>
              <w:pStyle w:val="Compact"/>
              <w:jc w:val="left"/>
            </w:pPr>
            <w:r>
              <w:t xml:space="preserve">Delta tables managed by Unity Catalog; primary key/foreign key hints; liquid clustering</w:t>
            </w:r>
          </w:p>
        </w:tc>
        <w:tc>
          <w:tcPr/>
          <w:p>
            <w:pPr>
              <w:pStyle w:val="Compact"/>
              <w:jc w:val="left"/>
            </w:pPr>
            <w:r>
              <w:t xml:space="preserve">AI code gen for dim/fact scaffolding</w:t>
            </w:r>
          </w:p>
        </w:tc>
      </w:tr>
      <w:tr>
        <w:tc>
          <w:tcPr/>
          <w:p>
            <w:pPr>
              <w:pStyle w:val="Compact"/>
              <w:jc w:val="left"/>
            </w:pPr>
            <w:r>
              <w:t xml:space="preserve">Gold — OBT</w:t>
            </w:r>
          </w:p>
        </w:tc>
        <w:tc>
          <w:tcPr/>
          <w:p>
            <w:pPr>
              <w:pStyle w:val="Compact"/>
              <w:jc w:val="left"/>
            </w:pPr>
            <w:r>
              <w:t xml:space="preserve">Denormalized wide tables per analytical domain</w:t>
            </w:r>
          </w:p>
        </w:tc>
        <w:tc>
          <w:tcPr/>
          <w:p>
            <w:pPr>
              <w:pStyle w:val="Compact"/>
              <w:jc w:val="left"/>
            </w:pPr>
            <w:r>
              <w:t xml:space="preserve">Delta tables with liquid clustering; incremental MERGE</w:t>
            </w:r>
          </w:p>
        </w:tc>
        <w:tc>
          <w:tcPr/>
          <w:p>
            <w:pPr>
              <w:pStyle w:val="Compact"/>
              <w:jc w:val="left"/>
            </w:pPr>
            <w:r>
              <w:t xml:space="preserve">AI join scaffolding</w:t>
            </w:r>
          </w:p>
        </w:tc>
      </w:tr>
      <w:tr>
        <w:tc>
          <w:tcPr/>
          <w:p>
            <w:pPr>
              <w:pStyle w:val="Compact"/>
              <w:jc w:val="left"/>
            </w:pPr>
            <w:r>
              <w:t xml:space="preserve">Insight Layer</w:t>
            </w:r>
          </w:p>
        </w:tc>
        <w:tc>
          <w:tcPr/>
          <w:p>
            <w:pPr>
              <w:pStyle w:val="Compact"/>
              <w:jc w:val="left"/>
            </w:pPr>
            <w:r>
              <w:t xml:space="preserve">Business calculations, metrics, and views serving ~12,000 documented insights</w:t>
            </w:r>
          </w:p>
        </w:tc>
        <w:tc>
          <w:tcPr/>
          <w:p>
            <w:pPr>
              <w:pStyle w:val="Compact"/>
              <w:jc w:val="left"/>
            </w:pPr>
            <w:r>
              <w:t xml:space="preserve">Delta tables and views on top of OBTs; AI-generated SQL/PySpark expressions matching approved business rules</w:t>
            </w:r>
          </w:p>
        </w:tc>
        <w:tc>
          <w:tcPr/>
          <w:p>
            <w:pPr>
              <w:pStyle w:val="Compact"/>
              <w:jc w:val="left"/>
            </w:pPr>
            <w:r>
              <w:t xml:space="preserve">AI insight generation</w:t>
            </w:r>
          </w:p>
        </w:tc>
      </w:tr>
    </w:tbl>
    <w:bookmarkEnd w:id="29"/>
    <w:bookmarkStart w:id="30" w:name="governance-operations"/>
    <w:p>
      <w:pPr>
        <w:pStyle w:val="Heading2"/>
      </w:pPr>
      <w:r>
        <w:t xml:space="preserve">3.3 Governance &amp; Operations</w:t>
      </w:r>
    </w:p>
    <w:p>
      <w:pPr>
        <w:pStyle w:val="FirstParagraph"/>
      </w:pPr>
      <w:r>
        <w:t xml:space="preserve">Unity Catalog for centralized governance, lineage, column-level security. Delta Live Tables or Databricks Workflows for orchestration. Great Expectations or built-in DLT expectations for DQ. Databricks Asset Bundles integrated with Azure DevOps or GitHub Actions for CI/CD. Photon runtime enabled on analytical clusters. Custom schema-drift monitoring for the D365 connector.</w:t>
      </w:r>
    </w:p>
    <w:p>
      <w:r>
        <w:pict>
          <v:rect style="width:0;height:1.5pt" o:hralign="center" o:hrstd="t" o:hr="t"/>
        </w:pict>
      </w:r>
    </w:p>
    <w:bookmarkEnd w:id="30"/>
    <w:bookmarkEnd w:id="31"/>
    <w:bookmarkStart w:id="32" w:name="scope-baseline-and-sizing-assumptions"/>
    <w:p>
      <w:pPr>
        <w:pStyle w:val="Heading1"/>
      </w:pPr>
      <w:r>
        <w:t xml:space="preserve">4. Scope Baseline and Sizing Assumptions</w:t>
      </w:r>
    </w:p>
    <w:p>
      <w:pPr>
        <w:pStyle w:val="FirstParagraph"/>
      </w:pPr>
      <w:r>
        <w:t xml:space="preserve">The scope is unchanged from the baseline. Assumptions: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 type</w:t>
            </w:r>
          </w:p>
        </w:tc>
        <w:tc>
          <w:tcPr/>
          <w:p>
            <w:pPr>
              <w:pStyle w:val="Compact"/>
              <w:jc w:val="left"/>
            </w:pPr>
            <w:r>
              <w:t xml:space="preserve">Estimated count</w:t>
            </w:r>
          </w:p>
        </w:tc>
        <w:tc>
          <w:tcPr/>
          <w:p>
            <w:pPr>
              <w:pStyle w:val="Compact"/>
              <w:jc w:val="left"/>
            </w:pPr>
            <w:r>
              <w:t xml:space="preserve">Sizing basis</w:t>
            </w:r>
          </w:p>
        </w:tc>
      </w:tr>
      <w:tr>
        <w:tc>
          <w:tcPr/>
          <w:p>
            <w:pPr>
              <w:pStyle w:val="Compact"/>
              <w:jc w:val="left"/>
            </w:pPr>
            <w:r>
              <w:t xml:space="preserve">D365 F&amp;O entities / tables to ingest</w:t>
            </w:r>
          </w:p>
        </w:tc>
        <w:tc>
          <w:tcPr/>
          <w:p>
            <w:pPr>
              <w:pStyle w:val="Compact"/>
              <w:jc w:val="left"/>
            </w:pPr>
            <w:r>
              <w:t xml:space="preserve">~200</w:t>
            </w:r>
          </w:p>
        </w:tc>
        <w:tc>
          <w:tcPr/>
          <w:p>
            <w:pPr>
              <w:pStyle w:val="Compact"/>
              <w:jc w:val="left"/>
            </w:pPr>
            <w:r>
              <w:t xml:space="preserve">Derived from 500 SQL views, 100 dataflows, 750 reports across all domains</w:t>
            </w:r>
          </w:p>
        </w:tc>
      </w:tr>
      <w:tr>
        <w:tc>
          <w:tcPr/>
          <w:p>
            <w:pPr>
              <w:pStyle w:val="Compact"/>
              <w:jc w:val="left"/>
            </w:pPr>
            <w:r>
              <w:t xml:space="preserve">Dimension tables (Gold)</w:t>
            </w:r>
          </w:p>
        </w:tc>
        <w:tc>
          <w:tcPr/>
          <w:p>
            <w:pPr>
              <w:pStyle w:val="Compact"/>
              <w:jc w:val="left"/>
            </w:pPr>
            <w:r>
              <w:t xml:space="preserve">~50</w:t>
            </w:r>
          </w:p>
        </w:tc>
        <w:tc>
          <w:tcPr/>
          <w:p>
            <w:pPr>
              <w:pStyle w:val="Compact"/>
              <w:jc w:val="left"/>
            </w:pPr>
            <w:r>
              <w:t xml:space="preserve">Standard ERP dimensional model</w:t>
            </w:r>
          </w:p>
        </w:tc>
      </w:tr>
      <w:tr>
        <w:tc>
          <w:tcPr/>
          <w:p>
            <w:pPr>
              <w:pStyle w:val="Compact"/>
              <w:jc w:val="left"/>
            </w:pPr>
            <w:r>
              <w:t xml:space="preserve">Fact tables (Gold)</w:t>
            </w:r>
          </w:p>
        </w:tc>
        <w:tc>
          <w:tcPr/>
          <w:p>
            <w:pPr>
              <w:pStyle w:val="Compact"/>
              <w:jc w:val="left"/>
            </w:pPr>
            <w:r>
              <w:t xml:space="preserve">~30</w:t>
            </w:r>
          </w:p>
        </w:tc>
        <w:tc>
          <w:tcPr/>
          <w:p>
            <w:pPr>
              <w:pStyle w:val="Compact"/>
              <w:jc w:val="left"/>
            </w:pPr>
            <w:r>
              <w:t xml:space="preserve">GL, AP, AR, POs, SOs, inventory movements, etc.</w:t>
            </w:r>
          </w:p>
        </w:tc>
      </w:tr>
      <w:tr>
        <w:tc>
          <w:tcPr/>
          <w:p>
            <w:pPr>
              <w:pStyle w:val="Compact"/>
              <w:jc w:val="left"/>
            </w:pPr>
            <w:r>
              <w:t xml:space="preserve">One Big Tables (OBT)</w:t>
            </w:r>
          </w:p>
        </w:tc>
        <w:tc>
          <w:tcPr/>
          <w:p>
            <w:pPr>
              <w:pStyle w:val="Compact"/>
              <w:jc w:val="left"/>
            </w:pPr>
            <w:r>
              <w:t xml:space="preserve">~30</w:t>
            </w:r>
          </w:p>
        </w:tc>
        <w:tc>
          <w:tcPr/>
          <w:p>
            <w:pPr>
              <w:pStyle w:val="Compact"/>
              <w:jc w:val="left"/>
            </w:pPr>
            <w:r>
              <w:t xml:space="preserve">One primary OBT per major analytical domain</w:t>
            </w:r>
          </w:p>
        </w:tc>
      </w:tr>
      <w:tr>
        <w:tc>
          <w:tcPr/>
          <w:p>
            <w:pPr>
              <w:pStyle w:val="Compact"/>
              <w:jc w:val="left"/>
            </w:pPr>
            <w:r>
              <w:t xml:space="preserve">Business insights</w:t>
            </w:r>
          </w:p>
        </w:tc>
        <w:tc>
          <w:tcPr/>
          <w:p>
            <w:pPr>
              <w:pStyle w:val="Compact"/>
              <w:jc w:val="left"/>
            </w:pPr>
            <w:r>
              <w:t xml:space="preserve">12,000</w:t>
            </w:r>
          </w:p>
        </w:tc>
        <w:tc>
          <w:tcPr/>
          <w:p>
            <w:pPr>
              <w:pStyle w:val="Compact"/>
              <w:jc w:val="left"/>
            </w:pPr>
            <w:r>
              <w:t xml:space="preserve">Given: 750 reports × 4 pages × 4 insights</w:t>
            </w:r>
          </w:p>
        </w:tc>
      </w:tr>
      <w:tr>
        <w:tc>
          <w:tcPr/>
          <w:p>
            <w:pPr>
              <w:pStyle w:val="Compact"/>
              <w:jc w:val="left"/>
            </w:pPr>
            <w:r>
              <w:t xml:space="preserve">Business domains</w:t>
            </w:r>
          </w:p>
        </w:tc>
        <w:tc>
          <w:tcPr/>
          <w:p>
            <w:pPr>
              <w:pStyle w:val="Compact"/>
              <w:jc w:val="left"/>
            </w:pPr>
            <w:r>
              <w:t xml:space="preserve">~10</w:t>
            </w:r>
          </w:p>
        </w:tc>
        <w:tc>
          <w:tcPr/>
          <w:p>
            <w:pPr>
              <w:pStyle w:val="Compact"/>
              <w:jc w:val="left"/>
            </w:pPr>
            <w:r>
              <w:t xml:space="preserve">Finance, AP, AR, FA, Inventory, Procurement, Sales, Production, HR, Cross-functional</w:t>
            </w:r>
          </w:p>
        </w:tc>
      </w:tr>
    </w:tbl>
    <w:p>
      <w:pPr>
        <w:pStyle w:val="BodyText"/>
      </w:pPr>
      <w:r>
        <w:rPr>
          <w:bCs/>
          <w:b/>
        </w:rPr>
        <w:t xml:space="preserve">Recommended First Action:</w:t>
      </w:r>
      <w:r>
        <w:t xml:space="preserve"> </w:t>
      </w:r>
      <w:r>
        <w:t xml:space="preserve">A 2-week discovery spike in Weeks 1–2 should validate these counts against the actual environment. Divergence of more than 20% on entity count or insight complexity distribution warrants a re-baselining of the estimates in Sections 5 through 9 before final staffing commitments are made.</w:t>
      </w:r>
    </w:p>
    <w:p>
      <w:r>
        <w:pict>
          <v:rect style="width:0;height:1.5pt" o:hralign="center" o:hrstd="t" o:hr="t"/>
        </w:pict>
      </w:r>
    </w:p>
    <w:bookmarkEnd w:id="32"/>
    <w:bookmarkStart w:id="39" w:name="phase-1-business-insight-review"/>
    <w:p>
      <w:pPr>
        <w:pStyle w:val="Heading1"/>
      </w:pPr>
      <w:r>
        <w:t xml:space="preserve">5. Phase 1 — Business Insight Review</w:t>
      </w:r>
    </w:p>
    <w:p>
      <w:pPr>
        <w:pStyle w:val="FirstParagraph"/>
      </w:pPr>
      <w:r>
        <w:t xml:space="preserve">Phase 1 is the data-engineering review of the 12,000 completed business insight questionnaires. Data engineers read all 24 answers per insight to genuinely</w:t>
      </w:r>
      <w:r>
        <w:t xml:space="preserve"> </w:t>
      </w:r>
      <w:r>
        <w:rPr>
          <w:bCs/>
          <w:b/>
        </w:rPr>
        <w:t xml:space="preserve">understand</w:t>
      </w:r>
      <w:r>
        <w:t xml:space="preserve"> </w:t>
      </w:r>
      <w:r>
        <w:t xml:space="preserve">each one, call business users where clarification is required, and mark questionnaires ready for Phase 2.</w:t>
      </w:r>
    </w:p>
    <w:bookmarkStart w:id="33" w:name="scope"/>
    <w:p>
      <w:pPr>
        <w:pStyle w:val="Heading2"/>
      </w:pPr>
      <w:r>
        <w:t xml:space="preserve">5.1 Scope</w:t>
      </w:r>
    </w:p>
    <w:p>
      <w:pPr>
        <w:numPr>
          <w:ilvl w:val="0"/>
          <w:numId w:val="1003"/>
        </w:numPr>
        <w:pStyle w:val="Compact"/>
      </w:pPr>
      <w:r>
        <w:t xml:space="preserve">Read and understand each business insight in the context of the source report</w:t>
      </w:r>
    </w:p>
    <w:p>
      <w:pPr>
        <w:numPr>
          <w:ilvl w:val="0"/>
          <w:numId w:val="1003"/>
        </w:numPr>
        <w:pStyle w:val="Compact"/>
      </w:pPr>
      <w:r>
        <w:t xml:space="preserve">Review all 24 questionnaire responses per insight for completeness, consistency, and clarity</w:t>
      </w:r>
    </w:p>
    <w:p>
      <w:pPr>
        <w:numPr>
          <w:ilvl w:val="0"/>
          <w:numId w:val="1003"/>
        </w:numPr>
        <w:pStyle w:val="Compact"/>
      </w:pPr>
      <w:r>
        <w:t xml:space="preserve">Identify missing, ambiguous, or conflicting information</w:t>
      </w:r>
    </w:p>
    <w:p>
      <w:pPr>
        <w:numPr>
          <w:ilvl w:val="0"/>
          <w:numId w:val="1003"/>
        </w:numPr>
        <w:pStyle w:val="Compact"/>
      </w:pPr>
      <w:r>
        <w:t xml:space="preserve">Schedule and conduct clarification discussions with the relevant business users where required</w:t>
      </w:r>
    </w:p>
    <w:p>
      <w:pPr>
        <w:numPr>
          <w:ilvl w:val="0"/>
          <w:numId w:val="1003"/>
        </w:numPr>
        <w:pStyle w:val="Compact"/>
      </w:pPr>
      <w:r>
        <w:t xml:space="preserve">Update questionnaires with the agreed clarifications and mark them as ready for technical analysis</w:t>
      </w:r>
    </w:p>
    <w:bookmarkEnd w:id="33"/>
    <w:bookmarkStart w:id="34" w:name="where-the-accelerators-apply"/>
    <w:p>
      <w:pPr>
        <w:pStyle w:val="Heading2"/>
      </w:pPr>
      <w:r>
        <w:t xml:space="preserve">5.2 Where the Accelerators Apply</w:t>
      </w:r>
    </w:p>
    <w:p>
      <w:pPr>
        <w:pStyle w:val="FirstParagraph"/>
      </w:pPr>
      <w:r>
        <w:rPr>
          <w:bCs/>
          <w:b/>
        </w:rPr>
        <w:t xml:space="preserve">AI agent contribution (limited):</w:t>
      </w:r>
      <w:r>
        <w:t xml:space="preserve"> </w:t>
      </w:r>
      <w:r>
        <w:t xml:space="preserve">- Duplicate insight detection across the 12,000 corpus (estimated 10–15% duplicate rate → 1,200–1,800 insights eliminated from workload)</w:t>
      </w:r>
      <w:r>
        <w:t xml:space="preserve"> </w:t>
      </w:r>
      <w:r>
        <w:t xml:space="preserve">- Completeness check — auto-flag missing or contradictory answers</w:t>
      </w:r>
      <w:r>
        <w:t xml:space="preserve"> </w:t>
      </w:r>
      <w:r>
        <w:t xml:space="preserve">- Structured summarisation to speed engineer reading</w:t>
      </w:r>
    </w:p>
    <w:p>
      <w:pPr>
        <w:pStyle w:val="BodyText"/>
      </w:pPr>
      <w:r>
        <w:rPr>
          <w:bCs/>
          <w:b/>
        </w:rPr>
        <w:t xml:space="preserve">FastTrack and D365 Connector: not applicable</w:t>
      </w:r>
      <w:r>
        <w:t xml:space="preserve"> </w:t>
      </w:r>
      <w:r>
        <w:t xml:space="preserve">— this phase is business questionnaire review; F&amp;O metadata assets and Bronze connectors do not apply.</w:t>
      </w:r>
    </w:p>
    <w:bookmarkEnd w:id="34"/>
    <w:bookmarkStart w:id="35" w:name="estimation-model"/>
    <w:p>
      <w:pPr>
        <w:pStyle w:val="Heading2"/>
      </w:pPr>
      <w:r>
        <w:t xml:space="preserve">5.3 Estimation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Optimistic</w:t>
            </w:r>
          </w:p>
        </w:tc>
        <w:tc>
          <w:tcPr/>
          <w:p>
            <w:pPr>
              <w:pStyle w:val="Compact"/>
              <w:jc w:val="left"/>
            </w:pPr>
            <w:r>
              <w:t xml:space="preserve">Realistic (v3)</w:t>
            </w:r>
          </w:p>
        </w:tc>
        <w:tc>
          <w:tcPr/>
          <w:p>
            <w:pPr>
              <w:pStyle w:val="Compact"/>
              <w:jc w:val="left"/>
            </w:pPr>
            <w:r>
              <w:t xml:space="preserve">Conservative</w:t>
            </w:r>
          </w:p>
        </w:tc>
      </w:tr>
      <w:tr>
        <w:tc>
          <w:tcPr/>
          <w:p>
            <w:pPr>
              <w:pStyle w:val="Compact"/>
              <w:jc w:val="left"/>
            </w:pPr>
            <w:r>
              <w:t xml:space="preserve">Base review time per insight (with AI assist)</w:t>
            </w:r>
          </w:p>
        </w:tc>
        <w:tc>
          <w:tcPr/>
          <w:p>
            <w:pPr>
              <w:pStyle w:val="Compact"/>
              <w:jc w:val="left"/>
            </w:pPr>
            <w:r>
              <w:t xml:space="preserve">15 min</w:t>
            </w:r>
          </w:p>
        </w:tc>
        <w:tc>
          <w:tcPr/>
          <w:p>
            <w:pPr>
              <w:pStyle w:val="Compact"/>
              <w:jc w:val="left"/>
            </w:pPr>
            <w:r>
              <w:t xml:space="preserve">25 min</w:t>
            </w:r>
          </w:p>
        </w:tc>
        <w:tc>
          <w:tcPr/>
          <w:p>
            <w:pPr>
              <w:pStyle w:val="Compact"/>
              <w:jc w:val="left"/>
            </w:pPr>
            <w:r>
              <w:t xml:space="preserve">40 min</w:t>
            </w:r>
          </w:p>
        </w:tc>
      </w:tr>
      <w:tr>
        <w:tc>
          <w:tcPr/>
          <w:p>
            <w:pPr>
              <w:pStyle w:val="Compact"/>
              <w:jc w:val="left"/>
            </w:pPr>
            <w:r>
              <w:t xml:space="preserve">% of insights requiring discussion</w:t>
            </w:r>
          </w:p>
        </w:tc>
        <w:tc>
          <w:tcPr/>
          <w:p>
            <w:pPr>
              <w:pStyle w:val="Compact"/>
              <w:jc w:val="left"/>
            </w:pPr>
            <w:r>
              <w:t xml:space="preserve">12%</w:t>
            </w:r>
          </w:p>
        </w:tc>
        <w:tc>
          <w:tcPr/>
          <w:p>
            <w:pPr>
              <w:pStyle w:val="Compact"/>
              <w:jc w:val="left"/>
            </w:pPr>
            <w:r>
              <w:t xml:space="preserve">22%</w:t>
            </w:r>
          </w:p>
        </w:tc>
        <w:tc>
          <w:tcPr/>
          <w:p>
            <w:pPr>
              <w:pStyle w:val="Compact"/>
              <w:jc w:val="left"/>
            </w:pPr>
            <w:r>
              <w:t xml:space="preserve">38%</w:t>
            </w:r>
          </w:p>
        </w:tc>
      </w:tr>
      <w:tr>
        <w:tc>
          <w:tcPr/>
          <w:p>
            <w:pPr>
              <w:pStyle w:val="Compact"/>
              <w:jc w:val="left"/>
            </w:pPr>
            <w:r>
              <w:t xml:space="preserve">Average discussion duration</w:t>
            </w:r>
          </w:p>
        </w:tc>
        <w:tc>
          <w:tcPr/>
          <w:p>
            <w:pPr>
              <w:pStyle w:val="Compact"/>
              <w:jc w:val="left"/>
            </w:pPr>
            <w:r>
              <w:t xml:space="preserve">20 min</w:t>
            </w:r>
          </w:p>
        </w:tc>
        <w:tc>
          <w:tcPr/>
          <w:p>
            <w:pPr>
              <w:pStyle w:val="Compact"/>
              <w:jc w:val="left"/>
            </w:pPr>
            <w:r>
              <w:t xml:space="preserve">30 min</w:t>
            </w:r>
          </w:p>
        </w:tc>
        <w:tc>
          <w:tcPr/>
          <w:p>
            <w:pPr>
              <w:pStyle w:val="Compact"/>
              <w:jc w:val="left"/>
            </w:pPr>
            <w:r>
              <w:t xml:space="preserve">45 min</w:t>
            </w:r>
          </w:p>
        </w:tc>
      </w:tr>
      <w:tr>
        <w:tc>
          <w:tcPr/>
          <w:p>
            <w:pPr>
              <w:pStyle w:val="Compact"/>
              <w:jc w:val="left"/>
            </w:pPr>
            <w:r>
              <w:t xml:space="preserve">Effective time per insight</w:t>
            </w:r>
          </w:p>
        </w:tc>
        <w:tc>
          <w:tcPr/>
          <w:p>
            <w:pPr>
              <w:pStyle w:val="Compact"/>
              <w:jc w:val="left"/>
            </w:pPr>
            <w:r>
              <w:t xml:space="preserve">17.4 min</w:t>
            </w:r>
          </w:p>
        </w:tc>
        <w:tc>
          <w:tcPr/>
          <w:p>
            <w:pPr>
              <w:pStyle w:val="Compact"/>
              <w:jc w:val="left"/>
            </w:pPr>
            <w:r>
              <w:t xml:space="preserve">31.6 min</w:t>
            </w:r>
          </w:p>
        </w:tc>
        <w:tc>
          <w:tcPr/>
          <w:p>
            <w:pPr>
              <w:pStyle w:val="Compact"/>
              <w:jc w:val="left"/>
            </w:pPr>
            <w:r>
              <w:t xml:space="preserve">57 min</w:t>
            </w:r>
          </w:p>
        </w:tc>
      </w:tr>
      <w:tr>
        <w:tc>
          <w:tcPr/>
          <w:p>
            <w:pPr>
              <w:pStyle w:val="Compact"/>
              <w:jc w:val="left"/>
            </w:pPr>
            <w:r>
              <w:rPr>
                <w:bCs/>
                <w:b/>
              </w:rPr>
              <w:t xml:space="preserve">Total effort (12,000 insights)</w:t>
            </w:r>
          </w:p>
        </w:tc>
        <w:tc>
          <w:tcPr/>
          <w:p>
            <w:pPr>
              <w:pStyle w:val="Compact"/>
              <w:jc w:val="left"/>
            </w:pPr>
            <w:r>
              <w:rPr>
                <w:bCs/>
                <w:b/>
              </w:rPr>
              <w:t xml:space="preserve">3,500 hrs</w:t>
            </w:r>
          </w:p>
        </w:tc>
        <w:tc>
          <w:tcPr/>
          <w:p>
            <w:pPr>
              <w:pStyle w:val="Compact"/>
              <w:jc w:val="left"/>
            </w:pPr>
            <w:r>
              <w:rPr>
                <w:bCs/>
                <w:b/>
              </w:rPr>
              <w:t xml:space="preserve">6,300–6,700 hrs</w:t>
            </w:r>
          </w:p>
        </w:tc>
        <w:tc>
          <w:tcPr/>
          <w:p>
            <w:pPr>
              <w:pStyle w:val="Compact"/>
              <w:jc w:val="left"/>
            </w:pPr>
            <w:r>
              <w:rPr>
                <w:bCs/>
                <w:b/>
              </w:rPr>
              <w:t xml:space="preserve">11,400 hrs</w:t>
            </w:r>
          </w:p>
        </w:tc>
      </w:tr>
      <w:tr>
        <w:tc>
          <w:tcPr/>
          <w:p>
            <w:pPr>
              <w:pStyle w:val="Compact"/>
              <w:jc w:val="left"/>
            </w:pPr>
            <w:r>
              <w:t xml:space="preserve">Engineers required (6 weeks × 5 days × 7 hrs = 210 hrs each)</w:t>
            </w:r>
          </w:p>
        </w:tc>
        <w:tc>
          <w:tcPr/>
          <w:p>
            <w:pPr>
              <w:pStyle w:val="Compact"/>
              <w:jc w:val="left"/>
            </w:pPr>
            <w:r>
              <w:t xml:space="preserve">17</w:t>
            </w:r>
          </w:p>
        </w:tc>
        <w:tc>
          <w:tcPr/>
          <w:p>
            <w:pPr>
              <w:pStyle w:val="Compact"/>
              <w:jc w:val="left"/>
            </w:pPr>
            <w:r>
              <w:t xml:space="preserve">30–32</w:t>
            </w:r>
          </w:p>
        </w:tc>
        <w:tc>
          <w:tcPr/>
          <w:p>
            <w:pPr>
              <w:pStyle w:val="Compact"/>
              <w:jc w:val="left"/>
            </w:pPr>
            <w:r>
              <w:t xml:space="preserve">54</w:t>
            </w:r>
          </w:p>
        </w:tc>
      </w:tr>
    </w:tbl>
    <w:bookmarkEnd w:id="35"/>
    <w:bookmarkStart w:id="36" w:name="realistic-effort-breakdown"/>
    <w:p>
      <w:pPr>
        <w:pStyle w:val="Heading2"/>
      </w:pPr>
      <w:r>
        <w:t xml:space="preserve">5.4 Realistic Effort Breakdown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Basis</w:t>
            </w:r>
          </w:p>
        </w:tc>
        <w:tc>
          <w:tcPr/>
          <w:p>
            <w:pPr>
              <w:pStyle w:val="Compact"/>
              <w:jc w:val="left"/>
            </w:pPr>
            <w:r>
              <w:t xml:space="preserve">Hours</w:t>
            </w:r>
          </w:p>
        </w:tc>
      </w:tr>
      <w:tr>
        <w:tc>
          <w:tcPr/>
          <w:p>
            <w:pPr>
              <w:pStyle w:val="Compact"/>
              <w:jc w:val="left"/>
            </w:pPr>
            <w:r>
              <w:t xml:space="preserve">Base questionnaire review (AI-assisted)</w:t>
            </w:r>
          </w:p>
        </w:tc>
        <w:tc>
          <w:tcPr/>
          <w:p>
            <w:pPr>
              <w:pStyle w:val="Compact"/>
              <w:jc w:val="left"/>
            </w:pPr>
            <w:r>
              <w:t xml:space="preserve">12,000 × 25 min</w:t>
            </w:r>
          </w:p>
        </w:tc>
        <w:tc>
          <w:tcPr/>
          <w:p>
            <w:pPr>
              <w:pStyle w:val="Compact"/>
              <w:jc w:val="left"/>
            </w:pPr>
            <w:r>
              <w:t xml:space="preserve">5,000–5,300</w:t>
            </w:r>
          </w:p>
        </w:tc>
      </w:tr>
      <w:tr>
        <w:tc>
          <w:tcPr/>
          <w:p>
            <w:pPr>
              <w:pStyle w:val="Compact"/>
              <w:jc w:val="left"/>
            </w:pPr>
            <w:r>
              <w:t xml:space="preserve">Business-user discussions (contribution)</w:t>
            </w:r>
          </w:p>
        </w:tc>
        <w:tc>
          <w:tcPr/>
          <w:p>
            <w:pPr>
              <w:pStyle w:val="Compact"/>
              <w:jc w:val="left"/>
            </w:pPr>
            <w:r>
              <w:t xml:space="preserve">12,000 × 22% × 30 min</w:t>
            </w:r>
          </w:p>
        </w:tc>
        <w:tc>
          <w:tcPr/>
          <w:p>
            <w:pPr>
              <w:pStyle w:val="Compact"/>
              <w:jc w:val="left"/>
            </w:pPr>
            <w:r>
              <w:t xml:space="preserve">1,300–1,400</w:t>
            </w:r>
          </w:p>
        </w:tc>
      </w:tr>
      <w:tr>
        <w:tc>
          <w:tcPr/>
          <w:p>
            <w:pPr>
              <w:pStyle w:val="Compact"/>
              <w:jc w:val="left"/>
            </w:pPr>
            <w:r>
              <w:rPr>
                <w:bCs/>
                <w:b/>
              </w:rPr>
              <w:t xml:space="preserve">Phase 1 Total (realistic)</w:t>
            </w:r>
          </w:p>
        </w:tc>
        <w:tc>
          <w:tcPr/>
          <w:p>
            <w:pPr>
              <w:pStyle w:val="Compact"/>
            </w:pPr>
          </w:p>
        </w:tc>
        <w:tc>
          <w:tcPr/>
          <w:p>
            <w:pPr>
              <w:pStyle w:val="Compact"/>
              <w:jc w:val="left"/>
            </w:pPr>
            <w:r>
              <w:rPr>
                <w:bCs/>
                <w:b/>
              </w:rPr>
              <w:t xml:space="preserve">6,300–6,700</w:t>
            </w:r>
          </w:p>
        </w:tc>
      </w:tr>
    </w:tbl>
    <w:p>
      <w:pPr>
        <w:pStyle w:val="BodyText"/>
      </w:pPr>
      <w:r>
        <w:rPr>
          <w:bCs/>
          <w:b/>
        </w:rPr>
        <w:t xml:space="preserve">Person-days:</w:t>
      </w:r>
      <w:r>
        <w:t xml:space="preserve"> </w:t>
      </w:r>
      <w:r>
        <w:t xml:space="preserve">900–957 ·</w:t>
      </w:r>
      <w:r>
        <w:t xml:space="preserve"> </w:t>
      </w:r>
      <w:r>
        <w:rPr>
          <w:bCs/>
          <w:b/>
        </w:rPr>
        <w:t xml:space="preserve">Person-months:</w:t>
      </w:r>
      <w:r>
        <w:t xml:space="preserve"> </w:t>
      </w:r>
      <w:r>
        <w:t xml:space="preserve">41–44</w:t>
      </w:r>
    </w:p>
    <w:bookmarkEnd w:id="36"/>
    <w:bookmarkStart w:id="37" w:name="phase-1-team-composition"/>
    <w:p>
      <w:pPr>
        <w:pStyle w:val="Heading2"/>
      </w:pPr>
      <w:r>
        <w:t xml:space="preserve">5.5 Phase 1 Team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Responsibilities</w:t>
            </w:r>
          </w:p>
        </w:tc>
      </w:tr>
      <w:tr>
        <w:tc>
          <w:tcPr/>
          <w:p>
            <w:pPr>
              <w:pStyle w:val="Compact"/>
              <w:jc w:val="left"/>
            </w:pPr>
            <w:r>
              <w:t xml:space="preserve">Data Engineer (Reviewer)</w:t>
            </w:r>
          </w:p>
        </w:tc>
        <w:tc>
          <w:tcPr/>
          <w:p>
            <w:pPr>
              <w:pStyle w:val="Compact"/>
              <w:jc w:val="left"/>
            </w:pPr>
            <w:r>
              <w:t xml:space="preserve">30–32</w:t>
            </w:r>
          </w:p>
        </w:tc>
        <w:tc>
          <w:tcPr/>
          <w:p>
            <w:pPr>
              <w:pStyle w:val="Compact"/>
              <w:jc w:val="left"/>
            </w:pPr>
            <w:r>
              <w:t xml:space="preserve">Read and validate questionnaires; flag issues; conduct clarification discussions; update questionnaires</w:t>
            </w:r>
          </w:p>
        </w:tc>
      </w:tr>
      <w:tr>
        <w:tc>
          <w:tcPr/>
          <w:p>
            <w:pPr>
              <w:pStyle w:val="Compact"/>
              <w:jc w:val="left"/>
            </w:pPr>
            <w:r>
              <w:t xml:space="preserve">Business Analyst</w:t>
            </w:r>
          </w:p>
        </w:tc>
        <w:tc>
          <w:tcPr/>
          <w:p>
            <w:pPr>
              <w:pStyle w:val="Compact"/>
              <w:jc w:val="left"/>
            </w:pPr>
            <w:r>
              <w:t xml:space="preserve">2</w:t>
            </w:r>
          </w:p>
        </w:tc>
        <w:tc>
          <w:tcPr/>
          <w:p>
            <w:pPr>
              <w:pStyle w:val="Compact"/>
              <w:jc w:val="left"/>
            </w:pPr>
            <w:r>
              <w:t xml:space="preserve">Coordinate business user discussions; track review progress; escalate ambiguity patterns</w:t>
            </w:r>
          </w:p>
        </w:tc>
      </w:tr>
      <w:tr>
        <w:tc>
          <w:tcPr/>
          <w:p>
            <w:pPr>
              <w:pStyle w:val="Compact"/>
              <w:jc w:val="left"/>
            </w:pPr>
            <w:r>
              <w:t xml:space="preserve">D365 F&amp;O Functional Consultant</w:t>
            </w:r>
          </w:p>
        </w:tc>
        <w:tc>
          <w:tcPr/>
          <w:p>
            <w:pPr>
              <w:pStyle w:val="Compact"/>
              <w:jc w:val="left"/>
            </w:pPr>
            <w:r>
              <w:t xml:space="preserve">1</w:t>
            </w:r>
          </w:p>
        </w:tc>
        <w:tc>
          <w:tcPr/>
          <w:p>
            <w:pPr>
              <w:pStyle w:val="Compact"/>
              <w:jc w:val="left"/>
            </w:pPr>
            <w:r>
              <w:t xml:space="preserve">Domain support for business-rule interpretation across ERP modules</w:t>
            </w:r>
          </w:p>
        </w:tc>
      </w:tr>
      <w:tr>
        <w:tc>
          <w:tcPr/>
          <w:p>
            <w:pPr>
              <w:pStyle w:val="Compact"/>
              <w:jc w:val="left"/>
            </w:pPr>
            <w:r>
              <w:t xml:space="preserve">Project Manager</w:t>
            </w:r>
          </w:p>
        </w:tc>
        <w:tc>
          <w:tcPr/>
          <w:p>
            <w:pPr>
              <w:pStyle w:val="Compact"/>
              <w:jc w:val="left"/>
            </w:pPr>
            <w:r>
              <w:t xml:space="preserve">1</w:t>
            </w:r>
          </w:p>
        </w:tc>
        <w:tc>
          <w:tcPr/>
          <w:p>
            <w:pPr>
              <w:pStyle w:val="Compact"/>
              <w:jc w:val="left"/>
            </w:pPr>
            <w:r>
              <w:t xml:space="preserve">Delivery coordination, business-user scheduling, weekly progress reporting</w:t>
            </w:r>
          </w:p>
        </w:tc>
      </w:tr>
      <w:tr>
        <w:tc>
          <w:tcPr/>
          <w:p>
            <w:pPr>
              <w:pStyle w:val="Compact"/>
              <w:jc w:val="left"/>
            </w:pPr>
            <w:r>
              <w:t xml:space="preserve">Solution Architect (part-time)</w:t>
            </w:r>
          </w:p>
        </w:tc>
        <w:tc>
          <w:tcPr/>
          <w:p>
            <w:pPr>
              <w:pStyle w:val="Compact"/>
              <w:jc w:val="left"/>
            </w:pPr>
            <w:r>
              <w:t xml:space="preserve">1</w:t>
            </w:r>
          </w:p>
        </w:tc>
        <w:tc>
          <w:tcPr/>
          <w:p>
            <w:pPr>
              <w:pStyle w:val="Compact"/>
              <w:jc w:val="left"/>
            </w:pPr>
            <w:r>
              <w:t xml:space="preserve">Consistency oversight to ensure review outputs are usable inputs for Phases 2–5</w:t>
            </w:r>
          </w:p>
        </w:tc>
      </w:tr>
      <w:tr>
        <w:tc>
          <w:tcPr/>
          <w:p>
            <w:pPr>
              <w:pStyle w:val="Compact"/>
              <w:jc w:val="left"/>
            </w:pPr>
            <w:r>
              <w:rPr>
                <w:bCs/>
                <w:b/>
              </w:rPr>
              <w:t xml:space="preserve">Phase 1 subtotal</w:t>
            </w:r>
          </w:p>
        </w:tc>
        <w:tc>
          <w:tcPr/>
          <w:p>
            <w:pPr>
              <w:pStyle w:val="Compact"/>
              <w:jc w:val="left"/>
            </w:pPr>
            <w:r>
              <w:rPr>
                <w:bCs/>
                <w:b/>
              </w:rPr>
              <w:t xml:space="preserve">~35–37</w:t>
            </w:r>
          </w:p>
        </w:tc>
        <w:tc>
          <w:tcPr/>
          <w:p>
            <w:pPr>
              <w:pStyle w:val="Compact"/>
            </w:pPr>
          </w:p>
        </w:tc>
      </w:tr>
    </w:tbl>
    <w:bookmarkEnd w:id="37"/>
    <w:bookmarkStart w:id="38" w:name="continuity-into-phases-25"/>
    <w:p>
      <w:pPr>
        <w:pStyle w:val="Heading2"/>
      </w:pPr>
      <w:r>
        <w:t xml:space="preserve">5.6 Continuity into Phases 2–5</w:t>
      </w:r>
    </w:p>
    <w:p>
      <w:pPr>
        <w:pStyle w:val="FirstParagraph"/>
      </w:pPr>
      <w:r>
        <w:t xml:space="preserve">A portion of the Phase 1 reviewer cohort — typically the strongest 8–10 engineers — should transition into Phase 2/3 as senior data engineers and BAs, carrying forward direct familiarity with the questionnaire content and business context.</w:t>
      </w:r>
    </w:p>
    <w:p>
      <w:r>
        <w:pict>
          <v:rect style="width:0;height:1.5pt" o:hralign="center" o:hrstd="t" o:hr="t"/>
        </w:pict>
      </w:r>
    </w:p>
    <w:bookmarkEnd w:id="38"/>
    <w:bookmarkEnd w:id="39"/>
    <w:bookmarkStart w:id="44" w:name="phase-2-raw-and-silver-data-layer"/>
    <w:p>
      <w:pPr>
        <w:pStyle w:val="Heading1"/>
      </w:pPr>
      <w:r>
        <w:t xml:space="preserve">6. Phase 2 — Raw and Silver Data Layer</w:t>
      </w:r>
    </w:p>
    <w:bookmarkStart w:id="40" w:name="scope-1"/>
    <w:p>
      <w:pPr>
        <w:pStyle w:val="Heading2"/>
      </w:pPr>
      <w:r>
        <w:t xml:space="preserve">6.1 Scope</w:t>
      </w:r>
    </w:p>
    <w:p>
      <w:pPr>
        <w:numPr>
          <w:ilvl w:val="0"/>
          <w:numId w:val="1004"/>
        </w:numPr>
        <w:pStyle w:val="Compact"/>
      </w:pPr>
      <w:r>
        <w:t xml:space="preserve">Identify required D365 F&amp;O entities based on legacy AX 2012 SQL views, dataflows, and report requirements</w:t>
      </w:r>
    </w:p>
    <w:p>
      <w:pPr>
        <w:numPr>
          <w:ilvl w:val="0"/>
          <w:numId w:val="1004"/>
        </w:numPr>
        <w:pStyle w:val="Compact"/>
      </w:pPr>
      <w:r>
        <w:rPr>
          <w:bCs/>
          <w:b/>
        </w:rPr>
        <w:t xml:space="preserve">Configure the Lakeflow Connect D365 connector</w:t>
      </w:r>
      <w:r>
        <w:t xml:space="preserve"> </w:t>
      </w:r>
      <w:r>
        <w:t xml:space="preserve">against ADLS Gen2 (Synapse Link output) — this replaces custom Bronze pipeline development</w:t>
      </w:r>
    </w:p>
    <w:p>
      <w:pPr>
        <w:numPr>
          <w:ilvl w:val="0"/>
          <w:numId w:val="1004"/>
        </w:numPr>
        <w:pStyle w:val="Compact"/>
      </w:pPr>
      <w:r>
        <w:t xml:space="preserve">Design 2–3 domain-oriented ingestion pipelines (respecting the 250-tables-per-pipeline limit)</w:t>
      </w:r>
    </w:p>
    <w:p>
      <w:pPr>
        <w:numPr>
          <w:ilvl w:val="0"/>
          <w:numId w:val="1004"/>
        </w:numPr>
        <w:pStyle w:val="Compact"/>
      </w:pPr>
      <w:r>
        <w:t xml:space="preserve">Build the Silver layer with cleansing, type resolution, option-set decoding, lookup GUID resolution, deduplication, business-key resolution, SCD handling, and data-quality enforcement — using FastTrack patterns as the framework and AI-generated per-entity code</w:t>
      </w:r>
    </w:p>
    <w:p>
      <w:pPr>
        <w:numPr>
          <w:ilvl w:val="0"/>
          <w:numId w:val="1004"/>
        </w:numPr>
        <w:pStyle w:val="Compact"/>
      </w:pPr>
      <w:r>
        <w:t xml:space="preserve">Validate row-count, sum-total, and business-key reconciliation against the AX 2012 source</w:t>
      </w:r>
    </w:p>
    <w:bookmarkEnd w:id="40"/>
    <w:bookmarkStart w:id="41" w:name="where-the-accelerators-apply-1"/>
    <w:p>
      <w:pPr>
        <w:pStyle w:val="Heading2"/>
      </w:pPr>
      <w:r>
        <w:t xml:space="preserve">6.2 Where the Accelerators Apply</w:t>
      </w:r>
    </w:p>
    <w:p>
      <w:pPr>
        <w:pStyle w:val="FirstParagraph"/>
      </w:pPr>
      <w:r>
        <w:rPr>
          <w:bCs/>
          <w:b/>
        </w:rPr>
        <w:t xml:space="preserve">D365 Connector:</w:t>
      </w:r>
      <w:r>
        <w:t xml:space="preserve"> </w:t>
      </w:r>
      <w:r>
        <w:t xml:space="preserve">Eliminates most Bronze layer work — auto-creates streaming tables in Unity Catalog, handles incremental ingestion, maps data types.</w:t>
      </w:r>
    </w:p>
    <w:p>
      <w:pPr>
        <w:pStyle w:val="BodyText"/>
      </w:pPr>
      <w:r>
        <w:rPr>
          <w:bCs/>
          <w:b/>
        </w:rPr>
        <w:t xml:space="preserve">FastTrack:</w:t>
      </w:r>
      <w:r>
        <w:t xml:space="preserve"> </w:t>
      </w:r>
      <w:r>
        <w:t xml:space="preserve">Provides enum translation, sub-table resolution, view syntax replacement, and entity list templates — directly addresses documented Silver-layer pain points.</w:t>
      </w:r>
    </w:p>
    <w:p>
      <w:pPr>
        <w:pStyle w:val="BodyText"/>
      </w:pPr>
      <w:r>
        <w:rPr>
          <w:bCs/>
          <w:b/>
        </w:rPr>
        <w:t xml:space="preserve">AI:</w:t>
      </w:r>
      <w:r>
        <w:t xml:space="preserve"> </w:t>
      </w:r>
      <w:r>
        <w:t xml:space="preserve">Generates cleansing, SCD merge logic, DQ expectations, business-key resolution scaffolding per entity.</w:t>
      </w:r>
    </w:p>
    <w:bookmarkEnd w:id="41"/>
    <w:bookmarkStart w:id="42" w:name="effort-breakdown"/>
    <w:p>
      <w:pPr>
        <w:pStyle w:val="Heading2"/>
      </w:pPr>
      <w:r>
        <w:t xml:space="preserve">6.3 Effort Breakdown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Activity</w:t>
            </w:r>
          </w:p>
        </w:tc>
        <w:tc>
          <w:tcPr/>
          <w:p>
            <w:pPr>
              <w:pStyle w:val="Compact"/>
              <w:jc w:val="left"/>
            </w:pPr>
            <w:r>
              <w:t xml:space="preserve">Unit count</w:t>
            </w:r>
          </w:p>
        </w:tc>
        <w:tc>
          <w:tcPr/>
          <w:p>
            <w:pPr>
              <w:pStyle w:val="Compact"/>
              <w:jc w:val="left"/>
            </w:pPr>
            <w:r>
              <w:t xml:space="preserve">Hrs / unit</w:t>
            </w:r>
          </w:p>
        </w:tc>
        <w:tc>
          <w:tcPr/>
          <w:p>
            <w:pPr>
              <w:pStyle w:val="Compact"/>
              <w:jc w:val="left"/>
            </w:pPr>
            <w:r>
              <w:t xml:space="preserve">Total hrs</w:t>
            </w:r>
          </w:p>
        </w:tc>
      </w:tr>
      <w:tr>
        <w:tc>
          <w:tcPr/>
          <w:p>
            <w:pPr>
              <w:pStyle w:val="Compact"/>
              <w:jc w:val="left"/>
            </w:pPr>
            <w:r>
              <w:t xml:space="preserve">Discovery: AX 2012 → D365 F&amp;O entity mapping; SQL view analysis (AI-assisted)</w:t>
            </w:r>
          </w:p>
        </w:tc>
        <w:tc>
          <w:tcPr/>
          <w:p>
            <w:pPr>
              <w:pStyle w:val="Compact"/>
              <w:jc w:val="left"/>
            </w:pPr>
            <w:r>
              <w:t xml:space="preserve">200 entities + 500 SQL views</w:t>
            </w:r>
          </w:p>
        </w:tc>
        <w:tc>
          <w:tcPr/>
          <w:p>
            <w:pPr>
              <w:pStyle w:val="Compact"/>
              <w:jc w:val="left"/>
            </w:pPr>
            <w:r>
              <w:t xml:space="preserve">~2.5</w:t>
            </w:r>
          </w:p>
        </w:tc>
        <w:tc>
          <w:tcPr/>
          <w:p>
            <w:pPr>
              <w:pStyle w:val="Compact"/>
              <w:jc w:val="left"/>
            </w:pPr>
            <w:r>
              <w:t xml:space="preserve">500–600</w:t>
            </w:r>
          </w:p>
        </w:tc>
      </w:tr>
      <w:tr>
        <w:tc>
          <w:tcPr/>
          <w:p>
            <w:pPr>
              <w:pStyle w:val="Compact"/>
              <w:jc w:val="left"/>
            </w:pPr>
            <w:r>
              <w:t xml:space="preserve">Raw layer framework (mostly eliminated by connector)</w:t>
            </w:r>
          </w:p>
        </w:tc>
        <w:tc>
          <w:tcPr/>
          <w:p>
            <w:pPr>
              <w:pStyle w:val="Compact"/>
              <w:jc w:val="left"/>
            </w:pPr>
            <w:r>
              <w:t xml:space="preserve">1 framework</w:t>
            </w:r>
          </w:p>
        </w:tc>
        <w:tc>
          <w:tcPr/>
          <w:p>
            <w:pPr>
              <w:pStyle w:val="Compact"/>
              <w:jc w:val="left"/>
            </w:pPr>
            <w:r>
              <w:t xml:space="preserve">—</w:t>
            </w:r>
          </w:p>
        </w:tc>
        <w:tc>
          <w:tcPr/>
          <w:p>
            <w:pPr>
              <w:pStyle w:val="Compact"/>
              <w:jc w:val="left"/>
            </w:pPr>
            <w:r>
              <w:t xml:space="preserve">40–60</w:t>
            </w:r>
          </w:p>
        </w:tc>
      </w:tr>
      <w:tr>
        <w:tc>
          <w:tcPr/>
          <w:p>
            <w:pPr>
              <w:pStyle w:val="Compact"/>
              <w:jc w:val="left"/>
            </w:pPr>
            <w:r>
              <w:t xml:space="preserve">Raw layer per-entity (connector configuration + verification)</w:t>
            </w:r>
          </w:p>
        </w:tc>
        <w:tc>
          <w:tcPr/>
          <w:p>
            <w:pPr>
              <w:pStyle w:val="Compact"/>
              <w:jc w:val="left"/>
            </w:pPr>
            <w:r>
              <w:t xml:space="preserve">200 entities</w:t>
            </w:r>
          </w:p>
        </w:tc>
        <w:tc>
          <w:tcPr/>
          <w:p>
            <w:pPr>
              <w:pStyle w:val="Compact"/>
              <w:jc w:val="left"/>
            </w:pPr>
            <w:r>
              <w:t xml:space="preserve">~1</w:t>
            </w:r>
          </w:p>
        </w:tc>
        <w:tc>
          <w:tcPr/>
          <w:p>
            <w:pPr>
              <w:pStyle w:val="Compact"/>
              <w:jc w:val="left"/>
            </w:pPr>
            <w:r>
              <w:t xml:space="preserve">150–200</w:t>
            </w:r>
          </w:p>
        </w:tc>
      </w:tr>
      <w:tr>
        <w:tc>
          <w:tcPr/>
          <w:p>
            <w:pPr>
              <w:pStyle w:val="Compact"/>
              <w:jc w:val="left"/>
            </w:pPr>
            <w:r>
              <w:t xml:space="preserve">Silver layer framework (FastTrack pattern port to Databricks)</w:t>
            </w:r>
          </w:p>
        </w:tc>
        <w:tc>
          <w:tcPr/>
          <w:p>
            <w:pPr>
              <w:pStyle w:val="Compact"/>
              <w:jc w:val="left"/>
            </w:pPr>
            <w:r>
              <w:t xml:space="preserve">1 framework</w:t>
            </w:r>
          </w:p>
        </w:tc>
        <w:tc>
          <w:tcPr/>
          <w:p>
            <w:pPr>
              <w:pStyle w:val="Compact"/>
              <w:jc w:val="left"/>
            </w:pPr>
            <w:r>
              <w:t xml:space="preserve">—</w:t>
            </w:r>
          </w:p>
        </w:tc>
        <w:tc>
          <w:tcPr/>
          <w:p>
            <w:pPr>
              <w:pStyle w:val="Compact"/>
              <w:jc w:val="left"/>
            </w:pPr>
            <w:r>
              <w:t xml:space="preserve">150–200</w:t>
            </w:r>
          </w:p>
        </w:tc>
      </w:tr>
      <w:tr>
        <w:tc>
          <w:tcPr/>
          <w:p>
            <w:pPr>
              <w:pStyle w:val="Compact"/>
              <w:jc w:val="left"/>
            </w:pPr>
            <w:r>
              <w:t xml:space="preserve">Silver layer per-entity implementation (AI-generated, FastTrack-informed)</w:t>
            </w:r>
          </w:p>
        </w:tc>
        <w:tc>
          <w:tcPr/>
          <w:p>
            <w:pPr>
              <w:pStyle w:val="Compact"/>
              <w:jc w:val="left"/>
            </w:pPr>
            <w:r>
              <w:t xml:space="preserve">200 entities</w:t>
            </w:r>
          </w:p>
        </w:tc>
        <w:tc>
          <w:tcPr/>
          <w:p>
            <w:pPr>
              <w:pStyle w:val="Compact"/>
              <w:jc w:val="left"/>
            </w:pPr>
            <w:r>
              <w:t xml:space="preserve">~4</w:t>
            </w:r>
          </w:p>
        </w:tc>
        <w:tc>
          <w:tcPr/>
          <w:p>
            <w:pPr>
              <w:pStyle w:val="Compact"/>
              <w:jc w:val="left"/>
            </w:pPr>
            <w:r>
              <w:t xml:space="preserve">700–900</w:t>
            </w:r>
          </w:p>
        </w:tc>
      </w:tr>
      <w:tr>
        <w:tc>
          <w:tcPr/>
          <w:p>
            <w:pPr>
              <w:pStyle w:val="Compact"/>
              <w:jc w:val="left"/>
            </w:pPr>
            <w:r>
              <w:t xml:space="preserve">Data-quality validation &amp; reconciliation vs. AX 2012 / Synapse Link source</w:t>
            </w:r>
          </w:p>
        </w:tc>
        <w:tc>
          <w:tcPr/>
          <w:p>
            <w:pPr>
              <w:pStyle w:val="Compact"/>
              <w:jc w:val="left"/>
            </w:pPr>
            <w:r>
              <w:t xml:space="preserve">200 entities</w:t>
            </w:r>
          </w:p>
        </w:tc>
        <w:tc>
          <w:tcPr/>
          <w:p>
            <w:pPr>
              <w:pStyle w:val="Compact"/>
              <w:jc w:val="left"/>
            </w:pPr>
            <w:r>
              <w:t xml:space="preserve">2</w:t>
            </w:r>
          </w:p>
        </w:tc>
        <w:tc>
          <w:tcPr/>
          <w:p>
            <w:pPr>
              <w:pStyle w:val="Compact"/>
              <w:jc w:val="left"/>
            </w:pPr>
            <w:r>
              <w:t xml:space="preserve">400</w:t>
            </w:r>
          </w:p>
        </w:tc>
      </w:tr>
      <w:tr>
        <w:tc>
          <w:tcPr/>
          <w:p>
            <w:pPr>
              <w:pStyle w:val="Compact"/>
              <w:jc w:val="left"/>
            </w:pPr>
            <w:r>
              <w:t xml:space="preserve">Documentation (AI-generated)</w:t>
            </w:r>
          </w:p>
        </w:tc>
        <w:tc>
          <w:tcPr/>
          <w:p>
            <w:pPr>
              <w:pStyle w:val="Compact"/>
              <w:jc w:val="left"/>
            </w:pPr>
            <w:r>
              <w:t xml:space="preserve">—</w:t>
            </w:r>
          </w:p>
        </w:tc>
        <w:tc>
          <w:tcPr/>
          <w:p>
            <w:pPr>
              <w:pStyle w:val="Compact"/>
              <w:jc w:val="left"/>
            </w:pPr>
            <w:r>
              <w:t xml:space="preserve">—</w:t>
            </w:r>
          </w:p>
        </w:tc>
        <w:tc>
          <w:tcPr/>
          <w:p>
            <w:pPr>
              <w:pStyle w:val="Compact"/>
              <w:jc w:val="left"/>
            </w:pPr>
            <w:r>
              <w:t xml:space="preserve">50</w:t>
            </w:r>
          </w:p>
        </w:tc>
      </w:tr>
      <w:tr>
        <w:tc>
          <w:tcPr/>
          <w:p>
            <w:pPr>
              <w:pStyle w:val="Compact"/>
              <w:jc w:val="left"/>
            </w:pPr>
            <w:r>
              <w:rPr>
                <w:bCs/>
                <w:b/>
              </w:rPr>
              <w:t xml:space="preserve">Phase 2 Total</w:t>
            </w:r>
          </w:p>
        </w:tc>
        <w:tc>
          <w:tcPr/>
          <w:p>
            <w:pPr>
              <w:pStyle w:val="Compact"/>
            </w:pPr>
          </w:p>
        </w:tc>
        <w:tc>
          <w:tcPr/>
          <w:p>
            <w:pPr>
              <w:pStyle w:val="Compact"/>
            </w:pPr>
          </w:p>
        </w:tc>
        <w:tc>
          <w:tcPr/>
          <w:p>
            <w:pPr>
              <w:pStyle w:val="Compact"/>
              <w:jc w:val="left"/>
            </w:pPr>
            <w:r>
              <w:rPr>
                <w:bCs/>
                <w:b/>
              </w:rPr>
              <w:t xml:space="preserve">1,990–2,410</w:t>
            </w:r>
          </w:p>
        </w:tc>
      </w:tr>
    </w:tbl>
    <w:p>
      <w:pPr>
        <w:pStyle w:val="BodyText"/>
      </w:pPr>
      <w:r>
        <w:rPr>
          <w:bCs/>
          <w:b/>
        </w:rPr>
        <w:t xml:space="preserve">Person-days:</w:t>
      </w:r>
      <w:r>
        <w:t xml:space="preserve"> </w:t>
      </w:r>
      <w:r>
        <w:t xml:space="preserve">284–344 ·</w:t>
      </w:r>
      <w:r>
        <w:t xml:space="preserve"> </w:t>
      </w:r>
      <w:r>
        <w:rPr>
          <w:bCs/>
          <w:b/>
        </w:rPr>
        <w:t xml:space="preserve">Person-months:</w:t>
      </w:r>
      <w:r>
        <w:t xml:space="preserve"> </w:t>
      </w:r>
      <w:r>
        <w:t xml:space="preserve">13–16 ·</w:t>
      </w:r>
      <w:r>
        <w:t xml:space="preserve"> </w:t>
      </w:r>
      <w:r>
        <w:rPr>
          <w:bCs/>
          <w:b/>
        </w:rPr>
        <w:t xml:space="preserve">Effort reduction vs baseline: 58–66%</w:t>
      </w:r>
    </w:p>
    <w:bookmarkEnd w:id="42"/>
    <w:bookmarkStart w:id="43" w:name="X60b8e2a8bcccc2dbf4643b4ea8bbc6040ddf304"/>
    <w:p>
      <w:pPr>
        <w:pStyle w:val="Heading2"/>
      </w:pPr>
      <w:r>
        <w:t xml:space="preserve">6.4 Retained Databricks-Specific Considerations</w:t>
      </w:r>
    </w:p>
    <w:p>
      <w:pPr>
        <w:numPr>
          <w:ilvl w:val="0"/>
          <w:numId w:val="1005"/>
        </w:numPr>
        <w:pStyle w:val="Compact"/>
      </w:pPr>
      <w:r>
        <w:t xml:space="preserve">Lakeflow Connect connector: 250 tables/pipeline limit still applies; domain-oriented pipelines required</w:t>
      </w:r>
    </w:p>
    <w:p>
      <w:pPr>
        <w:numPr>
          <w:ilvl w:val="0"/>
          <w:numId w:val="1005"/>
        </w:numPr>
        <w:pStyle w:val="Compact"/>
      </w:pPr>
      <w:r>
        <w:t xml:space="preserve">Connector does</w:t>
      </w:r>
      <w:r>
        <w:t xml:space="preserve"> </w:t>
      </w:r>
      <w:r>
        <w:rPr>
          <w:bCs/>
          <w:b/>
        </w:rPr>
        <w:t xml:space="preserve">not</w:t>
      </w:r>
      <w:r>
        <w:t xml:space="preserve"> </w:t>
      </w:r>
      <w:r>
        <w:t xml:space="preserve">support automated schema evolution — schema-drift monitoring capability still required</w:t>
      </w:r>
    </w:p>
    <w:p>
      <w:pPr>
        <w:numPr>
          <w:ilvl w:val="0"/>
          <w:numId w:val="1005"/>
        </w:numPr>
        <w:pStyle w:val="Compact"/>
      </w:pPr>
      <w:r>
        <w:t xml:space="preserve">F&amp;O virtual entities (</w:t>
      </w:r>
      <w:r>
        <w:rPr>
          <w:rStyle w:val="VerbatimChar"/>
        </w:rPr>
        <w:t xml:space="preserve">mserp_</w:t>
      </w:r>
      <w:r>
        <w:t xml:space="preserve"> </w:t>
      </w:r>
      <w:r>
        <w:t xml:space="preserve">prefix) — FastTrack pattern (</w:t>
      </w:r>
      <w:r>
        <w:rPr>
          <w:rStyle w:val="VerbatimChar"/>
        </w:rPr>
        <w:t xml:space="preserve">remove_mserp_prefix</w:t>
      </w:r>
      <w:r>
        <w:t xml:space="preserve">) applies</w:t>
      </w:r>
    </w:p>
    <w:p>
      <w:pPr>
        <w:numPr>
          <w:ilvl w:val="0"/>
          <w:numId w:val="1005"/>
        </w:numPr>
        <w:pStyle w:val="Compact"/>
      </w:pPr>
      <w:r>
        <w:t xml:space="preserve">Option sets ingest as integer codes; lookups as GUIDs — FastTrack enum translation pattern used in Silver</w:t>
      </w:r>
    </w:p>
    <w:p>
      <w:pPr>
        <w:numPr>
          <w:ilvl w:val="0"/>
          <w:numId w:val="1005"/>
        </w:numPr>
        <w:pStyle w:val="Compact"/>
      </w:pPr>
      <w:r>
        <w:t xml:space="preserve">Multi-select option sets ingest as comma-separated strings — Silver-layer parsing required</w:t>
      </w:r>
    </w:p>
    <w:p>
      <w:pPr>
        <w:numPr>
          <w:ilvl w:val="0"/>
          <w:numId w:val="1005"/>
        </w:numPr>
        <w:pStyle w:val="Compact"/>
      </w:pPr>
      <w:r>
        <w:t xml:space="preserve">Synapse Link export latency 5–15 minutes — not real-time (unchanged from baseline)</w:t>
      </w:r>
    </w:p>
    <w:p>
      <w:r>
        <w:pict>
          <v:rect style="width:0;height:1.5pt" o:hralign="center" o:hrstd="t" o:hr="t"/>
        </w:pict>
      </w:r>
    </w:p>
    <w:bookmarkEnd w:id="43"/>
    <w:bookmarkEnd w:id="44"/>
    <w:bookmarkStart w:id="48" w:name="phase-3-dimensional-model-gold-layer"/>
    <w:p>
      <w:pPr>
        <w:pStyle w:val="Heading1"/>
      </w:pPr>
      <w:r>
        <w:t xml:space="preserve">7. Phase 3 — Dimensional Model (Gold Layer)</w:t>
      </w:r>
    </w:p>
    <w:bookmarkStart w:id="45" w:name="scope-2"/>
    <w:p>
      <w:pPr>
        <w:pStyle w:val="Heading2"/>
      </w:pPr>
      <w:r>
        <w:t xml:space="preserve">7.1 Scope</w:t>
      </w:r>
    </w:p>
    <w:p>
      <w:pPr>
        <w:numPr>
          <w:ilvl w:val="0"/>
          <w:numId w:val="1006"/>
        </w:numPr>
        <w:pStyle w:val="Compact"/>
      </w:pPr>
      <w:r>
        <w:t xml:space="preserve">Design an enterprise Kimball-style dimensional model spanning all in-scope business domains</w:t>
      </w:r>
    </w:p>
    <w:p>
      <w:pPr>
        <w:numPr>
          <w:ilvl w:val="0"/>
          <w:numId w:val="1006"/>
        </w:numPr>
        <w:pStyle w:val="Compact"/>
      </w:pPr>
      <w:r>
        <w:t xml:space="preserve">Define conformed dimensions used across multiple facts (Date, Customer, Vendor, Product, Legal Entity, etc.)</w:t>
      </w:r>
    </w:p>
    <w:p>
      <w:pPr>
        <w:numPr>
          <w:ilvl w:val="0"/>
          <w:numId w:val="1006"/>
        </w:numPr>
        <w:pStyle w:val="Compact"/>
      </w:pPr>
      <w:r>
        <w:t xml:space="preserve">Define fact tables at explicit grain, with clearly documented measures and business rules</w:t>
      </w:r>
    </w:p>
    <w:p>
      <w:pPr>
        <w:numPr>
          <w:ilvl w:val="0"/>
          <w:numId w:val="1006"/>
        </w:numPr>
        <w:pStyle w:val="Compact"/>
      </w:pPr>
      <w:r>
        <w:t xml:space="preserve">Implement dimension and fact tables in Delta Lake with surrogate keys, referential integrity, and SCD Type 1/2 where appropriate</w:t>
      </w:r>
    </w:p>
    <w:p>
      <w:pPr>
        <w:numPr>
          <w:ilvl w:val="0"/>
          <w:numId w:val="1006"/>
        </w:numPr>
        <w:pStyle w:val="Compact"/>
      </w:pPr>
      <w:r>
        <w:t xml:space="preserve">Validate business rules and perform reconciliation against Silver layer sources and AX 2012 legacy reports</w:t>
      </w:r>
    </w:p>
    <w:bookmarkEnd w:id="45"/>
    <w:bookmarkStart w:id="46" w:name="where-the-accelerators-apply-2"/>
    <w:p>
      <w:pPr>
        <w:pStyle w:val="Heading2"/>
      </w:pPr>
      <w:r>
        <w:t xml:space="preserve">7.2 Where the Accelerators Apply</w:t>
      </w:r>
    </w:p>
    <w:p>
      <w:pPr>
        <w:pStyle w:val="FirstParagraph"/>
      </w:pPr>
      <w:r>
        <w:rPr>
          <w:bCs/>
          <w:b/>
        </w:rPr>
        <w:t xml:space="preserve">FastTrack:</w:t>
      </w:r>
      <w:r>
        <w:t xml:space="preserve"> </w:t>
      </w:r>
      <w:r>
        <w:t xml:space="preserve">F&amp;O CDM metadata encodes entity relationships and primary/foreign keys. Financial dimensions framework knowledge (up to ~50 dimensions,</w:t>
      </w:r>
      <w:r>
        <w:t xml:space="preserve"> </w:t>
      </w:r>
      <w:r>
        <w:rPr>
          <w:rStyle w:val="VerbatimChar"/>
        </w:rPr>
        <w:t xml:space="preserve">DimensionAttributeValueSet</w:t>
      </w:r>
      <w:r>
        <w:t xml:space="preserve"> </w:t>
      </w:r>
      <w:r>
        <w:t xml:space="preserve">structure). Entity Store aggregate measurement patterns (LedgerActivityMeasure, BudgetActivityMeasure) provide reference patterns for Finance/GL dimensional models.</w:t>
      </w:r>
    </w:p>
    <w:p>
      <w:pPr>
        <w:pStyle w:val="BodyText"/>
      </w:pPr>
      <w:r>
        <w:rPr>
          <w:bCs/>
          <w:b/>
        </w:rPr>
        <w:t xml:space="preserve">AI:</w:t>
      </w:r>
      <w:r>
        <w:t xml:space="preserve"> </w:t>
      </w:r>
      <w:r>
        <w:t xml:space="preserve">Dim/fact DDL generation, ELT pipeline scaffolding, surrogate key logic, SCD merge scripts, referential integrity checks, unit test stubs, documentation.</w:t>
      </w:r>
    </w:p>
    <w:p>
      <w:pPr>
        <w:pStyle w:val="BodyText"/>
      </w:pPr>
      <w:r>
        <w:rPr>
          <w:bCs/>
          <w:b/>
        </w:rPr>
        <w:t xml:space="preserve">D365 Connector:</w:t>
      </w:r>
      <w:r>
        <w:t xml:space="preserve"> </w:t>
      </w:r>
      <w:r>
        <w:t xml:space="preserve">Marginal — cleaner Bronze/Silver output means less investigation of raw table structure by modellers.</w:t>
      </w:r>
    </w:p>
    <w:bookmarkEnd w:id="46"/>
    <w:bookmarkStart w:id="47" w:name="effort-breakdown-1"/>
    <w:p>
      <w:pPr>
        <w:pStyle w:val="Heading2"/>
      </w:pPr>
      <w:r>
        <w:t xml:space="preserve">7.3 Effort Breakdown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Activity</w:t>
            </w:r>
          </w:p>
        </w:tc>
        <w:tc>
          <w:tcPr/>
          <w:p>
            <w:pPr>
              <w:pStyle w:val="Compact"/>
              <w:jc w:val="left"/>
            </w:pPr>
            <w:r>
              <w:t xml:space="preserve">Unit count</w:t>
            </w:r>
          </w:p>
        </w:tc>
        <w:tc>
          <w:tcPr/>
          <w:p>
            <w:pPr>
              <w:pStyle w:val="Compact"/>
              <w:jc w:val="left"/>
            </w:pPr>
            <w:r>
              <w:t xml:space="preserve">Hrs / unit</w:t>
            </w:r>
          </w:p>
        </w:tc>
        <w:tc>
          <w:tcPr/>
          <w:p>
            <w:pPr>
              <w:pStyle w:val="Compact"/>
              <w:jc w:val="left"/>
            </w:pPr>
            <w:r>
              <w:t xml:space="preserve">Total hrs</w:t>
            </w:r>
          </w:p>
        </w:tc>
      </w:tr>
      <w:tr>
        <w:tc>
          <w:tcPr/>
          <w:p>
            <w:pPr>
              <w:pStyle w:val="Compact"/>
              <w:jc w:val="left"/>
            </w:pPr>
            <w:r>
              <w:t xml:space="preserve">Enterprise dimensional model design: bus matrix, domain workshops, conformed dimensions, grain definitions</w:t>
            </w:r>
          </w:p>
        </w:tc>
        <w:tc>
          <w:tcPr/>
          <w:p>
            <w:pPr>
              <w:pStyle w:val="Compact"/>
              <w:jc w:val="left"/>
            </w:pPr>
            <w:r>
              <w:t xml:space="preserve">~10 domains</w:t>
            </w:r>
          </w:p>
        </w:tc>
        <w:tc>
          <w:tcPr/>
          <w:p>
            <w:pPr>
              <w:pStyle w:val="Compact"/>
              <w:jc w:val="left"/>
            </w:pPr>
            <w:r>
              <w:t xml:space="preserve">65–70</w:t>
            </w:r>
          </w:p>
        </w:tc>
        <w:tc>
          <w:tcPr/>
          <w:p>
            <w:pPr>
              <w:pStyle w:val="Compact"/>
              <w:jc w:val="left"/>
            </w:pPr>
            <w:r>
              <w:t xml:space="preserve">650–700</w:t>
            </w:r>
          </w:p>
        </w:tc>
      </w:tr>
      <w:tr>
        <w:tc>
          <w:tcPr/>
          <w:p>
            <w:pPr>
              <w:pStyle w:val="Compact"/>
              <w:jc w:val="left"/>
            </w:pPr>
            <w:r>
              <w:t xml:space="preserve">Dimension table implementation (AI-generated scaffolding)</w:t>
            </w:r>
          </w:p>
        </w:tc>
        <w:tc>
          <w:tcPr/>
          <w:p>
            <w:pPr>
              <w:pStyle w:val="Compact"/>
              <w:jc w:val="left"/>
            </w:pPr>
            <w:r>
              <w:t xml:space="preserve">50 dims</w:t>
            </w:r>
          </w:p>
        </w:tc>
        <w:tc>
          <w:tcPr/>
          <w:p>
            <w:pPr>
              <w:pStyle w:val="Compact"/>
              <w:jc w:val="left"/>
            </w:pPr>
            <w:r>
              <w:t xml:space="preserve">11–12</w:t>
            </w:r>
          </w:p>
        </w:tc>
        <w:tc>
          <w:tcPr/>
          <w:p>
            <w:pPr>
              <w:pStyle w:val="Compact"/>
              <w:jc w:val="left"/>
            </w:pPr>
            <w:r>
              <w:t xml:space="preserve">550–600</w:t>
            </w:r>
          </w:p>
        </w:tc>
      </w:tr>
      <w:tr>
        <w:tc>
          <w:tcPr/>
          <w:p>
            <w:pPr>
              <w:pStyle w:val="Compact"/>
              <w:jc w:val="left"/>
            </w:pPr>
            <w:r>
              <w:t xml:space="preserve">Fact table implementation (AI-generated scaffolding, senior review)</w:t>
            </w:r>
          </w:p>
        </w:tc>
        <w:tc>
          <w:tcPr/>
          <w:p>
            <w:pPr>
              <w:pStyle w:val="Compact"/>
              <w:jc w:val="left"/>
            </w:pPr>
            <w:r>
              <w:t xml:space="preserve">30 facts</w:t>
            </w:r>
          </w:p>
        </w:tc>
        <w:tc>
          <w:tcPr/>
          <w:p>
            <w:pPr>
              <w:pStyle w:val="Compact"/>
              <w:jc w:val="left"/>
            </w:pPr>
            <w:r>
              <w:t xml:space="preserve">20–22</w:t>
            </w:r>
          </w:p>
        </w:tc>
        <w:tc>
          <w:tcPr/>
          <w:p>
            <w:pPr>
              <w:pStyle w:val="Compact"/>
              <w:jc w:val="left"/>
            </w:pPr>
            <w:r>
              <w:t xml:space="preserve">600–650</w:t>
            </w:r>
          </w:p>
        </w:tc>
      </w:tr>
      <w:tr>
        <w:tc>
          <w:tcPr/>
          <w:p>
            <w:pPr>
              <w:pStyle w:val="Compact"/>
              <w:jc w:val="left"/>
            </w:pPr>
            <w:r>
              <w:t xml:space="preserve">Cross-cutting: surrogate key framework, referential integrity checks, late-arriving dimensions</w:t>
            </w:r>
          </w:p>
        </w:tc>
        <w:tc>
          <w:tcPr/>
          <w:p>
            <w:pPr>
              <w:pStyle w:val="Compact"/>
              <w:jc w:val="left"/>
            </w:pPr>
            <w:r>
              <w:t xml:space="preserve">1 framework</w:t>
            </w:r>
          </w:p>
        </w:tc>
        <w:tc>
          <w:tcPr/>
          <w:p>
            <w:pPr>
              <w:pStyle w:val="Compact"/>
              <w:jc w:val="left"/>
            </w:pPr>
            <w:r>
              <w:t xml:space="preserve">—</w:t>
            </w:r>
          </w:p>
        </w:tc>
        <w:tc>
          <w:tcPr/>
          <w:p>
            <w:pPr>
              <w:pStyle w:val="Compact"/>
              <w:jc w:val="left"/>
            </w:pPr>
            <w:r>
              <w:t xml:space="preserve">280</w:t>
            </w:r>
          </w:p>
        </w:tc>
      </w:tr>
      <w:tr>
        <w:tc>
          <w:tcPr/>
          <w:p>
            <w:pPr>
              <w:pStyle w:val="Compact"/>
              <w:jc w:val="left"/>
            </w:pPr>
            <w:r>
              <w:t xml:space="preserve">Validation &amp; reconciliation across all Gold tables</w:t>
            </w:r>
          </w:p>
        </w:tc>
        <w:tc>
          <w:tcPr/>
          <w:p>
            <w:pPr>
              <w:pStyle w:val="Compact"/>
              <w:jc w:val="left"/>
            </w:pPr>
            <w:r>
              <w:t xml:space="preserve">80 tables</w:t>
            </w:r>
          </w:p>
        </w:tc>
        <w:tc>
          <w:tcPr/>
          <w:p>
            <w:pPr>
              <w:pStyle w:val="Compact"/>
              <w:jc w:val="left"/>
            </w:pPr>
            <w:r>
              <w:t xml:space="preserve">~4</w:t>
            </w:r>
          </w:p>
        </w:tc>
        <w:tc>
          <w:tcPr/>
          <w:p>
            <w:pPr>
              <w:pStyle w:val="Compact"/>
              <w:jc w:val="left"/>
            </w:pPr>
            <w:r>
              <w:t xml:space="preserve">300</w:t>
            </w:r>
          </w:p>
        </w:tc>
      </w:tr>
      <w:tr>
        <w:tc>
          <w:tcPr/>
          <w:p>
            <w:pPr>
              <w:pStyle w:val="Compact"/>
              <w:jc w:val="left"/>
            </w:pPr>
            <w:r>
              <w:t xml:space="preserve">Documentation and lineage capture in Unity Catalog (AI-generated)</w:t>
            </w:r>
          </w:p>
        </w:tc>
        <w:tc>
          <w:tcPr/>
          <w:p>
            <w:pPr>
              <w:pStyle w:val="Compact"/>
              <w:jc w:val="left"/>
            </w:pPr>
            <w:r>
              <w:t xml:space="preserve">—</w:t>
            </w:r>
          </w:p>
        </w:tc>
        <w:tc>
          <w:tcPr/>
          <w:p>
            <w:pPr>
              <w:pStyle w:val="Compact"/>
              <w:jc w:val="left"/>
            </w:pPr>
            <w:r>
              <w:t xml:space="preserve">—</w:t>
            </w:r>
          </w:p>
        </w:tc>
        <w:tc>
          <w:tcPr/>
          <w:p>
            <w:pPr>
              <w:pStyle w:val="Compact"/>
              <w:jc w:val="left"/>
            </w:pPr>
            <w:r>
              <w:t xml:space="preserve">70</w:t>
            </w:r>
          </w:p>
        </w:tc>
      </w:tr>
      <w:tr>
        <w:tc>
          <w:tcPr/>
          <w:p>
            <w:pPr>
              <w:pStyle w:val="Compact"/>
              <w:jc w:val="left"/>
            </w:pPr>
            <w:r>
              <w:rPr>
                <w:bCs/>
                <w:b/>
              </w:rPr>
              <w:t xml:space="preserve">Phase 3 Total</w:t>
            </w:r>
          </w:p>
        </w:tc>
        <w:tc>
          <w:tcPr/>
          <w:p>
            <w:pPr>
              <w:pStyle w:val="Compact"/>
            </w:pPr>
          </w:p>
        </w:tc>
        <w:tc>
          <w:tcPr/>
          <w:p>
            <w:pPr>
              <w:pStyle w:val="Compact"/>
            </w:pPr>
          </w:p>
        </w:tc>
        <w:tc>
          <w:tcPr/>
          <w:p>
            <w:pPr>
              <w:pStyle w:val="Compact"/>
              <w:jc w:val="left"/>
            </w:pPr>
            <w:r>
              <w:rPr>
                <w:bCs/>
                <w:b/>
              </w:rPr>
              <w:t xml:space="preserve">2,450–2,600</w:t>
            </w:r>
          </w:p>
        </w:tc>
      </w:tr>
    </w:tbl>
    <w:p>
      <w:pPr>
        <w:pStyle w:val="BodyText"/>
      </w:pPr>
      <w:r>
        <w:rPr>
          <w:bCs/>
          <w:b/>
        </w:rPr>
        <w:t xml:space="preserve">Person-days:</w:t>
      </w:r>
      <w:r>
        <w:t xml:space="preserve"> </w:t>
      </w:r>
      <w:r>
        <w:t xml:space="preserve">350–371 ·</w:t>
      </w:r>
      <w:r>
        <w:t xml:space="preserve"> </w:t>
      </w:r>
      <w:r>
        <w:rPr>
          <w:bCs/>
          <w:b/>
        </w:rPr>
        <w:t xml:space="preserve">Person-months:</w:t>
      </w:r>
      <w:r>
        <w:t xml:space="preserve"> </w:t>
      </w:r>
      <w:r>
        <w:t xml:space="preserve">16–17 ·</w:t>
      </w:r>
      <w:r>
        <w:t xml:space="preserve"> </w:t>
      </w:r>
      <w:r>
        <w:rPr>
          <w:bCs/>
          <w:b/>
        </w:rPr>
        <w:t xml:space="preserve">Effort reduction vs baseline: 30–34%</w:t>
      </w:r>
    </w:p>
    <w:p>
      <w:r>
        <w:pict>
          <v:rect style="width:0;height:1.5pt" o:hralign="center" o:hrstd="t" o:hr="t"/>
        </w:pict>
      </w:r>
    </w:p>
    <w:bookmarkEnd w:id="47"/>
    <w:bookmarkEnd w:id="48"/>
    <w:bookmarkStart w:id="52" w:name="phase-4-one-big-table-obt"/>
    <w:p>
      <w:pPr>
        <w:pStyle w:val="Heading1"/>
      </w:pPr>
      <w:r>
        <w:t xml:space="preserve">8. Phase 4 — One Big Table (OBT)</w:t>
      </w:r>
    </w:p>
    <w:bookmarkStart w:id="49" w:name="scope-3"/>
    <w:p>
      <w:pPr>
        <w:pStyle w:val="Heading2"/>
      </w:pPr>
      <w:r>
        <w:t xml:space="preserve">8.1 Scope</w:t>
      </w:r>
    </w:p>
    <w:p>
      <w:pPr>
        <w:numPr>
          <w:ilvl w:val="0"/>
          <w:numId w:val="1007"/>
        </w:numPr>
        <w:pStyle w:val="Compact"/>
      </w:pPr>
      <w:r>
        <w:t xml:space="preserve">Design analytically-oriented denormalized wide tables per business domain, driven by insight consumption patterns</w:t>
      </w:r>
    </w:p>
    <w:p>
      <w:pPr>
        <w:numPr>
          <w:ilvl w:val="0"/>
          <w:numId w:val="1007"/>
        </w:numPr>
        <w:pStyle w:val="Compact"/>
      </w:pPr>
      <w:r>
        <w:t xml:space="preserve">Build OBTs using the Dimensional Model as source, with joined dimension attributes and pre-computed measures</w:t>
      </w:r>
    </w:p>
    <w:p>
      <w:pPr>
        <w:numPr>
          <w:ilvl w:val="0"/>
          <w:numId w:val="1007"/>
        </w:numPr>
        <w:pStyle w:val="Compact"/>
      </w:pPr>
      <w:r>
        <w:t xml:space="preserve">Apply Databricks-specific optimization: liquid clustering, Photon-optimized layouts, incremental MERGE refresh, and Delta caching</w:t>
      </w:r>
    </w:p>
    <w:p>
      <w:pPr>
        <w:numPr>
          <w:ilvl w:val="0"/>
          <w:numId w:val="1007"/>
        </w:numPr>
        <w:pStyle w:val="Compact"/>
      </w:pPr>
      <w:r>
        <w:t xml:space="preserve">Validate business rules and data consistency against the underlying dimensional model</w:t>
      </w:r>
    </w:p>
    <w:bookmarkEnd w:id="49"/>
    <w:bookmarkStart w:id="50" w:name="where-the-accelerators-apply-3"/>
    <w:p>
      <w:pPr>
        <w:pStyle w:val="Heading2"/>
      </w:pPr>
      <w:r>
        <w:t xml:space="preserve">8.2 Where the Accelerators Apply</w:t>
      </w:r>
    </w:p>
    <w:p>
      <w:pPr>
        <w:pStyle w:val="FirstParagraph"/>
      </w:pPr>
      <w:r>
        <w:rPr>
          <w:bCs/>
          <w:b/>
        </w:rPr>
        <w:t xml:space="preserve">AI:</w:t>
      </w:r>
      <w:r>
        <w:t xml:space="preserve"> </w:t>
      </w:r>
      <w:r>
        <w:t xml:space="preserve">OBT column suggestion from questionnaire pattern analysis, join scaffolding, incremental MERGE generation, Databricks Workflow orchestration, liquid clustering key suggestion, reconciliation SQL templates, documentation.</w:t>
      </w:r>
    </w:p>
    <w:p>
      <w:pPr>
        <w:pStyle w:val="BodyText"/>
      </w:pPr>
      <w:r>
        <w:rPr>
          <w:bCs/>
          <w:b/>
        </w:rPr>
        <w:t xml:space="preserve">FastTrack and D365 Connector:</w:t>
      </w:r>
      <w:r>
        <w:t xml:space="preserve"> </w:t>
      </w:r>
      <w:r>
        <w:t xml:space="preserve">Marginal — indirect benefit through cleaner dimensional model in Phase 3.</w:t>
      </w:r>
    </w:p>
    <w:bookmarkEnd w:id="50"/>
    <w:bookmarkStart w:id="51" w:name="effort-breakdown-2"/>
    <w:p>
      <w:pPr>
        <w:pStyle w:val="Heading2"/>
      </w:pPr>
      <w:r>
        <w:t xml:space="preserve">8.3 Effort Breakdown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Activity</w:t>
            </w:r>
          </w:p>
        </w:tc>
        <w:tc>
          <w:tcPr/>
          <w:p>
            <w:pPr>
              <w:pStyle w:val="Compact"/>
              <w:jc w:val="left"/>
            </w:pPr>
            <w:r>
              <w:t xml:space="preserve">Unit count</w:t>
            </w:r>
          </w:p>
        </w:tc>
        <w:tc>
          <w:tcPr/>
          <w:p>
            <w:pPr>
              <w:pStyle w:val="Compact"/>
              <w:jc w:val="left"/>
            </w:pPr>
            <w:r>
              <w:t xml:space="preserve">Hrs / unit</w:t>
            </w:r>
          </w:p>
        </w:tc>
        <w:tc>
          <w:tcPr/>
          <w:p>
            <w:pPr>
              <w:pStyle w:val="Compact"/>
              <w:jc w:val="left"/>
            </w:pPr>
            <w:r>
              <w:t xml:space="preserve">Total hrs</w:t>
            </w:r>
          </w:p>
        </w:tc>
      </w:tr>
      <w:tr>
        <w:tc>
          <w:tcPr/>
          <w:p>
            <w:pPr>
              <w:pStyle w:val="Compact"/>
              <w:jc w:val="left"/>
            </w:pPr>
            <w:r>
              <w:t xml:space="preserve">OBT design: identify required OBTs, define grain, dimensions/facts to include, calculated columns</w:t>
            </w:r>
          </w:p>
        </w:tc>
        <w:tc>
          <w:tcPr/>
          <w:p>
            <w:pPr>
              <w:pStyle w:val="Compact"/>
              <w:jc w:val="left"/>
            </w:pPr>
            <w:r>
              <w:t xml:space="preserve">30 OBTs</w:t>
            </w:r>
          </w:p>
        </w:tc>
        <w:tc>
          <w:tcPr/>
          <w:p>
            <w:pPr>
              <w:pStyle w:val="Compact"/>
              <w:jc w:val="left"/>
            </w:pPr>
            <w:r>
              <w:t xml:space="preserve">~7</w:t>
            </w:r>
          </w:p>
        </w:tc>
        <w:tc>
          <w:tcPr/>
          <w:p>
            <w:pPr>
              <w:pStyle w:val="Compact"/>
              <w:jc w:val="left"/>
            </w:pPr>
            <w:r>
              <w:t xml:space="preserve">220</w:t>
            </w:r>
          </w:p>
        </w:tc>
      </w:tr>
      <w:tr>
        <w:tc>
          <w:tcPr/>
          <w:p>
            <w:pPr>
              <w:pStyle w:val="Compact"/>
              <w:jc w:val="left"/>
            </w:pPr>
            <w:r>
              <w:t xml:space="preserve">OBT implementation: join logic, denormalization, pre-aggregation, incremental refresh, orchestration (AI-scaffolded)</w:t>
            </w:r>
          </w:p>
        </w:tc>
        <w:tc>
          <w:tcPr/>
          <w:p>
            <w:pPr>
              <w:pStyle w:val="Compact"/>
              <w:jc w:val="left"/>
            </w:pPr>
            <w:r>
              <w:t xml:space="preserve">30 OBTs</w:t>
            </w:r>
          </w:p>
        </w:tc>
        <w:tc>
          <w:tcPr/>
          <w:p>
            <w:pPr>
              <w:pStyle w:val="Compact"/>
              <w:jc w:val="left"/>
            </w:pPr>
            <w:r>
              <w:t xml:space="preserve">18</w:t>
            </w:r>
          </w:p>
        </w:tc>
        <w:tc>
          <w:tcPr/>
          <w:p>
            <w:pPr>
              <w:pStyle w:val="Compact"/>
              <w:jc w:val="left"/>
            </w:pPr>
            <w:r>
              <w:t xml:space="preserve">540</w:t>
            </w:r>
          </w:p>
        </w:tc>
      </w:tr>
      <w:tr>
        <w:tc>
          <w:tcPr/>
          <w:p>
            <w:pPr>
              <w:pStyle w:val="Compact"/>
              <w:jc w:val="left"/>
            </w:pPr>
            <w:r>
              <w:t xml:space="preserve">Performance optimization: partitioning, liquid clustering, Photon, caching, query profiling</w:t>
            </w:r>
          </w:p>
        </w:tc>
        <w:tc>
          <w:tcPr/>
          <w:p>
            <w:pPr>
              <w:pStyle w:val="Compact"/>
              <w:jc w:val="left"/>
            </w:pPr>
            <w:r>
              <w:t xml:space="preserve">30 OBTs</w:t>
            </w:r>
          </w:p>
        </w:tc>
        <w:tc>
          <w:tcPr/>
          <w:p>
            <w:pPr>
              <w:pStyle w:val="Compact"/>
              <w:jc w:val="left"/>
            </w:pPr>
            <w:r>
              <w:t xml:space="preserve">~4</w:t>
            </w:r>
          </w:p>
        </w:tc>
        <w:tc>
          <w:tcPr/>
          <w:p>
            <w:pPr>
              <w:pStyle w:val="Compact"/>
              <w:jc w:val="left"/>
            </w:pPr>
            <w:r>
              <w:t xml:space="preserve">130</w:t>
            </w:r>
          </w:p>
        </w:tc>
      </w:tr>
      <w:tr>
        <w:tc>
          <w:tcPr/>
          <w:p>
            <w:pPr>
              <w:pStyle w:val="Compact"/>
              <w:jc w:val="left"/>
            </w:pPr>
            <w:r>
              <w:t xml:space="preserve">Validation: business rule verification, completeness, reconciliation to Dimensional Model</w:t>
            </w:r>
          </w:p>
        </w:tc>
        <w:tc>
          <w:tcPr/>
          <w:p>
            <w:pPr>
              <w:pStyle w:val="Compact"/>
              <w:jc w:val="left"/>
            </w:pPr>
            <w:r>
              <w:t xml:space="preserve">30 OBTs</w:t>
            </w:r>
          </w:p>
        </w:tc>
        <w:tc>
          <w:tcPr/>
          <w:p>
            <w:pPr>
              <w:pStyle w:val="Compact"/>
              <w:jc w:val="left"/>
            </w:pPr>
            <w:r>
              <w:t xml:space="preserve">6</w:t>
            </w:r>
          </w:p>
        </w:tc>
        <w:tc>
          <w:tcPr/>
          <w:p>
            <w:pPr>
              <w:pStyle w:val="Compact"/>
              <w:jc w:val="left"/>
            </w:pPr>
            <w:r>
              <w:t xml:space="preserve">180</w:t>
            </w:r>
          </w:p>
        </w:tc>
      </w:tr>
      <w:tr>
        <w:tc>
          <w:tcPr/>
          <w:p>
            <w:pPr>
              <w:pStyle w:val="Compact"/>
              <w:jc w:val="left"/>
            </w:pPr>
            <w:r>
              <w:t xml:space="preserve">Documentation and Unity Catalog metadata (AI-generated)</w:t>
            </w:r>
          </w:p>
        </w:tc>
        <w:tc>
          <w:tcPr/>
          <w:p>
            <w:pPr>
              <w:pStyle w:val="Compact"/>
              <w:jc w:val="left"/>
            </w:pPr>
            <w:r>
              <w:t xml:space="preserve">—</w:t>
            </w:r>
          </w:p>
        </w:tc>
        <w:tc>
          <w:tcPr/>
          <w:p>
            <w:pPr>
              <w:pStyle w:val="Compact"/>
              <w:jc w:val="left"/>
            </w:pPr>
            <w:r>
              <w:t xml:space="preserve">—</w:t>
            </w:r>
          </w:p>
        </w:tc>
        <w:tc>
          <w:tcPr/>
          <w:p>
            <w:pPr>
              <w:pStyle w:val="Compact"/>
              <w:jc w:val="left"/>
            </w:pPr>
            <w:r>
              <w:t xml:space="preserve">50</w:t>
            </w:r>
          </w:p>
        </w:tc>
      </w:tr>
      <w:tr>
        <w:tc>
          <w:tcPr/>
          <w:p>
            <w:pPr>
              <w:pStyle w:val="Compact"/>
              <w:jc w:val="left"/>
            </w:pPr>
            <w:r>
              <w:rPr>
                <w:bCs/>
                <w:b/>
              </w:rPr>
              <w:t xml:space="preserve">Phase 4 Total</w:t>
            </w:r>
          </w:p>
        </w:tc>
        <w:tc>
          <w:tcPr/>
          <w:p>
            <w:pPr>
              <w:pStyle w:val="Compact"/>
            </w:pPr>
          </w:p>
        </w:tc>
        <w:tc>
          <w:tcPr/>
          <w:p>
            <w:pPr>
              <w:pStyle w:val="Compact"/>
            </w:pPr>
          </w:p>
        </w:tc>
        <w:tc>
          <w:tcPr/>
          <w:p>
            <w:pPr>
              <w:pStyle w:val="Compact"/>
              <w:jc w:val="left"/>
            </w:pPr>
            <w:r>
              <w:rPr>
                <w:bCs/>
                <w:b/>
              </w:rPr>
              <w:t xml:space="preserve">1,120</w:t>
            </w:r>
          </w:p>
        </w:tc>
      </w:tr>
    </w:tbl>
    <w:p>
      <w:pPr>
        <w:pStyle w:val="BodyText"/>
      </w:pPr>
      <w:r>
        <w:rPr>
          <w:bCs/>
          <w:b/>
        </w:rPr>
        <w:t xml:space="preserve">Person-days:</w:t>
      </w:r>
      <w:r>
        <w:t xml:space="preserve"> </w:t>
      </w:r>
      <w:r>
        <w:t xml:space="preserve">160 ·</w:t>
      </w:r>
      <w:r>
        <w:t xml:space="preserve"> </w:t>
      </w:r>
      <w:r>
        <w:rPr>
          <w:bCs/>
          <w:b/>
        </w:rPr>
        <w:t xml:space="preserve">Person-months:</w:t>
      </w:r>
      <w:r>
        <w:t xml:space="preserve"> </w:t>
      </w:r>
      <w:r>
        <w:t xml:space="preserve">7 ·</w:t>
      </w:r>
      <w:r>
        <w:t xml:space="preserve"> </w:t>
      </w:r>
      <w:r>
        <w:rPr>
          <w:bCs/>
          <w:b/>
        </w:rPr>
        <w:t xml:space="preserve">Effort reduction vs baseline: 35%</w:t>
      </w:r>
    </w:p>
    <w:p>
      <w:pPr>
        <w:pStyle w:val="BodyText"/>
      </w:pPr>
      <w:r>
        <w:rPr>
          <w:bCs/>
          <w:b/>
        </w:rPr>
        <w:t xml:space="preserve">Critical constraint:</w:t>
      </w:r>
      <w:r>
        <w:t xml:space="preserve"> </w:t>
      </w:r>
      <w:r>
        <w:t xml:space="preserve">Phase 4 has the highest downstream consequence per hour of any phase. An OBT error propagates to hundreds of Phase 5 insights simultaneously. Senior review is retained despite AI leverage.</w:t>
      </w:r>
    </w:p>
    <w:p>
      <w:r>
        <w:pict>
          <v:rect style="width:0;height:1.5pt" o:hralign="center" o:hrstd="t" o:hr="t"/>
        </w:pict>
      </w:r>
    </w:p>
    <w:bookmarkEnd w:id="51"/>
    <w:bookmarkEnd w:id="52"/>
    <w:bookmarkStart w:id="57" w:name="phase-5-business-insight-implementation"/>
    <w:p>
      <w:pPr>
        <w:pStyle w:val="Heading1"/>
      </w:pPr>
      <w:r>
        <w:t xml:space="preserve">9. Phase 5 — Business Insight Implementation</w:t>
      </w:r>
    </w:p>
    <w:bookmarkStart w:id="53" w:name="scope-4"/>
    <w:p>
      <w:pPr>
        <w:pStyle w:val="Heading2"/>
      </w:pPr>
      <w:r>
        <w:t xml:space="preserve">9.1 Scope</w:t>
      </w:r>
    </w:p>
    <w:p>
      <w:pPr>
        <w:numPr>
          <w:ilvl w:val="0"/>
          <w:numId w:val="1008"/>
        </w:numPr>
        <w:pStyle w:val="Compact"/>
      </w:pPr>
      <w:r>
        <w:t xml:space="preserve">Implement ~12,000 business insights against the OBT layer, driven by the approved questionnaire responses</w:t>
      </w:r>
    </w:p>
    <w:p>
      <w:pPr>
        <w:numPr>
          <w:ilvl w:val="0"/>
          <w:numId w:val="1008"/>
        </w:numPr>
        <w:pStyle w:val="Compact"/>
      </w:pPr>
      <w:r>
        <w:t xml:space="preserve">Develop reusable calculation patterns, transformation templates, and testing scaffolding before scaling the team</w:t>
      </w:r>
    </w:p>
    <w:p>
      <w:pPr>
        <w:numPr>
          <w:ilvl w:val="0"/>
          <w:numId w:val="1008"/>
        </w:numPr>
        <w:pStyle w:val="Compact"/>
      </w:pPr>
      <w:r>
        <w:t xml:space="preserve">Validate every implemented insight against its documented requirement</w:t>
      </w:r>
    </w:p>
    <w:p>
      <w:pPr>
        <w:numPr>
          <w:ilvl w:val="0"/>
          <w:numId w:val="1008"/>
        </w:numPr>
        <w:pStyle w:val="Compact"/>
      </w:pPr>
      <w:r>
        <w:t xml:space="preserve">Support UAT with business users; log, prioritize, and resolve UAT feedback</w:t>
      </w:r>
    </w:p>
    <w:bookmarkEnd w:id="53"/>
    <w:bookmarkStart w:id="54" w:name="where-the-accelerators-apply-4"/>
    <w:p>
      <w:pPr>
        <w:pStyle w:val="Heading2"/>
      </w:pPr>
      <w:r>
        <w:t xml:space="preserve">9.2 Where the Accelerators Apply</w:t>
      </w:r>
    </w:p>
    <w:p>
      <w:pPr>
        <w:pStyle w:val="FirstParagraph"/>
      </w:pPr>
      <w:r>
        <w:rPr>
          <w:bCs/>
          <w:b/>
        </w:rPr>
        <w:t xml:space="preserve">AI (dominant contribution):</w:t>
      </w:r>
      <w:r>
        <w:t xml:space="preserve"> </w:t>
      </w:r>
      <w:r>
        <w:t xml:space="preserve">- Simple insights (40% of 12,000): near-deterministic questionnaire → SQL mapping; engineer reviews and validates. Throughput 10–15 insights/engineer/day.</w:t>
      </w:r>
      <w:r>
        <w:t xml:space="preserve"> </w:t>
      </w:r>
      <w:r>
        <w:t xml:space="preserve">- Medium insights (40%): AI generates base structure and standard date logic templates; engineer adjusts. Throughput 5–7/day.</w:t>
      </w:r>
      <w:r>
        <w:t xml:space="preserve"> </w:t>
      </w:r>
      <w:r>
        <w:t xml:space="preserve">- Complex insights (20%): AI generates boilerplate; senior engineer leads. Throughput 2–3/day.</w:t>
      </w:r>
      <w:r>
        <w:t xml:space="preserve"> </w:t>
      </w:r>
      <w:r>
        <w:t xml:space="preserve">- Auto-generated unit tests from questionnaire expected behaviour</w:t>
      </w:r>
      <w:r>
        <w:t xml:space="preserve"> </w:t>
      </w:r>
      <w:r>
        <w:t xml:space="preserve">- Auto-generated traceability documentation</w:t>
      </w:r>
    </w:p>
    <w:p>
      <w:pPr>
        <w:pStyle w:val="BodyText"/>
      </w:pPr>
      <w:r>
        <w:rPr>
          <w:bCs/>
          <w:b/>
        </w:rPr>
        <w:t xml:space="preserve">FastTrack:</w:t>
      </w:r>
      <w:r>
        <w:t xml:space="preserve"> </w:t>
      </w:r>
      <w:r>
        <w:t xml:space="preserve">Marginal — where dimensional model was FastTrack-informed, insight code hits cleanly-structured OBTs.</w:t>
      </w:r>
    </w:p>
    <w:p>
      <w:pPr>
        <w:pStyle w:val="BodyText"/>
      </w:pPr>
      <w:r>
        <w:rPr>
          <w:bCs/>
          <w:b/>
        </w:rPr>
        <w:t xml:space="preserve">D365 Connector:</w:t>
      </w:r>
      <w:r>
        <w:t xml:space="preserve"> </w:t>
      </w:r>
      <w:r>
        <w:t xml:space="preserve">No direct contribution at insight layer.</w:t>
      </w:r>
    </w:p>
    <w:bookmarkEnd w:id="54"/>
    <w:bookmarkStart w:id="55" w:name="complexity-distribution-and-effort"/>
    <w:p>
      <w:pPr>
        <w:pStyle w:val="Heading2"/>
      </w:pPr>
      <w:r>
        <w:t xml:space="preserve">9.3 Complexity Distribution and Effort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Complexity</w:t>
            </w:r>
          </w:p>
        </w:tc>
        <w:tc>
          <w:tcPr/>
          <w:p>
            <w:pPr>
              <w:pStyle w:val="Compact"/>
              <w:jc w:val="left"/>
            </w:pPr>
            <w:r>
              <w:t xml:space="preserve">Share</w:t>
            </w:r>
          </w:p>
        </w:tc>
        <w:tc>
          <w:tcPr/>
          <w:p>
            <w:pPr>
              <w:pStyle w:val="Compact"/>
              <w:jc w:val="left"/>
            </w:pPr>
            <w:r>
              <w:t xml:space="preserve">Count</w:t>
            </w:r>
          </w:p>
        </w:tc>
        <w:tc>
          <w:tcPr/>
          <w:p>
            <w:pPr>
              <w:pStyle w:val="Compact"/>
              <w:jc w:val="left"/>
            </w:pPr>
            <w:r>
              <w:t xml:space="preserve">Baseline hrs</w:t>
            </w:r>
          </w:p>
        </w:tc>
        <w:tc>
          <w:tcPr/>
          <w:p>
            <w:pPr>
              <w:pStyle w:val="Compact"/>
              <w:jc w:val="left"/>
            </w:pPr>
            <w:r>
              <w:t xml:space="preserve">With AI</w:t>
            </w:r>
          </w:p>
        </w:tc>
      </w:tr>
      <w:tr>
        <w:tc>
          <w:tcPr/>
          <w:p>
            <w:pPr>
              <w:pStyle w:val="Compact"/>
              <w:jc w:val="left"/>
            </w:pPr>
            <w:r>
              <w:t xml:space="preserve">Simple: single aggregation, basic filter, standard KPI</w:t>
            </w:r>
          </w:p>
        </w:tc>
        <w:tc>
          <w:tcPr/>
          <w:p>
            <w:pPr>
              <w:pStyle w:val="Compact"/>
              <w:jc w:val="left"/>
            </w:pPr>
            <w:r>
              <w:t xml:space="preserve">40%</w:t>
            </w:r>
          </w:p>
        </w:tc>
        <w:tc>
          <w:tcPr/>
          <w:p>
            <w:pPr>
              <w:pStyle w:val="Compact"/>
              <w:jc w:val="left"/>
            </w:pPr>
            <w:r>
              <w:t xml:space="preserve">4,800</w:t>
            </w:r>
          </w:p>
        </w:tc>
        <w:tc>
          <w:tcPr/>
          <w:p>
            <w:pPr>
              <w:pStyle w:val="Compact"/>
              <w:jc w:val="left"/>
            </w:pPr>
            <w:r>
              <w:t xml:space="preserve">3,000</w:t>
            </w:r>
          </w:p>
        </w:tc>
        <w:tc>
          <w:tcPr/>
          <w:p>
            <w:pPr>
              <w:pStyle w:val="Compact"/>
              <w:jc w:val="left"/>
            </w:pPr>
            <w:r>
              <w:t xml:space="preserve">1,200–1,400</w:t>
            </w:r>
          </w:p>
        </w:tc>
      </w:tr>
      <w:tr>
        <w:tc>
          <w:tcPr/>
          <w:p>
            <w:pPr>
              <w:pStyle w:val="Compact"/>
              <w:jc w:val="left"/>
            </w:pPr>
            <w:r>
              <w:t xml:space="preserve">Medium: multi-step calculation, conditional logic, period comparisons</w:t>
            </w:r>
          </w:p>
        </w:tc>
        <w:tc>
          <w:tcPr/>
          <w:p>
            <w:pPr>
              <w:pStyle w:val="Compact"/>
              <w:jc w:val="left"/>
            </w:pPr>
            <w:r>
              <w:t xml:space="preserve">40%</w:t>
            </w:r>
          </w:p>
        </w:tc>
        <w:tc>
          <w:tcPr/>
          <w:p>
            <w:pPr>
              <w:pStyle w:val="Compact"/>
              <w:jc w:val="left"/>
            </w:pPr>
            <w:r>
              <w:t xml:space="preserve">4,800</w:t>
            </w:r>
          </w:p>
        </w:tc>
        <w:tc>
          <w:tcPr/>
          <w:p>
            <w:pPr>
              <w:pStyle w:val="Compact"/>
              <w:jc w:val="left"/>
            </w:pPr>
            <w:r>
              <w:t xml:space="preserve">7,200</w:t>
            </w:r>
          </w:p>
        </w:tc>
        <w:tc>
          <w:tcPr/>
          <w:p>
            <w:pPr>
              <w:pStyle w:val="Compact"/>
              <w:jc w:val="left"/>
            </w:pPr>
            <w:r>
              <w:t xml:space="preserve">4,300–4,600</w:t>
            </w:r>
          </w:p>
        </w:tc>
      </w:tr>
      <w:tr>
        <w:tc>
          <w:tcPr/>
          <w:p>
            <w:pPr>
              <w:pStyle w:val="Compact"/>
              <w:jc w:val="left"/>
            </w:pPr>
            <w:r>
              <w:t xml:space="preserve">Complex: cross-functional, multi-currency, complex business rules, variance analysis</w:t>
            </w:r>
          </w:p>
        </w:tc>
        <w:tc>
          <w:tcPr/>
          <w:p>
            <w:pPr>
              <w:pStyle w:val="Compact"/>
              <w:jc w:val="left"/>
            </w:pPr>
            <w:r>
              <w:t xml:space="preserve">20%</w:t>
            </w:r>
          </w:p>
        </w:tc>
        <w:tc>
          <w:tcPr/>
          <w:p>
            <w:pPr>
              <w:pStyle w:val="Compact"/>
              <w:jc w:val="left"/>
            </w:pPr>
            <w:r>
              <w:t xml:space="preserve">2,400</w:t>
            </w:r>
          </w:p>
        </w:tc>
        <w:tc>
          <w:tcPr/>
          <w:p>
            <w:pPr>
              <w:pStyle w:val="Compact"/>
              <w:jc w:val="left"/>
            </w:pPr>
            <w:r>
              <w:t xml:space="preserve">7,200</w:t>
            </w:r>
          </w:p>
        </w:tc>
        <w:tc>
          <w:tcPr/>
          <w:p>
            <w:pPr>
              <w:pStyle w:val="Compact"/>
              <w:jc w:val="left"/>
            </w:pPr>
            <w:r>
              <w:t xml:space="preserve">5,400–5,600</w:t>
            </w:r>
          </w:p>
        </w:tc>
      </w:tr>
      <w:tr>
        <w:tc>
          <w:tcPr/>
          <w:p>
            <w:pPr>
              <w:pStyle w:val="Compact"/>
              <w:jc w:val="left"/>
            </w:pPr>
            <w:r>
              <w:rPr>
                <w:bCs/>
                <w:b/>
              </w:rPr>
              <w:t xml:space="preserve">Raw development subtotal</w:t>
            </w:r>
          </w:p>
        </w:tc>
        <w:tc>
          <w:tcPr/>
          <w:p>
            <w:pPr>
              <w:pStyle w:val="Compact"/>
              <w:jc w:val="left"/>
            </w:pPr>
            <w:r>
              <w:t xml:space="preserve">100%</w:t>
            </w:r>
          </w:p>
        </w:tc>
        <w:tc>
          <w:tcPr/>
          <w:p>
            <w:pPr>
              <w:pStyle w:val="Compact"/>
              <w:jc w:val="left"/>
            </w:pPr>
            <w:r>
              <w:rPr>
                <w:bCs/>
                <w:b/>
              </w:rPr>
              <w:t xml:space="preserve">12,000</w:t>
            </w:r>
          </w:p>
        </w:tc>
        <w:tc>
          <w:tcPr/>
          <w:p>
            <w:pPr>
              <w:pStyle w:val="Compact"/>
              <w:jc w:val="left"/>
            </w:pPr>
            <w:r>
              <w:rPr>
                <w:bCs/>
                <w:b/>
              </w:rPr>
              <w:t xml:space="preserve">17,400</w:t>
            </w:r>
          </w:p>
        </w:tc>
        <w:tc>
          <w:tcPr/>
          <w:p>
            <w:pPr>
              <w:pStyle w:val="Compact"/>
              <w:jc w:val="left"/>
            </w:pPr>
            <w:r>
              <w:rPr>
                <w:bCs/>
                <w:b/>
              </w:rPr>
              <w:t xml:space="preserve">10,900–11,600</w:t>
            </w:r>
          </w:p>
        </w:tc>
      </w:tr>
    </w:tbl>
    <w:bookmarkEnd w:id="55"/>
    <w:bookmarkStart w:id="56" w:name="full-phase-5-effort"/>
    <w:p>
      <w:pPr>
        <w:pStyle w:val="Heading2"/>
      </w:pPr>
      <w:r>
        <w:t xml:space="preserve">9.4 Full Phase 5 Effort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Hours</w:t>
            </w:r>
          </w:p>
        </w:tc>
      </w:tr>
      <w:tr>
        <w:tc>
          <w:tcPr/>
          <w:p>
            <w:pPr>
              <w:pStyle w:val="Compact"/>
              <w:jc w:val="left"/>
            </w:pPr>
            <w:r>
              <w:t xml:space="preserve">Raw development subtotal (AI-assisted)</w:t>
            </w:r>
          </w:p>
        </w:tc>
        <w:tc>
          <w:tcPr/>
          <w:p>
            <w:pPr>
              <w:pStyle w:val="Compact"/>
              <w:jc w:val="left"/>
            </w:pPr>
            <w:r>
              <w:t xml:space="preserve">10,900–11,600</w:t>
            </w:r>
          </w:p>
        </w:tc>
      </w:tr>
      <w:tr>
        <w:tc>
          <w:tcPr/>
          <w:p>
            <w:pPr>
              <w:pStyle w:val="Compact"/>
              <w:jc w:val="left"/>
            </w:pPr>
            <w:r>
              <w:t xml:space="preserve">Reuse &amp; batching efficiency (~25% reduction; compounds with AI)</w:t>
            </w:r>
          </w:p>
        </w:tc>
        <w:tc>
          <w:tcPr/>
          <w:p>
            <w:pPr>
              <w:pStyle w:val="Compact"/>
              <w:jc w:val="left"/>
            </w:pPr>
            <w:r>
              <w:t xml:space="preserve">(4,350)</w:t>
            </w:r>
          </w:p>
        </w:tc>
      </w:tr>
      <w:tr>
        <w:tc>
          <w:tcPr/>
          <w:p>
            <w:pPr>
              <w:pStyle w:val="Compact"/>
              <w:jc w:val="left"/>
            </w:pPr>
            <w:r>
              <w:rPr>
                <w:bCs/>
                <w:b/>
              </w:rPr>
              <w:t xml:space="preserve">Adjusted development effort</w:t>
            </w:r>
          </w:p>
        </w:tc>
        <w:tc>
          <w:tcPr/>
          <w:p>
            <w:pPr>
              <w:pStyle w:val="Compact"/>
              <w:jc w:val="left"/>
            </w:pPr>
            <w:r>
              <w:rPr>
                <w:bCs/>
                <w:b/>
              </w:rPr>
              <w:t xml:space="preserve">6,550–7,250</w:t>
            </w:r>
          </w:p>
        </w:tc>
      </w:tr>
      <w:tr>
        <w:tc>
          <w:tcPr/>
          <w:p>
            <w:pPr>
              <w:pStyle w:val="Compact"/>
              <w:jc w:val="left"/>
            </w:pPr>
            <w:r>
              <w:t xml:space="preserve">Unit testing &amp; validation (avg. ~9 min per insight with AI-generated tests)</w:t>
            </w:r>
          </w:p>
        </w:tc>
        <w:tc>
          <w:tcPr/>
          <w:p>
            <w:pPr>
              <w:pStyle w:val="Compact"/>
              <w:jc w:val="left"/>
            </w:pPr>
            <w:r>
              <w:t xml:space="preserve">1,700–1,800</w:t>
            </w:r>
          </w:p>
        </w:tc>
      </w:tr>
      <w:tr>
        <w:tc>
          <w:tcPr/>
          <w:p>
            <w:pPr>
              <w:pStyle w:val="Compact"/>
              <w:jc w:val="left"/>
            </w:pPr>
            <w:r>
              <w:t xml:space="preserve">UAT preparation</w:t>
            </w:r>
          </w:p>
        </w:tc>
        <w:tc>
          <w:tcPr/>
          <w:p>
            <w:pPr>
              <w:pStyle w:val="Compact"/>
              <w:jc w:val="left"/>
            </w:pPr>
            <w:r>
              <w:t xml:space="preserve">600</w:t>
            </w:r>
          </w:p>
        </w:tc>
      </w:tr>
      <w:tr>
        <w:tc>
          <w:tcPr/>
          <w:p>
            <w:pPr>
              <w:pStyle w:val="Compact"/>
              <w:jc w:val="left"/>
            </w:pPr>
            <w:r>
              <w:t xml:space="preserve">UAT support &amp; issue resolution (~15% of insights need discussion)</w:t>
            </w:r>
          </w:p>
        </w:tc>
        <w:tc>
          <w:tcPr/>
          <w:p>
            <w:pPr>
              <w:pStyle w:val="Compact"/>
              <w:jc w:val="left"/>
            </w:pPr>
            <w:r>
              <w:t xml:space="preserve">1,500–1,600</w:t>
            </w:r>
          </w:p>
        </w:tc>
      </w:tr>
      <w:tr>
        <w:tc>
          <w:tcPr/>
          <w:p>
            <w:pPr>
              <w:pStyle w:val="Compact"/>
              <w:jc w:val="left"/>
            </w:pPr>
            <w:r>
              <w:t xml:space="preserve">Rework from UAT feedback (~10% rework rate)</w:t>
            </w:r>
          </w:p>
        </w:tc>
        <w:tc>
          <w:tcPr/>
          <w:p>
            <w:pPr>
              <w:pStyle w:val="Compact"/>
              <w:jc w:val="left"/>
            </w:pPr>
            <w:r>
              <w:t xml:space="preserve">900–950</w:t>
            </w:r>
          </w:p>
        </w:tc>
      </w:tr>
      <w:tr>
        <w:tc>
          <w:tcPr/>
          <w:p>
            <w:pPr>
              <w:pStyle w:val="Compact"/>
              <w:jc w:val="left"/>
            </w:pPr>
            <w:r>
              <w:t xml:space="preserve">Documentation &amp; traceability (AI-generated)</w:t>
            </w:r>
          </w:p>
        </w:tc>
        <w:tc>
          <w:tcPr/>
          <w:p>
            <w:pPr>
              <w:pStyle w:val="Compact"/>
              <w:jc w:val="left"/>
            </w:pPr>
            <w:r>
              <w:t xml:space="preserve">200</w:t>
            </w:r>
          </w:p>
        </w:tc>
      </w:tr>
      <w:tr>
        <w:tc>
          <w:tcPr/>
          <w:p>
            <w:pPr>
              <w:pStyle w:val="Compact"/>
              <w:jc w:val="left"/>
            </w:pPr>
            <w:r>
              <w:rPr>
                <w:bCs/>
                <w:b/>
              </w:rPr>
              <w:t xml:space="preserve">AI agent priming (new activity)</w:t>
            </w:r>
          </w:p>
        </w:tc>
        <w:tc>
          <w:tcPr/>
          <w:p>
            <w:pPr>
              <w:pStyle w:val="Compact"/>
              <w:jc w:val="left"/>
            </w:pPr>
            <w:r>
              <w:t xml:space="preserve">200–400</w:t>
            </w:r>
          </w:p>
        </w:tc>
      </w:tr>
      <w:tr>
        <w:tc>
          <w:tcPr/>
          <w:p>
            <w:pPr>
              <w:pStyle w:val="Compact"/>
              <w:jc w:val="left"/>
            </w:pPr>
            <w:r>
              <w:rPr>
                <w:bCs/>
                <w:b/>
              </w:rPr>
              <w:t xml:space="preserve">Phase 5 Total</w:t>
            </w:r>
          </w:p>
        </w:tc>
        <w:tc>
          <w:tcPr/>
          <w:p>
            <w:pPr>
              <w:pStyle w:val="Compact"/>
              <w:jc w:val="left"/>
            </w:pPr>
            <w:r>
              <w:rPr>
                <w:bCs/>
                <w:b/>
              </w:rPr>
              <w:t xml:space="preserve">11,650–12,800</w:t>
            </w:r>
          </w:p>
        </w:tc>
      </w:tr>
    </w:tbl>
    <w:p>
      <w:pPr>
        <w:pStyle w:val="BodyText"/>
      </w:pPr>
      <w:r>
        <w:rPr>
          <w:bCs/>
          <w:b/>
        </w:rPr>
        <w:t xml:space="preserve">Person-days:</w:t>
      </w:r>
      <w:r>
        <w:t xml:space="preserve"> </w:t>
      </w:r>
      <w:r>
        <w:t xml:space="preserve">1,664–1,829 ·</w:t>
      </w:r>
      <w:r>
        <w:t xml:space="preserve"> </w:t>
      </w:r>
      <w:r>
        <w:rPr>
          <w:bCs/>
          <w:b/>
        </w:rPr>
        <w:t xml:space="preserve">Person-months:</w:t>
      </w:r>
      <w:r>
        <w:t xml:space="preserve"> </w:t>
      </w:r>
      <w:r>
        <w:t xml:space="preserve">77–84 ·</w:t>
      </w:r>
      <w:r>
        <w:t xml:space="preserve"> </w:t>
      </w:r>
      <w:r>
        <w:rPr>
          <w:bCs/>
          <w:b/>
        </w:rPr>
        <w:t xml:space="preserve">Effort reduction vs baseline: 38–43%</w:t>
      </w:r>
    </w:p>
    <w:p>
      <w:pPr>
        <w:pStyle w:val="BodyText"/>
      </w:pPr>
      <w:r>
        <w:rPr>
          <w:bCs/>
          <w:b/>
        </w:rPr>
        <w:t xml:space="preserve">Throughput Requirement:</w:t>
      </w:r>
      <w:r>
        <w:t xml:space="preserve"> </w:t>
      </w:r>
      <w:r>
        <w:t xml:space="preserve">12,000 insights delivered across ~5 months of active development requires an average team throughput of approximately 130 insights per working day. With AI-assisted development at ~7–8 insights/engineer/day (blended average across complexity tiers), this implies ~17–19 people focused on Phase 5 development for the duration — down from 30+ in baseline.</w:t>
      </w:r>
    </w:p>
    <w:p>
      <w:r>
        <w:pict>
          <v:rect style="width:0;height:1.5pt" o:hralign="center" o:hrstd="t" o:hr="t"/>
        </w:pict>
      </w:r>
    </w:p>
    <w:bookmarkEnd w:id="56"/>
    <w:bookmarkEnd w:id="57"/>
    <w:bookmarkStart w:id="59" w:name="total-effort-summary"/>
    <w:p>
      <w:pPr>
        <w:pStyle w:val="Heading1"/>
      </w:pPr>
      <w:r>
        <w:t xml:space="preserve">10. Total Effort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 / Component</w:t>
            </w:r>
          </w:p>
        </w:tc>
        <w:tc>
          <w:tcPr/>
          <w:p>
            <w:pPr>
              <w:pStyle w:val="Compact"/>
              <w:jc w:val="left"/>
            </w:pPr>
            <w:r>
              <w:t xml:space="preserve">Hours</w:t>
            </w:r>
          </w:p>
        </w:tc>
        <w:tc>
          <w:tcPr/>
          <w:p>
            <w:pPr>
              <w:pStyle w:val="Compact"/>
              <w:jc w:val="left"/>
            </w:pPr>
            <w:r>
              <w:t xml:space="preserve">Person-days</w:t>
            </w:r>
          </w:p>
        </w:tc>
        <w:tc>
          <w:tcPr/>
          <w:p>
            <w:pPr>
              <w:pStyle w:val="Compact"/>
              <w:jc w:val="left"/>
            </w:pPr>
            <w:r>
              <w:t xml:space="preserve">Person-months</w:t>
            </w:r>
          </w:p>
        </w:tc>
      </w:tr>
      <w:tr>
        <w:tc>
          <w:tcPr/>
          <w:p>
            <w:pPr>
              <w:pStyle w:val="Compact"/>
              <w:jc w:val="left"/>
            </w:pPr>
            <w:r>
              <w:t xml:space="preserve">Phase 1 — Business Insight Review (6 weeks)</w:t>
            </w:r>
          </w:p>
        </w:tc>
        <w:tc>
          <w:tcPr/>
          <w:p>
            <w:pPr>
              <w:pStyle w:val="Compact"/>
              <w:jc w:val="left"/>
            </w:pPr>
            <w:r>
              <w:t xml:space="preserve">6,300–6,700</w:t>
            </w:r>
          </w:p>
        </w:tc>
        <w:tc>
          <w:tcPr/>
          <w:p>
            <w:pPr>
              <w:pStyle w:val="Compact"/>
              <w:jc w:val="left"/>
            </w:pPr>
            <w:r>
              <w:t xml:space="preserve">900–957</w:t>
            </w:r>
          </w:p>
        </w:tc>
        <w:tc>
          <w:tcPr/>
          <w:p>
            <w:pPr>
              <w:pStyle w:val="Compact"/>
              <w:jc w:val="left"/>
            </w:pPr>
            <w:r>
              <w:t xml:space="preserve">41–44</w:t>
            </w:r>
          </w:p>
        </w:tc>
      </w:tr>
      <w:tr>
        <w:tc>
          <w:tcPr/>
          <w:p>
            <w:pPr>
              <w:pStyle w:val="Compact"/>
              <w:jc w:val="left"/>
            </w:pPr>
            <w:r>
              <w:t xml:space="preserve">Phase 2 — Raw &amp; Silver</w:t>
            </w:r>
          </w:p>
        </w:tc>
        <w:tc>
          <w:tcPr/>
          <w:p>
            <w:pPr>
              <w:pStyle w:val="Compact"/>
              <w:jc w:val="left"/>
            </w:pPr>
            <w:r>
              <w:t xml:space="preserve">1,990–2,410</w:t>
            </w:r>
          </w:p>
        </w:tc>
        <w:tc>
          <w:tcPr/>
          <w:p>
            <w:pPr>
              <w:pStyle w:val="Compact"/>
              <w:jc w:val="left"/>
            </w:pPr>
            <w:r>
              <w:t xml:space="preserve">284–344</w:t>
            </w:r>
          </w:p>
        </w:tc>
        <w:tc>
          <w:tcPr/>
          <w:p>
            <w:pPr>
              <w:pStyle w:val="Compact"/>
              <w:jc w:val="left"/>
            </w:pPr>
            <w:r>
              <w:t xml:space="preserve">13–16</w:t>
            </w:r>
          </w:p>
        </w:tc>
      </w:tr>
      <w:tr>
        <w:tc>
          <w:tcPr/>
          <w:p>
            <w:pPr>
              <w:pStyle w:val="Compact"/>
              <w:jc w:val="left"/>
            </w:pPr>
            <w:r>
              <w:t xml:space="preserve">Phase 3 — Dimensional Model (Gold)</w:t>
            </w:r>
          </w:p>
        </w:tc>
        <w:tc>
          <w:tcPr/>
          <w:p>
            <w:pPr>
              <w:pStyle w:val="Compact"/>
              <w:jc w:val="left"/>
            </w:pPr>
            <w:r>
              <w:t xml:space="preserve">2,450–2,600</w:t>
            </w:r>
          </w:p>
        </w:tc>
        <w:tc>
          <w:tcPr/>
          <w:p>
            <w:pPr>
              <w:pStyle w:val="Compact"/>
              <w:jc w:val="left"/>
            </w:pPr>
            <w:r>
              <w:t xml:space="preserve">350–371</w:t>
            </w:r>
          </w:p>
        </w:tc>
        <w:tc>
          <w:tcPr/>
          <w:p>
            <w:pPr>
              <w:pStyle w:val="Compact"/>
              <w:jc w:val="left"/>
            </w:pPr>
            <w:r>
              <w:t xml:space="preserve">16–17</w:t>
            </w:r>
          </w:p>
        </w:tc>
      </w:tr>
      <w:tr>
        <w:tc>
          <w:tcPr/>
          <w:p>
            <w:pPr>
              <w:pStyle w:val="Compact"/>
              <w:jc w:val="left"/>
            </w:pPr>
            <w:r>
              <w:t xml:space="preserve">Phase 4 — One Big Table</w:t>
            </w:r>
          </w:p>
        </w:tc>
        <w:tc>
          <w:tcPr/>
          <w:p>
            <w:pPr>
              <w:pStyle w:val="Compact"/>
              <w:jc w:val="left"/>
            </w:pPr>
            <w:r>
              <w:t xml:space="preserve">1,120</w:t>
            </w:r>
          </w:p>
        </w:tc>
        <w:tc>
          <w:tcPr/>
          <w:p>
            <w:pPr>
              <w:pStyle w:val="Compact"/>
              <w:jc w:val="left"/>
            </w:pPr>
            <w:r>
              <w:t xml:space="preserve">160</w:t>
            </w:r>
          </w:p>
        </w:tc>
        <w:tc>
          <w:tcPr/>
          <w:p>
            <w:pPr>
              <w:pStyle w:val="Compact"/>
              <w:jc w:val="left"/>
            </w:pPr>
            <w:r>
              <w:t xml:space="preserve">7</w:t>
            </w:r>
          </w:p>
        </w:tc>
      </w:tr>
      <w:tr>
        <w:tc>
          <w:tcPr/>
          <w:p>
            <w:pPr>
              <w:pStyle w:val="Compact"/>
              <w:jc w:val="left"/>
            </w:pPr>
            <w:r>
              <w:t xml:space="preserve">Phase 5 — Insight Implementation</w:t>
            </w:r>
          </w:p>
        </w:tc>
        <w:tc>
          <w:tcPr/>
          <w:p>
            <w:pPr>
              <w:pStyle w:val="Compact"/>
              <w:jc w:val="left"/>
            </w:pPr>
            <w:r>
              <w:t xml:space="preserve">11,650–12,800</w:t>
            </w:r>
          </w:p>
        </w:tc>
        <w:tc>
          <w:tcPr/>
          <w:p>
            <w:pPr>
              <w:pStyle w:val="Compact"/>
              <w:jc w:val="left"/>
            </w:pPr>
            <w:r>
              <w:t xml:space="preserve">1,664–1,829</w:t>
            </w:r>
          </w:p>
        </w:tc>
        <w:tc>
          <w:tcPr/>
          <w:p>
            <w:pPr>
              <w:pStyle w:val="Compact"/>
              <w:jc w:val="left"/>
            </w:pPr>
            <w:r>
              <w:t xml:space="preserve">77–84</w:t>
            </w:r>
          </w:p>
        </w:tc>
      </w:tr>
      <w:tr>
        <w:tc>
          <w:tcPr/>
          <w:p>
            <w:pPr>
              <w:pStyle w:val="Compact"/>
              <w:jc w:val="left"/>
            </w:pPr>
            <w:r>
              <w:t xml:space="preserve">Cross-cutting roles (SA, PM, SM, BA overlap)</w:t>
            </w:r>
          </w:p>
        </w:tc>
        <w:tc>
          <w:tcPr/>
          <w:p>
            <w:pPr>
              <w:pStyle w:val="Compact"/>
              <w:jc w:val="left"/>
            </w:pPr>
            <w:r>
              <w:t xml:space="preserve">3,000</w:t>
            </w:r>
          </w:p>
        </w:tc>
        <w:tc>
          <w:tcPr/>
          <w:p>
            <w:pPr>
              <w:pStyle w:val="Compact"/>
              <w:jc w:val="left"/>
            </w:pPr>
            <w:r>
              <w:t xml:space="preserve">429</w:t>
            </w:r>
          </w:p>
        </w:tc>
        <w:tc>
          <w:tcPr/>
          <w:p>
            <w:pPr>
              <w:pStyle w:val="Compact"/>
              <w:jc w:val="left"/>
            </w:pPr>
            <w:r>
              <w:t xml:space="preserve">20</w:t>
            </w:r>
          </w:p>
        </w:tc>
      </w:tr>
      <w:tr>
        <w:tc>
          <w:tcPr/>
          <w:p>
            <w:pPr>
              <w:pStyle w:val="Compact"/>
              <w:jc w:val="left"/>
            </w:pPr>
            <w:r>
              <w:t xml:space="preserve">Contingency (10%)</w:t>
            </w:r>
          </w:p>
        </w:tc>
        <w:tc>
          <w:tcPr/>
          <w:p>
            <w:pPr>
              <w:pStyle w:val="Compact"/>
              <w:jc w:val="left"/>
            </w:pPr>
            <w:r>
              <w:t xml:space="preserve">2,651–2,863</w:t>
            </w:r>
          </w:p>
        </w:tc>
        <w:tc>
          <w:tcPr/>
          <w:p>
            <w:pPr>
              <w:pStyle w:val="Compact"/>
              <w:jc w:val="left"/>
            </w:pPr>
            <w:r>
              <w:t xml:space="preserve">379–409</w:t>
            </w:r>
          </w:p>
        </w:tc>
        <w:tc>
          <w:tcPr/>
          <w:p>
            <w:pPr>
              <w:pStyle w:val="Compact"/>
              <w:jc w:val="left"/>
            </w:pPr>
            <w:r>
              <w:t xml:space="preserve">17–19</w:t>
            </w:r>
          </w:p>
        </w:tc>
      </w:tr>
      <w:tr>
        <w:tc>
          <w:tcPr/>
          <w:p>
            <w:pPr>
              <w:pStyle w:val="Compact"/>
              <w:jc w:val="left"/>
            </w:pPr>
            <w:r>
              <w:rPr>
                <w:bCs/>
                <w:b/>
              </w:rPr>
              <w:t xml:space="preserve">Grand Total</w:t>
            </w:r>
          </w:p>
        </w:tc>
        <w:tc>
          <w:tcPr/>
          <w:p>
            <w:pPr>
              <w:pStyle w:val="Compact"/>
              <w:jc w:val="left"/>
            </w:pPr>
            <w:r>
              <w:rPr>
                <w:bCs/>
                <w:b/>
              </w:rPr>
              <w:t xml:space="preserve">~29,200–31,500</w:t>
            </w:r>
          </w:p>
        </w:tc>
        <w:tc>
          <w:tcPr/>
          <w:p>
            <w:pPr>
              <w:pStyle w:val="Compact"/>
              <w:jc w:val="left"/>
            </w:pPr>
            <w:r>
              <w:rPr>
                <w:bCs/>
                <w:b/>
              </w:rPr>
              <w:t xml:space="preserve">~4,170–4,500</w:t>
            </w:r>
          </w:p>
        </w:tc>
        <w:tc>
          <w:tcPr/>
          <w:p>
            <w:pPr>
              <w:pStyle w:val="Compact"/>
              <w:jc w:val="left"/>
            </w:pPr>
            <w:r>
              <w:rPr>
                <w:bCs/>
                <w:b/>
              </w:rPr>
              <w:t xml:space="preserve">~192–207</w:t>
            </w:r>
          </w:p>
        </w:tc>
      </w:tr>
    </w:tbl>
    <w:bookmarkStart w:id="58" w:name="scenario-sensitivity"/>
    <w:p>
      <w:pPr>
        <w:pStyle w:val="Heading2"/>
      </w:pPr>
      <w:r>
        <w:t xml:space="preserve">10.1 Scenario Sensitivity</w:t>
      </w:r>
    </w:p>
    <w:p>
      <w:pPr>
        <w:pStyle w:val="FirstParagraph"/>
      </w:pPr>
      <w:r>
        <w:t xml:space="preserve">Three scenarios reflecting different accelerator effectiveness levels: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Basis</w:t>
            </w:r>
          </w:p>
        </w:tc>
        <w:tc>
          <w:tcPr/>
          <w:p>
            <w:pPr>
              <w:pStyle w:val="Compact"/>
              <w:jc w:val="left"/>
            </w:pPr>
            <w:r>
              <w:t xml:space="preserve">Total effort</w:t>
            </w:r>
          </w:p>
        </w:tc>
        <w:tc>
          <w:tcPr/>
          <w:p>
            <w:pPr>
              <w:pStyle w:val="Compact"/>
              <w:jc w:val="left"/>
            </w:pPr>
            <w:r>
              <w:t xml:space="preserve">Peak team</w:t>
            </w:r>
          </w:p>
        </w:tc>
        <w:tc>
          <w:tcPr/>
          <w:p>
            <w:pPr>
              <w:pStyle w:val="Compact"/>
              <w:jc w:val="left"/>
            </w:pPr>
            <w:r>
              <w:t xml:space="preserve">Avg team</w:t>
            </w:r>
          </w:p>
        </w:tc>
      </w:tr>
      <w:tr>
        <w:tc>
          <w:tcPr/>
          <w:p>
            <w:pPr>
              <w:pStyle w:val="Compact"/>
              <w:jc w:val="left"/>
            </w:pPr>
            <w:r>
              <w:t xml:space="preserve">Optimistic</w:t>
            </w:r>
          </w:p>
        </w:tc>
        <w:tc>
          <w:tcPr/>
          <w:p>
            <w:pPr>
              <w:pStyle w:val="Compact"/>
              <w:jc w:val="left"/>
            </w:pPr>
            <w:r>
              <w:t xml:space="preserve">High questionnaire quality; high AI priming quality; strong FastTrack pattern reuse; standard F&amp;O deployment</w:t>
            </w:r>
          </w:p>
        </w:tc>
        <w:tc>
          <w:tcPr/>
          <w:p>
            <w:pPr>
              <w:pStyle w:val="Compact"/>
              <w:jc w:val="left"/>
            </w:pPr>
            <w:r>
              <w:t xml:space="preserve">~26,000 hrs</w:t>
            </w:r>
          </w:p>
        </w:tc>
        <w:tc>
          <w:tcPr/>
          <w:p>
            <w:pPr>
              <w:pStyle w:val="Compact"/>
              <w:jc w:val="left"/>
            </w:pPr>
            <w:r>
              <w:t xml:space="preserve">27</w:t>
            </w:r>
          </w:p>
        </w:tc>
        <w:tc>
          <w:tcPr/>
          <w:p>
            <w:pPr>
              <w:pStyle w:val="Compact"/>
              <w:jc w:val="left"/>
            </w:pPr>
            <w:r>
              <w:t xml:space="preserve">21</w:t>
            </w:r>
          </w:p>
        </w:tc>
      </w:tr>
      <w:tr>
        <w:tc>
          <w:tcPr/>
          <w:p>
            <w:pPr>
              <w:pStyle w:val="Compact"/>
              <w:jc w:val="left"/>
            </w:pPr>
            <w:r>
              <w:rPr>
                <w:bCs/>
                <w:b/>
              </w:rPr>
              <w:t xml:space="preserve">Realistic (baseline)</w:t>
            </w:r>
          </w:p>
        </w:tc>
        <w:tc>
          <w:tcPr/>
          <w:p>
            <w:pPr>
              <w:pStyle w:val="Compact"/>
              <w:jc w:val="left"/>
            </w:pPr>
            <w:r>
              <w:t xml:space="preserve">Moderate questionnaire quality; adequate AI priming; typical FastTrack applicability; some client customisations</w:t>
            </w:r>
          </w:p>
        </w:tc>
        <w:tc>
          <w:tcPr/>
          <w:p>
            <w:pPr>
              <w:pStyle w:val="Compact"/>
              <w:jc w:val="left"/>
            </w:pPr>
            <w:r>
              <w:rPr>
                <w:bCs/>
                <w:b/>
              </w:rPr>
              <w:t xml:space="preserve">~29,200–31,500 hrs</w:t>
            </w:r>
          </w:p>
        </w:tc>
        <w:tc>
          <w:tcPr/>
          <w:p>
            <w:pPr>
              <w:pStyle w:val="Compact"/>
              <w:jc w:val="left"/>
            </w:pPr>
            <w:r>
              <w:rPr>
                <w:bCs/>
                <w:b/>
              </w:rPr>
              <w:t xml:space="preserve">29–32</w:t>
            </w:r>
          </w:p>
        </w:tc>
        <w:tc>
          <w:tcPr/>
          <w:p>
            <w:pPr>
              <w:pStyle w:val="Compact"/>
              <w:jc w:val="left"/>
            </w:pPr>
            <w:r>
              <w:rPr>
                <w:bCs/>
                <w:b/>
              </w:rPr>
              <w:t xml:space="preserve">22</w:t>
            </w:r>
          </w:p>
        </w:tc>
      </w:tr>
      <w:tr>
        <w:tc>
          <w:tcPr/>
          <w:p>
            <w:pPr>
              <w:pStyle w:val="Compact"/>
              <w:jc w:val="left"/>
            </w:pPr>
            <w:r>
              <w:t xml:space="preserve">Conservative</w:t>
            </w:r>
          </w:p>
        </w:tc>
        <w:tc>
          <w:tcPr/>
          <w:p>
            <w:pPr>
              <w:pStyle w:val="Compact"/>
              <w:jc w:val="left"/>
            </w:pPr>
            <w:r>
              <w:t xml:space="preserve">Questionnaire quality issues; weak AI priming; heavy client F&amp;O customisation outside FastTrack templates</w:t>
            </w:r>
          </w:p>
        </w:tc>
        <w:tc>
          <w:tcPr/>
          <w:p>
            <w:pPr>
              <w:pStyle w:val="Compact"/>
              <w:jc w:val="left"/>
            </w:pPr>
            <w:r>
              <w:t xml:space="preserve">~40,000 hrs</w:t>
            </w:r>
          </w:p>
        </w:tc>
        <w:tc>
          <w:tcPr/>
          <w:p>
            <w:pPr>
              <w:pStyle w:val="Compact"/>
              <w:jc w:val="left"/>
            </w:pPr>
            <w:r>
              <w:t xml:space="preserve">40</w:t>
            </w:r>
          </w:p>
        </w:tc>
        <w:tc>
          <w:tcPr/>
          <w:p>
            <w:pPr>
              <w:pStyle w:val="Compact"/>
              <w:jc w:val="left"/>
            </w:pPr>
            <w:r>
              <w:t xml:space="preserve">30</w:t>
            </w:r>
          </w:p>
        </w:tc>
      </w:tr>
    </w:tbl>
    <w:p>
      <w:pPr>
        <w:pStyle w:val="BodyText"/>
      </w:pPr>
      <w:r>
        <w:t xml:space="preserve">The conservative scenario approaches but does not reach the baseline (~47,000 hrs) because the D365 connector still eliminates most Bronze work regardless of other accelerator effectiveness.</w:t>
      </w:r>
    </w:p>
    <w:p>
      <w:r>
        <w:pict>
          <v:rect style="width:0;height:1.5pt" o:hralign="center" o:hrstd="t" o:hr="t"/>
        </w:pict>
      </w:r>
    </w:p>
    <w:bookmarkEnd w:id="58"/>
    <w:bookmarkEnd w:id="59"/>
    <w:bookmarkStart w:id="66" w:name="team-composition-by-phase"/>
    <w:p>
      <w:pPr>
        <w:pStyle w:val="Heading1"/>
      </w:pPr>
      <w:r>
        <w:t xml:space="preserve">11. Team Composition by Phase</w:t>
      </w:r>
    </w:p>
    <w:bookmarkStart w:id="60" w:name="phase-1-team"/>
    <w:p>
      <w:pPr>
        <w:pStyle w:val="Heading2"/>
      </w:pPr>
      <w:r>
        <w:t xml:space="preserve">11.1 Phase 1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Responsibilities</w:t>
            </w:r>
          </w:p>
        </w:tc>
      </w:tr>
      <w:tr>
        <w:tc>
          <w:tcPr/>
          <w:p>
            <w:pPr>
              <w:pStyle w:val="Compact"/>
              <w:jc w:val="left"/>
            </w:pPr>
            <w:r>
              <w:t xml:space="preserve">Data Engineer (Reviewer)</w:t>
            </w:r>
          </w:p>
        </w:tc>
        <w:tc>
          <w:tcPr/>
          <w:p>
            <w:pPr>
              <w:pStyle w:val="Compact"/>
              <w:jc w:val="left"/>
            </w:pPr>
            <w:r>
              <w:t xml:space="preserve">30–32</w:t>
            </w:r>
          </w:p>
        </w:tc>
        <w:tc>
          <w:tcPr/>
          <w:p>
            <w:pPr>
              <w:pStyle w:val="Compact"/>
              <w:jc w:val="left"/>
            </w:pPr>
            <w:r>
              <w:t xml:space="preserve">AI-assisted questionnaire review, ambiguity resolution, business-user discussions</w:t>
            </w:r>
          </w:p>
        </w:tc>
      </w:tr>
      <w:tr>
        <w:tc>
          <w:tcPr/>
          <w:p>
            <w:pPr>
              <w:pStyle w:val="Compact"/>
              <w:jc w:val="left"/>
            </w:pPr>
            <w:r>
              <w:t xml:space="preserve">Business Analyst</w:t>
            </w:r>
          </w:p>
        </w:tc>
        <w:tc>
          <w:tcPr/>
          <w:p>
            <w:pPr>
              <w:pStyle w:val="Compact"/>
              <w:jc w:val="left"/>
            </w:pPr>
            <w:r>
              <w:t xml:space="preserve">2</w:t>
            </w:r>
          </w:p>
        </w:tc>
        <w:tc>
          <w:tcPr/>
          <w:p>
            <w:pPr>
              <w:pStyle w:val="Compact"/>
              <w:jc w:val="left"/>
            </w:pPr>
            <w:r>
              <w:t xml:space="preserve">Business-user coordination, review-progress tracking</w:t>
            </w:r>
          </w:p>
        </w:tc>
      </w:tr>
      <w:tr>
        <w:tc>
          <w:tcPr/>
          <w:p>
            <w:pPr>
              <w:pStyle w:val="Compact"/>
              <w:jc w:val="left"/>
            </w:pPr>
            <w:r>
              <w:t xml:space="preserve">D365 F&amp;O Functional Consultant</w:t>
            </w:r>
          </w:p>
        </w:tc>
        <w:tc>
          <w:tcPr/>
          <w:p>
            <w:pPr>
              <w:pStyle w:val="Compact"/>
              <w:jc w:val="left"/>
            </w:pPr>
            <w:r>
              <w:t xml:space="preserve">1</w:t>
            </w:r>
          </w:p>
        </w:tc>
        <w:tc>
          <w:tcPr/>
          <w:p>
            <w:pPr>
              <w:pStyle w:val="Compact"/>
              <w:jc w:val="left"/>
            </w:pPr>
            <w:r>
              <w:t xml:space="preserve">ERP-domain support</w:t>
            </w:r>
          </w:p>
        </w:tc>
      </w:tr>
      <w:tr>
        <w:tc>
          <w:tcPr/>
          <w:p>
            <w:pPr>
              <w:pStyle w:val="Compact"/>
              <w:jc w:val="left"/>
            </w:pPr>
            <w:r>
              <w:t xml:space="preserve">Project Manager</w:t>
            </w:r>
          </w:p>
        </w:tc>
        <w:tc>
          <w:tcPr/>
          <w:p>
            <w:pPr>
              <w:pStyle w:val="Compact"/>
              <w:jc w:val="left"/>
            </w:pPr>
            <w:r>
              <w:t xml:space="preserve">1</w:t>
            </w:r>
          </w:p>
        </w:tc>
        <w:tc>
          <w:tcPr/>
          <w:p>
            <w:pPr>
              <w:pStyle w:val="Compact"/>
              <w:jc w:val="left"/>
            </w:pPr>
            <w:r>
              <w:t xml:space="preserve">Delivery coordination</w:t>
            </w:r>
          </w:p>
        </w:tc>
      </w:tr>
      <w:tr>
        <w:tc>
          <w:tcPr/>
          <w:p>
            <w:pPr>
              <w:pStyle w:val="Compact"/>
              <w:jc w:val="left"/>
            </w:pPr>
            <w:r>
              <w:t xml:space="preserve">Solution Architect (part-time)</w:t>
            </w:r>
          </w:p>
        </w:tc>
        <w:tc>
          <w:tcPr/>
          <w:p>
            <w:pPr>
              <w:pStyle w:val="Compact"/>
              <w:jc w:val="left"/>
            </w:pPr>
            <w:r>
              <w:t xml:space="preserve">1</w:t>
            </w:r>
          </w:p>
        </w:tc>
        <w:tc>
          <w:tcPr/>
          <w:p>
            <w:pPr>
              <w:pStyle w:val="Compact"/>
              <w:jc w:val="left"/>
            </w:pPr>
            <w:r>
              <w:t xml:space="preserve">Consistency oversight</w:t>
            </w:r>
          </w:p>
        </w:tc>
      </w:tr>
      <w:tr>
        <w:tc>
          <w:tcPr/>
          <w:p>
            <w:pPr>
              <w:pStyle w:val="Compact"/>
              <w:jc w:val="left"/>
            </w:pPr>
            <w:r>
              <w:rPr>
                <w:bCs/>
                <w:b/>
              </w:rPr>
              <w:t xml:space="preserve">Phase 1 subtotal</w:t>
            </w:r>
          </w:p>
        </w:tc>
        <w:tc>
          <w:tcPr/>
          <w:p>
            <w:pPr>
              <w:pStyle w:val="Compact"/>
              <w:jc w:val="left"/>
            </w:pPr>
            <w:r>
              <w:rPr>
                <w:bCs/>
                <w:b/>
              </w:rPr>
              <w:t xml:space="preserve">~35–37</w:t>
            </w:r>
          </w:p>
        </w:tc>
        <w:tc>
          <w:tcPr/>
          <w:p>
            <w:pPr>
              <w:pStyle w:val="Compact"/>
            </w:pPr>
          </w:p>
        </w:tc>
      </w:tr>
    </w:tbl>
    <w:bookmarkEnd w:id="60"/>
    <w:bookmarkStart w:id="61" w:name="phase-2-team"/>
    <w:p>
      <w:pPr>
        <w:pStyle w:val="Heading2"/>
      </w:pPr>
      <w:r>
        <w:t xml:space="preserve">11.2 Phase 2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Responsibilities</w:t>
            </w:r>
          </w:p>
        </w:tc>
      </w:tr>
      <w:tr>
        <w:tc>
          <w:tcPr/>
          <w:p>
            <w:pPr>
              <w:pStyle w:val="Compact"/>
              <w:jc w:val="left"/>
            </w:pPr>
            <w:r>
              <w:t xml:space="preserve">Data Architect</w:t>
            </w:r>
          </w:p>
        </w:tc>
        <w:tc>
          <w:tcPr/>
          <w:p>
            <w:pPr>
              <w:pStyle w:val="Compact"/>
              <w:jc w:val="left"/>
            </w:pPr>
            <w:r>
              <w:t xml:space="preserve">2</w:t>
            </w:r>
          </w:p>
        </w:tc>
        <w:tc>
          <w:tcPr/>
          <w:p>
            <w:pPr>
              <w:pStyle w:val="Compact"/>
              <w:jc w:val="left"/>
            </w:pPr>
            <w:r>
              <w:t xml:space="preserve">Silver-layer architecture, FastTrack pattern porting, DQ framework</w:t>
            </w:r>
          </w:p>
        </w:tc>
      </w:tr>
      <w:tr>
        <w:tc>
          <w:tcPr/>
          <w:p>
            <w:pPr>
              <w:pStyle w:val="Compact"/>
              <w:jc w:val="left"/>
            </w:pPr>
            <w:r>
              <w:t xml:space="preserve">Senior Data Engineer (Databricks)</w:t>
            </w:r>
          </w:p>
        </w:tc>
        <w:tc>
          <w:tcPr/>
          <w:p>
            <w:pPr>
              <w:pStyle w:val="Compact"/>
              <w:jc w:val="left"/>
            </w:pPr>
            <w:r>
              <w:t xml:space="preserve">2</w:t>
            </w:r>
          </w:p>
        </w:tc>
        <w:tc>
          <w:tcPr/>
          <w:p>
            <w:pPr>
              <w:pStyle w:val="Compact"/>
              <w:jc w:val="left"/>
            </w:pPr>
            <w:r>
              <w:t xml:space="preserve">Framework code, connector configuration, review of AI-generated code</w:t>
            </w:r>
          </w:p>
        </w:tc>
      </w:tr>
      <w:tr>
        <w:tc>
          <w:tcPr/>
          <w:p>
            <w:pPr>
              <w:pStyle w:val="Compact"/>
              <w:jc w:val="left"/>
            </w:pPr>
            <w:r>
              <w:t xml:space="preserve">Data Engineer (Databricks)</w:t>
            </w:r>
          </w:p>
        </w:tc>
        <w:tc>
          <w:tcPr/>
          <w:p>
            <w:pPr>
              <w:pStyle w:val="Compact"/>
              <w:jc w:val="left"/>
            </w:pPr>
            <w:r>
              <w:t xml:space="preserve">2–3</w:t>
            </w:r>
          </w:p>
        </w:tc>
        <w:tc>
          <w:tcPr/>
          <w:p>
            <w:pPr>
              <w:pStyle w:val="Compact"/>
              <w:jc w:val="left"/>
            </w:pPr>
            <w:r>
              <w:t xml:space="preserve">AI-assisted per-entity Silver implementation</w:t>
            </w:r>
          </w:p>
        </w:tc>
      </w:tr>
      <w:tr>
        <w:tc>
          <w:tcPr/>
          <w:p>
            <w:pPr>
              <w:pStyle w:val="Compact"/>
              <w:jc w:val="left"/>
            </w:pPr>
            <w:r>
              <w:t xml:space="preserve">D365 F&amp;O Functional Consultant</w:t>
            </w:r>
          </w:p>
        </w:tc>
        <w:tc>
          <w:tcPr/>
          <w:p>
            <w:pPr>
              <w:pStyle w:val="Compact"/>
              <w:jc w:val="left"/>
            </w:pPr>
            <w:r>
              <w:t xml:space="preserve">1–2</w:t>
            </w:r>
          </w:p>
        </w:tc>
        <w:tc>
          <w:tcPr/>
          <w:p>
            <w:pPr>
              <w:pStyle w:val="Compact"/>
              <w:jc w:val="left"/>
            </w:pPr>
            <w:r>
              <w:t xml:space="preserve">Entity mapping for client-specific customisations</w:t>
            </w:r>
          </w:p>
        </w:tc>
      </w:tr>
      <w:tr>
        <w:tc>
          <w:tcPr/>
          <w:p>
            <w:pPr>
              <w:pStyle w:val="Compact"/>
              <w:jc w:val="left"/>
            </w:pPr>
            <w:r>
              <w:t xml:space="preserve">QA / Data Tester</w:t>
            </w:r>
          </w:p>
        </w:tc>
        <w:tc>
          <w:tcPr/>
          <w:p>
            <w:pPr>
              <w:pStyle w:val="Compact"/>
              <w:jc w:val="left"/>
            </w:pPr>
            <w:r>
              <w:t xml:space="preserve">2</w:t>
            </w:r>
          </w:p>
        </w:tc>
        <w:tc>
          <w:tcPr/>
          <w:p>
            <w:pPr>
              <w:pStyle w:val="Compact"/>
              <w:jc w:val="left"/>
            </w:pPr>
            <w:r>
              <w:t xml:space="preserve">Reconciliation, DQ validation</w:t>
            </w:r>
          </w:p>
        </w:tc>
      </w:tr>
      <w:tr>
        <w:tc>
          <w:tcPr/>
          <w:p>
            <w:pPr>
              <w:pStyle w:val="Compact"/>
              <w:jc w:val="left"/>
            </w:pPr>
            <w:r>
              <w:t xml:space="preserve">Business Analyst</w:t>
            </w:r>
          </w:p>
        </w:tc>
        <w:tc>
          <w:tcPr/>
          <w:p>
            <w:pPr>
              <w:pStyle w:val="Compact"/>
              <w:jc w:val="left"/>
            </w:pPr>
            <w:r>
              <w:t xml:space="preserve">2</w:t>
            </w:r>
          </w:p>
        </w:tc>
        <w:tc>
          <w:tcPr/>
          <w:p>
            <w:pPr>
              <w:pStyle w:val="Compact"/>
              <w:jc w:val="left"/>
            </w:pPr>
            <w:r>
              <w:t xml:space="preserve">Requirements clarification, SQL view analysis</w:t>
            </w:r>
          </w:p>
        </w:tc>
      </w:tr>
      <w:tr>
        <w:tc>
          <w:tcPr/>
          <w:p>
            <w:pPr>
              <w:pStyle w:val="Compact"/>
              <w:jc w:val="left"/>
            </w:pPr>
            <w:r>
              <w:rPr>
                <w:bCs/>
                <w:b/>
              </w:rPr>
              <w:t xml:space="preserve">Phase 2 subtotal</w:t>
            </w:r>
          </w:p>
        </w:tc>
        <w:tc>
          <w:tcPr/>
          <w:p>
            <w:pPr>
              <w:pStyle w:val="Compact"/>
              <w:jc w:val="left"/>
            </w:pPr>
            <w:r>
              <w:rPr>
                <w:bCs/>
                <w:b/>
              </w:rPr>
              <w:t xml:space="preserve">11–13</w:t>
            </w:r>
          </w:p>
        </w:tc>
        <w:tc>
          <w:tcPr/>
          <w:p>
            <w:pPr>
              <w:pStyle w:val="Compact"/>
            </w:pPr>
          </w:p>
        </w:tc>
      </w:tr>
    </w:tbl>
    <w:bookmarkEnd w:id="61"/>
    <w:bookmarkStart w:id="62" w:name="phase-3-team"/>
    <w:p>
      <w:pPr>
        <w:pStyle w:val="Heading2"/>
      </w:pPr>
      <w:r>
        <w:t xml:space="preserve">11.3 Phase 3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Responsibilities</w:t>
            </w:r>
          </w:p>
        </w:tc>
      </w:tr>
      <w:tr>
        <w:tc>
          <w:tcPr/>
          <w:p>
            <w:pPr>
              <w:pStyle w:val="Compact"/>
              <w:jc w:val="left"/>
            </w:pPr>
            <w:r>
              <w:t xml:space="preserve">Data Architect / Data Modeller</w:t>
            </w:r>
          </w:p>
        </w:tc>
        <w:tc>
          <w:tcPr/>
          <w:p>
            <w:pPr>
              <w:pStyle w:val="Compact"/>
              <w:jc w:val="left"/>
            </w:pPr>
            <w:r>
              <w:t xml:space="preserve">3</w:t>
            </w:r>
          </w:p>
        </w:tc>
        <w:tc>
          <w:tcPr/>
          <w:p>
            <w:pPr>
              <w:pStyle w:val="Compact"/>
              <w:jc w:val="left"/>
            </w:pPr>
            <w:r>
              <w:t xml:space="preserve">Enterprise model design, bus matrix, conformed dimensions</w:t>
            </w:r>
          </w:p>
        </w:tc>
      </w:tr>
      <w:tr>
        <w:tc>
          <w:tcPr/>
          <w:p>
            <w:pPr>
              <w:pStyle w:val="Compact"/>
              <w:jc w:val="left"/>
            </w:pPr>
            <w:r>
              <w:t xml:space="preserve">Senior Data Engineer (Databricks)</w:t>
            </w:r>
          </w:p>
        </w:tc>
        <w:tc>
          <w:tcPr/>
          <w:p>
            <w:pPr>
              <w:pStyle w:val="Compact"/>
              <w:jc w:val="left"/>
            </w:pPr>
            <w:r>
              <w:t xml:space="preserve">2</w:t>
            </w:r>
          </w:p>
        </w:tc>
        <w:tc>
          <w:tcPr/>
          <w:p>
            <w:pPr>
              <w:pStyle w:val="Compact"/>
              <w:jc w:val="left"/>
            </w:pPr>
            <w:r>
              <w:t xml:space="preserve">Fact pipeline review, SCD logic verification</w:t>
            </w:r>
          </w:p>
        </w:tc>
      </w:tr>
      <w:tr>
        <w:tc>
          <w:tcPr/>
          <w:p>
            <w:pPr>
              <w:pStyle w:val="Compact"/>
              <w:jc w:val="left"/>
            </w:pPr>
            <w:r>
              <w:t xml:space="preserve">Data Engineer (Databricks)</w:t>
            </w:r>
          </w:p>
        </w:tc>
        <w:tc>
          <w:tcPr/>
          <w:p>
            <w:pPr>
              <w:pStyle w:val="Compact"/>
              <w:jc w:val="left"/>
            </w:pPr>
            <w:r>
              <w:t xml:space="preserve">3–4</w:t>
            </w:r>
          </w:p>
        </w:tc>
        <w:tc>
          <w:tcPr/>
          <w:p>
            <w:pPr>
              <w:pStyle w:val="Compact"/>
              <w:jc w:val="left"/>
            </w:pPr>
            <w:r>
              <w:t xml:space="preserve">AI-generated dim/fact implementation</w:t>
            </w:r>
          </w:p>
        </w:tc>
      </w:tr>
      <w:tr>
        <w:tc>
          <w:tcPr/>
          <w:p>
            <w:pPr>
              <w:pStyle w:val="Compact"/>
              <w:jc w:val="left"/>
            </w:pPr>
            <w:r>
              <w:t xml:space="preserve">D365 F&amp;O Functional Consultant</w:t>
            </w:r>
          </w:p>
        </w:tc>
        <w:tc>
          <w:tcPr/>
          <w:p>
            <w:pPr>
              <w:pStyle w:val="Compact"/>
              <w:jc w:val="left"/>
            </w:pPr>
            <w:r>
              <w:t xml:space="preserve">1</w:t>
            </w:r>
          </w:p>
        </w:tc>
        <w:tc>
          <w:tcPr/>
          <w:p>
            <w:pPr>
              <w:pStyle w:val="Compact"/>
              <w:jc w:val="left"/>
            </w:pPr>
            <w:r>
              <w:t xml:space="preserve">Business rule interpretation</w:t>
            </w:r>
          </w:p>
        </w:tc>
      </w:tr>
      <w:tr>
        <w:tc>
          <w:tcPr/>
          <w:p>
            <w:pPr>
              <w:pStyle w:val="Compact"/>
              <w:jc w:val="left"/>
            </w:pPr>
            <w:r>
              <w:t xml:space="preserve">QA / Data Tester</w:t>
            </w:r>
          </w:p>
        </w:tc>
        <w:tc>
          <w:tcPr/>
          <w:p>
            <w:pPr>
              <w:pStyle w:val="Compact"/>
              <w:jc w:val="left"/>
            </w:pPr>
            <w:r>
              <w:t xml:space="preserve">2</w:t>
            </w:r>
          </w:p>
        </w:tc>
        <w:tc>
          <w:tcPr/>
          <w:p>
            <w:pPr>
              <w:pStyle w:val="Compact"/>
              <w:jc w:val="left"/>
            </w:pPr>
            <w:r>
              <w:t xml:space="preserve">Reconciliation, business rule testing</w:t>
            </w:r>
          </w:p>
        </w:tc>
      </w:tr>
      <w:tr>
        <w:tc>
          <w:tcPr/>
          <w:p>
            <w:pPr>
              <w:pStyle w:val="Compact"/>
              <w:jc w:val="left"/>
            </w:pPr>
            <w:r>
              <w:t xml:space="preserve">Business Analyst</w:t>
            </w:r>
          </w:p>
        </w:tc>
        <w:tc>
          <w:tcPr/>
          <w:p>
            <w:pPr>
              <w:pStyle w:val="Compact"/>
              <w:jc w:val="left"/>
            </w:pPr>
            <w:r>
              <w:t xml:space="preserve">2</w:t>
            </w:r>
          </w:p>
        </w:tc>
        <w:tc>
          <w:tcPr/>
          <w:p>
            <w:pPr>
              <w:pStyle w:val="Compact"/>
              <w:jc w:val="left"/>
            </w:pPr>
            <w:r>
              <w:t xml:space="preserve">Domain workshops, design validation</w:t>
            </w:r>
          </w:p>
        </w:tc>
      </w:tr>
      <w:tr>
        <w:tc>
          <w:tcPr/>
          <w:p>
            <w:pPr>
              <w:pStyle w:val="Compact"/>
              <w:jc w:val="left"/>
            </w:pPr>
            <w:r>
              <w:rPr>
                <w:bCs/>
                <w:b/>
              </w:rPr>
              <w:t xml:space="preserve">Phase 3 subtotal</w:t>
            </w:r>
          </w:p>
        </w:tc>
        <w:tc>
          <w:tcPr/>
          <w:p>
            <w:pPr>
              <w:pStyle w:val="Compact"/>
              <w:jc w:val="left"/>
            </w:pPr>
            <w:r>
              <w:rPr>
                <w:bCs/>
                <w:b/>
              </w:rPr>
              <w:t xml:space="preserve">13–14</w:t>
            </w:r>
          </w:p>
        </w:tc>
        <w:tc>
          <w:tcPr/>
          <w:p>
            <w:pPr>
              <w:pStyle w:val="Compact"/>
            </w:pPr>
          </w:p>
        </w:tc>
      </w:tr>
    </w:tbl>
    <w:bookmarkEnd w:id="62"/>
    <w:bookmarkStart w:id="63" w:name="phase-4-team"/>
    <w:p>
      <w:pPr>
        <w:pStyle w:val="Heading2"/>
      </w:pPr>
      <w:r>
        <w:t xml:space="preserve">11.4 Phase 4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Responsibilities</w:t>
            </w:r>
          </w:p>
        </w:tc>
      </w:tr>
      <w:tr>
        <w:tc>
          <w:tcPr/>
          <w:p>
            <w:pPr>
              <w:pStyle w:val="Compact"/>
              <w:jc w:val="left"/>
            </w:pPr>
            <w:r>
              <w:t xml:space="preserve">Data Architect</w:t>
            </w:r>
          </w:p>
        </w:tc>
        <w:tc>
          <w:tcPr/>
          <w:p>
            <w:pPr>
              <w:pStyle w:val="Compact"/>
              <w:jc w:val="left"/>
            </w:pPr>
            <w:r>
              <w:t xml:space="preserve">1</w:t>
            </w:r>
          </w:p>
        </w:tc>
        <w:tc>
          <w:tcPr/>
          <w:p>
            <w:pPr>
              <w:pStyle w:val="Compact"/>
              <w:jc w:val="left"/>
            </w:pPr>
            <w:r>
              <w:t xml:space="preserve">OBT design, optimization strategy</w:t>
            </w:r>
          </w:p>
        </w:tc>
      </w:tr>
      <w:tr>
        <w:tc>
          <w:tcPr/>
          <w:p>
            <w:pPr>
              <w:pStyle w:val="Compact"/>
              <w:jc w:val="left"/>
            </w:pPr>
            <w:r>
              <w:t xml:space="preserve">Senior Data Engineer (Databricks)</w:t>
            </w:r>
          </w:p>
        </w:tc>
        <w:tc>
          <w:tcPr/>
          <w:p>
            <w:pPr>
              <w:pStyle w:val="Compact"/>
              <w:jc w:val="left"/>
            </w:pPr>
            <w:r>
              <w:t xml:space="preserve">2</w:t>
            </w:r>
          </w:p>
        </w:tc>
        <w:tc>
          <w:tcPr/>
          <w:p>
            <w:pPr>
              <w:pStyle w:val="Compact"/>
              <w:jc w:val="left"/>
            </w:pPr>
            <w:r>
              <w:t xml:space="preserve">OBT construction, performance tuning</w:t>
            </w:r>
          </w:p>
        </w:tc>
      </w:tr>
      <w:tr>
        <w:tc>
          <w:tcPr/>
          <w:p>
            <w:pPr>
              <w:pStyle w:val="Compact"/>
              <w:jc w:val="left"/>
            </w:pPr>
            <w:r>
              <w:t xml:space="preserve">Data Engineer (Databricks)</w:t>
            </w:r>
          </w:p>
        </w:tc>
        <w:tc>
          <w:tcPr/>
          <w:p>
            <w:pPr>
              <w:pStyle w:val="Compact"/>
              <w:jc w:val="left"/>
            </w:pPr>
            <w:r>
              <w:t xml:space="preserve">3</w:t>
            </w:r>
          </w:p>
        </w:tc>
        <w:tc>
          <w:tcPr/>
          <w:p>
            <w:pPr>
              <w:pStyle w:val="Compact"/>
              <w:jc w:val="left"/>
            </w:pPr>
            <w:r>
              <w:t xml:space="preserve">AI-scaffolded OBT implementation</w:t>
            </w:r>
          </w:p>
        </w:tc>
      </w:tr>
      <w:tr>
        <w:tc>
          <w:tcPr/>
          <w:p>
            <w:pPr>
              <w:pStyle w:val="Compact"/>
              <w:jc w:val="left"/>
            </w:pPr>
            <w:r>
              <w:t xml:space="preserve">QA / Data Tester</w:t>
            </w:r>
          </w:p>
        </w:tc>
        <w:tc>
          <w:tcPr/>
          <w:p>
            <w:pPr>
              <w:pStyle w:val="Compact"/>
              <w:jc w:val="left"/>
            </w:pPr>
            <w:r>
              <w:t xml:space="preserve">1–2</w:t>
            </w:r>
          </w:p>
        </w:tc>
        <w:tc>
          <w:tcPr/>
          <w:p>
            <w:pPr>
              <w:pStyle w:val="Compact"/>
              <w:jc w:val="left"/>
            </w:pPr>
            <w:r>
              <w:t xml:space="preserve">Validation, reconciliation</w:t>
            </w:r>
          </w:p>
        </w:tc>
      </w:tr>
      <w:tr>
        <w:tc>
          <w:tcPr/>
          <w:p>
            <w:pPr>
              <w:pStyle w:val="Compact"/>
              <w:jc w:val="left"/>
            </w:pPr>
            <w:r>
              <w:rPr>
                <w:bCs/>
                <w:b/>
              </w:rPr>
              <w:t xml:space="preserve">Phase 4 subtotal</w:t>
            </w:r>
          </w:p>
        </w:tc>
        <w:tc>
          <w:tcPr/>
          <w:p>
            <w:pPr>
              <w:pStyle w:val="Compact"/>
              <w:jc w:val="left"/>
            </w:pPr>
            <w:r>
              <w:rPr>
                <w:bCs/>
                <w:b/>
              </w:rPr>
              <w:t xml:space="preserve">7–8</w:t>
            </w:r>
          </w:p>
        </w:tc>
        <w:tc>
          <w:tcPr/>
          <w:p>
            <w:pPr>
              <w:pStyle w:val="Compact"/>
            </w:pPr>
          </w:p>
        </w:tc>
      </w:tr>
    </w:tbl>
    <w:bookmarkEnd w:id="63"/>
    <w:bookmarkStart w:id="64" w:name="phase-5-team"/>
    <w:p>
      <w:pPr>
        <w:pStyle w:val="Heading2"/>
      </w:pPr>
      <w:r>
        <w:t xml:space="preserve">11.5 Phase 5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Responsibilities</w:t>
            </w:r>
          </w:p>
        </w:tc>
      </w:tr>
      <w:tr>
        <w:tc>
          <w:tcPr/>
          <w:p>
            <w:pPr>
              <w:pStyle w:val="Compact"/>
              <w:jc w:val="left"/>
            </w:pPr>
            <w:r>
              <w:t xml:space="preserve">Senior Data Engineer</w:t>
            </w:r>
          </w:p>
        </w:tc>
        <w:tc>
          <w:tcPr/>
          <w:p>
            <w:pPr>
              <w:pStyle w:val="Compact"/>
              <w:jc w:val="left"/>
            </w:pPr>
            <w:r>
              <w:t xml:space="preserve">4</w:t>
            </w:r>
          </w:p>
        </w:tc>
        <w:tc>
          <w:tcPr/>
          <w:p>
            <w:pPr>
              <w:pStyle w:val="Compact"/>
              <w:jc w:val="left"/>
            </w:pPr>
            <w:r>
              <w:t xml:space="preserve">Complex insight logic, AI-generated code review, mentoring</w:t>
            </w:r>
          </w:p>
        </w:tc>
      </w:tr>
      <w:tr>
        <w:tc>
          <w:tcPr/>
          <w:p>
            <w:pPr>
              <w:pStyle w:val="Compact"/>
              <w:jc w:val="left"/>
            </w:pPr>
            <w:r>
              <w:t xml:space="preserve">Data Engineer</w:t>
            </w:r>
          </w:p>
        </w:tc>
        <w:tc>
          <w:tcPr/>
          <w:p>
            <w:pPr>
              <w:pStyle w:val="Compact"/>
              <w:jc w:val="left"/>
            </w:pPr>
            <w:r>
              <w:t xml:space="preserve">10–12</w:t>
            </w:r>
          </w:p>
        </w:tc>
        <w:tc>
          <w:tcPr/>
          <w:p>
            <w:pPr>
              <w:pStyle w:val="Compact"/>
              <w:jc w:val="left"/>
            </w:pPr>
            <w:r>
              <w:t xml:space="preserve">AI-assisted insight development at scale</w:t>
            </w:r>
          </w:p>
        </w:tc>
      </w:tr>
      <w:tr>
        <w:tc>
          <w:tcPr/>
          <w:p>
            <w:pPr>
              <w:pStyle w:val="Compact"/>
              <w:jc w:val="left"/>
            </w:pPr>
            <w:r>
              <w:t xml:space="preserve">Business Analyst</w:t>
            </w:r>
          </w:p>
        </w:tc>
        <w:tc>
          <w:tcPr/>
          <w:p>
            <w:pPr>
              <w:pStyle w:val="Compact"/>
              <w:jc w:val="left"/>
            </w:pPr>
            <w:r>
              <w:t xml:space="preserve">3</w:t>
            </w:r>
          </w:p>
        </w:tc>
        <w:tc>
          <w:tcPr/>
          <w:p>
            <w:pPr>
              <w:pStyle w:val="Compact"/>
              <w:jc w:val="left"/>
            </w:pPr>
            <w:r>
              <w:t xml:space="preserve">Requirement interpretation, business user liaison, UAT coordination</w:t>
            </w:r>
          </w:p>
        </w:tc>
      </w:tr>
      <w:tr>
        <w:tc>
          <w:tcPr/>
          <w:p>
            <w:pPr>
              <w:pStyle w:val="Compact"/>
              <w:jc w:val="left"/>
            </w:pPr>
            <w:r>
              <w:t xml:space="preserve">QA / Data Tester</w:t>
            </w:r>
          </w:p>
        </w:tc>
        <w:tc>
          <w:tcPr/>
          <w:p>
            <w:pPr>
              <w:pStyle w:val="Compact"/>
              <w:jc w:val="left"/>
            </w:pPr>
            <w:r>
              <w:t xml:space="preserve">3</w:t>
            </w:r>
          </w:p>
        </w:tc>
        <w:tc>
          <w:tcPr/>
          <w:p>
            <w:pPr>
              <w:pStyle w:val="Compact"/>
              <w:jc w:val="left"/>
            </w:pPr>
            <w:r>
              <w:t xml:space="preserve">Insight validation, UAT support</w:t>
            </w:r>
          </w:p>
        </w:tc>
      </w:tr>
      <w:tr>
        <w:tc>
          <w:tcPr/>
          <w:p>
            <w:pPr>
              <w:pStyle w:val="Compact"/>
              <w:jc w:val="left"/>
            </w:pPr>
            <w:r>
              <w:t xml:space="preserve">D365 F&amp;O Functional Consultant</w:t>
            </w:r>
          </w:p>
        </w:tc>
        <w:tc>
          <w:tcPr/>
          <w:p>
            <w:pPr>
              <w:pStyle w:val="Compact"/>
              <w:jc w:val="left"/>
            </w:pPr>
            <w:r>
              <w:t xml:space="preserve">2</w:t>
            </w:r>
          </w:p>
        </w:tc>
        <w:tc>
          <w:tcPr/>
          <w:p>
            <w:pPr>
              <w:pStyle w:val="Compact"/>
              <w:jc w:val="left"/>
            </w:pPr>
            <w:r>
              <w:t xml:space="preserve">Business rule clarification during implementation</w:t>
            </w:r>
          </w:p>
        </w:tc>
      </w:tr>
      <w:tr>
        <w:tc>
          <w:tcPr/>
          <w:p>
            <w:pPr>
              <w:pStyle w:val="Compact"/>
              <w:jc w:val="left"/>
            </w:pPr>
            <w:r>
              <w:rPr>
                <w:bCs/>
                <w:b/>
              </w:rPr>
              <w:t xml:space="preserve">Phase 5 subtotal</w:t>
            </w:r>
          </w:p>
        </w:tc>
        <w:tc>
          <w:tcPr/>
          <w:p>
            <w:pPr>
              <w:pStyle w:val="Compact"/>
              <w:jc w:val="left"/>
            </w:pPr>
            <w:r>
              <w:rPr>
                <w:bCs/>
                <w:b/>
              </w:rPr>
              <w:t xml:space="preserve">22–24</w:t>
            </w:r>
          </w:p>
        </w:tc>
        <w:tc>
          <w:tcPr/>
          <w:p>
            <w:pPr>
              <w:pStyle w:val="Compact"/>
            </w:pPr>
          </w:p>
        </w:tc>
      </w:tr>
    </w:tbl>
    <w:bookmarkEnd w:id="64"/>
    <w:bookmarkStart w:id="65" w:name="cross-cutting-full-duration"/>
    <w:p>
      <w:pPr>
        <w:pStyle w:val="Heading2"/>
      </w:pPr>
      <w:r>
        <w:t xml:space="preserve">11.6 Cross-Cutting (Full Duration)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Duration</w:t>
            </w:r>
          </w:p>
        </w:tc>
      </w:tr>
      <w:tr>
        <w:tc>
          <w:tcPr/>
          <w:p>
            <w:pPr>
              <w:pStyle w:val="Compact"/>
              <w:jc w:val="left"/>
            </w:pPr>
            <w:r>
              <w:t xml:space="preserve">Solution Architect</w:t>
            </w:r>
          </w:p>
        </w:tc>
        <w:tc>
          <w:tcPr/>
          <w:p>
            <w:pPr>
              <w:pStyle w:val="Compact"/>
              <w:jc w:val="left"/>
            </w:pPr>
            <w:r>
              <w:t xml:space="preserve">2</w:t>
            </w:r>
          </w:p>
        </w:tc>
        <w:tc>
          <w:tcPr/>
          <w:p>
            <w:pPr>
              <w:pStyle w:val="Compact"/>
              <w:jc w:val="left"/>
            </w:pPr>
            <w:r>
              <w:t xml:space="preserve">Months 1–9</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Months 1–9</w:t>
            </w:r>
          </w:p>
        </w:tc>
      </w:tr>
      <w:tr>
        <w:tc>
          <w:tcPr/>
          <w:p>
            <w:pPr>
              <w:pStyle w:val="Compact"/>
              <w:jc w:val="left"/>
            </w:pPr>
            <w:r>
              <w:t xml:space="preserve">Scrum Master / Delivery Lead</w:t>
            </w:r>
          </w:p>
        </w:tc>
        <w:tc>
          <w:tcPr/>
          <w:p>
            <w:pPr>
              <w:pStyle w:val="Compact"/>
              <w:jc w:val="left"/>
            </w:pPr>
            <w:r>
              <w:t xml:space="preserve">1</w:t>
            </w:r>
          </w:p>
        </w:tc>
        <w:tc>
          <w:tcPr/>
          <w:p>
            <w:pPr>
              <w:pStyle w:val="Compact"/>
              <w:jc w:val="left"/>
            </w:pPr>
            <w:r>
              <w:t xml:space="preserve">Months 1–9</w:t>
            </w:r>
          </w:p>
        </w:tc>
      </w:tr>
    </w:tbl>
    <w:p>
      <w:r>
        <w:pict>
          <v:rect style="width:0;height:1.5pt" o:hralign="center" o:hrstd="t" o:hr="t"/>
        </w:pict>
      </w:r>
    </w:p>
    <w:bookmarkEnd w:id="65"/>
    <w:bookmarkEnd w:id="66"/>
    <w:bookmarkStart w:id="70" w:name="X4c9a7b02234ae48f6fb5bcb6949b9cc95643211"/>
    <w:p>
      <w:pPr>
        <w:pStyle w:val="Heading1"/>
      </w:pPr>
      <w:r>
        <w:t xml:space="preserve">12. Phase Dependencies, Parallelism, and Schedule</w:t>
      </w:r>
    </w:p>
    <w:bookmarkStart w:id="67" w:name="dependency-chain-unchanged"/>
    <w:p>
      <w:pPr>
        <w:pStyle w:val="Heading2"/>
      </w:pPr>
      <w:r>
        <w:t xml:space="preserve">12.1 Dependency Chain (Unchanged)</w:t>
      </w:r>
    </w:p>
    <w:p>
      <w:pPr>
        <w:pStyle w:val="FirstParagraph"/>
      </w:pPr>
      <w:r>
        <w:t xml:space="preserve">Phase 1 must complete before Phase 2 begins. Within Phases 2–5, significant overlap is possible.</w:t>
      </w:r>
    </w:p>
    <w:p>
      <w:pPr>
        <w:numPr>
          <w:ilvl w:val="0"/>
          <w:numId w:val="1009"/>
        </w:numPr>
        <w:pStyle w:val="Compact"/>
      </w:pPr>
      <w:r>
        <w:t xml:space="preserve">Phase 1 → Phase 2: All 12,000 questionnaires must be reviewed, clarified, and marked ready. Phase 1 runs Weeks 1–6.</w:t>
      </w:r>
    </w:p>
    <w:p>
      <w:pPr>
        <w:numPr>
          <w:ilvl w:val="0"/>
          <w:numId w:val="1009"/>
        </w:numPr>
        <w:pStyle w:val="Compact"/>
      </w:pPr>
      <w:r>
        <w:t xml:space="preserve">Phase 2 → Phase 3: Once the first cohort of Silver tables is validated (~Month 2), dimensional modeling for that domain can start.</w:t>
      </w:r>
    </w:p>
    <w:p>
      <w:pPr>
        <w:numPr>
          <w:ilvl w:val="0"/>
          <w:numId w:val="1009"/>
        </w:numPr>
        <w:pStyle w:val="Compact"/>
      </w:pPr>
      <w:r>
        <w:t xml:space="preserve">Phase 3 → Phase 4: Once dimensions and facts for a domain are complete, OBT construction begins. Phase 4 begins Month 4.</w:t>
      </w:r>
    </w:p>
    <w:p>
      <w:pPr>
        <w:numPr>
          <w:ilvl w:val="0"/>
          <w:numId w:val="1009"/>
        </w:numPr>
        <w:pStyle w:val="Compact"/>
      </w:pPr>
      <w:r>
        <w:t xml:space="preserve">Phase 4 → Phase 5: Once the first OBTs are validated, insight implementation begins. Phase 5 begins Month 5.</w:t>
      </w:r>
    </w:p>
    <w:p>
      <w:pPr>
        <w:numPr>
          <w:ilvl w:val="0"/>
          <w:numId w:val="1009"/>
        </w:numPr>
        <w:pStyle w:val="Compact"/>
      </w:pPr>
      <w:r>
        <w:t xml:space="preserve">Phase 5 UAT: Runs in waves starting Month 6, final UAT completing Month 9.</w:t>
      </w:r>
    </w:p>
    <w:bookmarkEnd w:id="67"/>
    <w:bookmarkStart w:id="68" w:name="schedule-overview"/>
    <w:p>
      <w:pPr>
        <w:pStyle w:val="Heading2"/>
      </w:pPr>
      <w:r>
        <w:t xml:space="preserve">12.2 Schedule Overview</w:t>
      </w:r>
    </w:p>
    <w:p>
      <w:pPr>
        <w:pStyle w:val="FirstParagraph"/>
      </w:pPr>
      <w:r>
        <w:t xml:space="preserve">Phase 1 runs across Weeks 1–6; Phases 2–5 run across Months 1–9 of the implementation program.</w:t>
      </w:r>
    </w:p>
    <w:tbl>
      <w:tblPr>
        <w:tblStyle w:val="Table"/>
        <w:tblW w:type="pct" w:w="5000"/>
        <w:tblLook w:firstRow="1" w:lastRow="0" w:firstColumn="0" w:lastColumn="0" w:noHBand="0" w:noVBand="0" w:val="0020"/>
        <w:jc w:val="start"/>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rPr>
        <w:tc>
          <w:tcPr/>
          <w:p>
            <w:pPr>
              <w:pStyle w:val="Compact"/>
              <w:jc w:val="left"/>
            </w:pPr>
            <w:r>
              <w:t xml:space="preserve">Phase</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c>
          <w:tcPr/>
          <w:p>
            <w:pPr>
              <w:pStyle w:val="Compact"/>
              <w:jc w:val="left"/>
            </w:pPr>
            <w:r>
              <w:t xml:space="preserve">W4</w:t>
            </w:r>
          </w:p>
        </w:tc>
        <w:tc>
          <w:tcPr/>
          <w:p>
            <w:pPr>
              <w:pStyle w:val="Compact"/>
              <w:jc w:val="left"/>
            </w:pPr>
            <w:r>
              <w:t xml:space="preserve">W5</w:t>
            </w:r>
          </w:p>
        </w:tc>
        <w:tc>
          <w:tcPr/>
          <w:p>
            <w:pPr>
              <w:pStyle w:val="Compact"/>
              <w:jc w:val="left"/>
            </w:pPr>
            <w:r>
              <w:t xml:space="preserve">W6</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M4</w:t>
            </w:r>
          </w:p>
        </w:tc>
        <w:tc>
          <w:tcPr/>
          <w:p>
            <w:pPr>
              <w:pStyle w:val="Compact"/>
              <w:jc w:val="left"/>
            </w:pPr>
            <w:r>
              <w:t xml:space="preserve">M5</w:t>
            </w:r>
          </w:p>
        </w:tc>
        <w:tc>
          <w:tcPr/>
          <w:p>
            <w:pPr>
              <w:pStyle w:val="Compact"/>
              <w:jc w:val="left"/>
            </w:pPr>
            <w:r>
              <w:t xml:space="preserve">M6</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r>
      <w:tr>
        <w:tc>
          <w:tcPr/>
          <w:p>
            <w:pPr>
              <w:pStyle w:val="Compact"/>
              <w:jc w:val="left"/>
            </w:pPr>
            <w:r>
              <w:t xml:space="preserve">Phase 1 — Insight Review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Phase 2 — Raw &amp; Silver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Phase 3 — Dimensional Model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Phase 4 — OBT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Phase 5 — Insight Development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Phase 5 — UAT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 = full activity; ◐ = ramping up or winding down; (blank) = not active</w:t>
      </w:r>
    </w:p>
    <w:bookmarkEnd w:id="68"/>
    <w:bookmarkStart w:id="69" w:name="key-milestones"/>
    <w:p>
      <w:pPr>
        <w:pStyle w:val="Heading2"/>
      </w:pPr>
      <w:r>
        <w:t xml:space="preserve">12.3 Key Milestones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Milestone</w:t>
            </w:r>
          </w:p>
        </w:tc>
        <w:tc>
          <w:tcPr/>
          <w:p>
            <w:pPr>
              <w:pStyle w:val="Compact"/>
              <w:jc w:val="left"/>
            </w:pPr>
            <w:r>
              <w:t xml:space="preserve">Target</w:t>
            </w:r>
          </w:p>
        </w:tc>
      </w:tr>
      <w:tr>
        <w:tc>
          <w:tcPr/>
          <w:p>
            <w:pPr>
              <w:pStyle w:val="Compact"/>
              <w:jc w:val="left"/>
            </w:pPr>
            <w:r>
              <w:t xml:space="preserve">Phase 1 kickoff; reviewer team onboarded</w:t>
            </w:r>
          </w:p>
        </w:tc>
        <w:tc>
          <w:tcPr/>
          <w:p>
            <w:pPr>
              <w:pStyle w:val="Compact"/>
              <w:jc w:val="left"/>
            </w:pPr>
            <w:r>
              <w:t xml:space="preserve">Week 1</w:t>
            </w:r>
          </w:p>
        </w:tc>
      </w:tr>
      <w:tr>
        <w:tc>
          <w:tcPr/>
          <w:p>
            <w:pPr>
              <w:pStyle w:val="Compact"/>
              <w:jc w:val="left"/>
            </w:pPr>
            <w:r>
              <w:t xml:space="preserve">50% of questionnaires reviewed</w:t>
            </w:r>
          </w:p>
        </w:tc>
        <w:tc>
          <w:tcPr/>
          <w:p>
            <w:pPr>
              <w:pStyle w:val="Compact"/>
              <w:jc w:val="left"/>
            </w:pPr>
            <w:r>
              <w:t xml:space="preserve">End of Week 3</w:t>
            </w:r>
          </w:p>
        </w:tc>
      </w:tr>
      <w:tr>
        <w:tc>
          <w:tcPr/>
          <w:p>
            <w:pPr>
              <w:pStyle w:val="Compact"/>
              <w:jc w:val="left"/>
            </w:pPr>
            <w:r>
              <w:t xml:space="preserve">100% of questionnaires marked ready for technical analysis</w:t>
            </w:r>
          </w:p>
        </w:tc>
        <w:tc>
          <w:tcPr/>
          <w:p>
            <w:pPr>
              <w:pStyle w:val="Compact"/>
              <w:jc w:val="left"/>
            </w:pPr>
            <w:r>
              <w:t xml:space="preserve">End of Week 6</w:t>
            </w:r>
          </w:p>
        </w:tc>
      </w:tr>
      <w:tr>
        <w:tc>
          <w:tcPr/>
          <w:p>
            <w:pPr>
              <w:pStyle w:val="Compact"/>
              <w:jc w:val="left"/>
            </w:pPr>
            <w:r>
              <w:t xml:space="preserve">Phase 2 kickoff; D365 connector configured; discovery spike complete</w:t>
            </w:r>
          </w:p>
        </w:tc>
        <w:tc>
          <w:tcPr/>
          <w:p>
            <w:pPr>
              <w:pStyle w:val="Compact"/>
              <w:jc w:val="left"/>
            </w:pPr>
            <w:r>
              <w:t xml:space="preserve">End of Month 1</w:t>
            </w:r>
          </w:p>
        </w:tc>
      </w:tr>
      <w:tr>
        <w:tc>
          <w:tcPr/>
          <w:p>
            <w:pPr>
              <w:pStyle w:val="Compact"/>
              <w:jc w:val="left"/>
            </w:pPr>
            <w:r>
              <w:t xml:space="preserve">FastTrack pattern port to Databricks complete</w:t>
            </w:r>
          </w:p>
        </w:tc>
        <w:tc>
          <w:tcPr/>
          <w:p>
            <w:pPr>
              <w:pStyle w:val="Compact"/>
              <w:jc w:val="left"/>
            </w:pPr>
            <w:r>
              <w:t xml:space="preserve">Month 2</w:t>
            </w:r>
          </w:p>
        </w:tc>
      </w:tr>
      <w:tr>
        <w:tc>
          <w:tcPr/>
          <w:p>
            <w:pPr>
              <w:pStyle w:val="Compact"/>
              <w:jc w:val="left"/>
            </w:pPr>
            <w:r>
              <w:t xml:space="preserve">Raw layer live for all entities (connector-driven)</w:t>
            </w:r>
          </w:p>
        </w:tc>
        <w:tc>
          <w:tcPr/>
          <w:p>
            <w:pPr>
              <w:pStyle w:val="Compact"/>
              <w:jc w:val="left"/>
            </w:pPr>
            <w:r>
              <w:t xml:space="preserve">Month 2</w:t>
            </w:r>
          </w:p>
        </w:tc>
      </w:tr>
      <w:tr>
        <w:tc>
          <w:tcPr/>
          <w:p>
            <w:pPr>
              <w:pStyle w:val="Compact"/>
              <w:jc w:val="left"/>
            </w:pPr>
            <w:r>
              <w:t xml:space="preserve">Silver layer complete for all entities</w:t>
            </w:r>
          </w:p>
        </w:tc>
        <w:tc>
          <w:tcPr/>
          <w:p>
            <w:pPr>
              <w:pStyle w:val="Compact"/>
              <w:jc w:val="left"/>
            </w:pPr>
            <w:r>
              <w:t xml:space="preserve">Month 4</w:t>
            </w:r>
          </w:p>
        </w:tc>
      </w:tr>
      <w:tr>
        <w:tc>
          <w:tcPr/>
          <w:p>
            <w:pPr>
              <w:pStyle w:val="Compact"/>
              <w:jc w:val="left"/>
            </w:pPr>
            <w:r>
              <w:t xml:space="preserve">Enterprise dimensional model design approved</w:t>
            </w:r>
          </w:p>
        </w:tc>
        <w:tc>
          <w:tcPr/>
          <w:p>
            <w:pPr>
              <w:pStyle w:val="Compact"/>
              <w:jc w:val="left"/>
            </w:pPr>
            <w:r>
              <w:t xml:space="preserve">Month 3</w:t>
            </w:r>
          </w:p>
        </w:tc>
      </w:tr>
      <w:tr>
        <w:tc>
          <w:tcPr/>
          <w:p>
            <w:pPr>
              <w:pStyle w:val="Compact"/>
              <w:jc w:val="left"/>
            </w:pPr>
            <w:r>
              <w:t xml:space="preserve">All dimension and fact tables loaded and validated</w:t>
            </w:r>
          </w:p>
        </w:tc>
        <w:tc>
          <w:tcPr/>
          <w:p>
            <w:pPr>
              <w:pStyle w:val="Compact"/>
              <w:jc w:val="left"/>
            </w:pPr>
            <w:r>
              <w:t xml:space="preserve">Month 5</w:t>
            </w:r>
          </w:p>
        </w:tc>
      </w:tr>
      <w:tr>
        <w:tc>
          <w:tcPr/>
          <w:p>
            <w:pPr>
              <w:pStyle w:val="Compact"/>
              <w:jc w:val="left"/>
            </w:pPr>
            <w:r>
              <w:t xml:space="preserve">All OBTs built and validated</w:t>
            </w:r>
          </w:p>
        </w:tc>
        <w:tc>
          <w:tcPr/>
          <w:p>
            <w:pPr>
              <w:pStyle w:val="Compact"/>
              <w:jc w:val="left"/>
            </w:pPr>
            <w:r>
              <w:t xml:space="preserve">Month 6</w:t>
            </w:r>
          </w:p>
        </w:tc>
      </w:tr>
      <w:tr>
        <w:tc>
          <w:tcPr/>
          <w:p>
            <w:pPr>
              <w:pStyle w:val="Compact"/>
              <w:jc w:val="left"/>
            </w:pPr>
            <w:r>
              <w:t xml:space="preserve">AI agent priming complete</w:t>
            </w:r>
          </w:p>
        </w:tc>
        <w:tc>
          <w:tcPr/>
          <w:p>
            <w:pPr>
              <w:pStyle w:val="Compact"/>
              <w:jc w:val="left"/>
            </w:pPr>
            <w:r>
              <w:t xml:space="preserve">End of Month 4</w:t>
            </w:r>
          </w:p>
        </w:tc>
      </w:tr>
      <w:tr>
        <w:tc>
          <w:tcPr/>
          <w:p>
            <w:pPr>
              <w:pStyle w:val="Compact"/>
              <w:jc w:val="left"/>
            </w:pPr>
            <w:r>
              <w:t xml:space="preserve">50% of business insights implemented</w:t>
            </w:r>
          </w:p>
        </w:tc>
        <w:tc>
          <w:tcPr/>
          <w:p>
            <w:pPr>
              <w:pStyle w:val="Compact"/>
              <w:jc w:val="left"/>
            </w:pPr>
            <w:r>
              <w:t xml:space="preserve">Month 7</w:t>
            </w:r>
          </w:p>
        </w:tc>
      </w:tr>
      <w:tr>
        <w:tc>
          <w:tcPr/>
          <w:p>
            <w:pPr>
              <w:pStyle w:val="Compact"/>
              <w:jc w:val="left"/>
            </w:pPr>
            <w:r>
              <w:t xml:space="preserve">100% of business insights implemented</w:t>
            </w:r>
          </w:p>
        </w:tc>
        <w:tc>
          <w:tcPr/>
          <w:p>
            <w:pPr>
              <w:pStyle w:val="Compact"/>
              <w:jc w:val="left"/>
            </w:pPr>
            <w:r>
              <w:t xml:space="preserve">Month 8</w:t>
            </w:r>
          </w:p>
        </w:tc>
      </w:tr>
      <w:tr>
        <w:tc>
          <w:tcPr/>
          <w:p>
            <w:pPr>
              <w:pStyle w:val="Compact"/>
              <w:jc w:val="left"/>
            </w:pPr>
            <w:r>
              <w:t xml:space="preserve">UAT complete, sign-off obtained</w:t>
            </w:r>
          </w:p>
        </w:tc>
        <w:tc>
          <w:tcPr/>
          <w:p>
            <w:pPr>
              <w:pStyle w:val="Compact"/>
              <w:jc w:val="left"/>
            </w:pPr>
            <w:r>
              <w:t xml:space="preserve">Month 9</w:t>
            </w:r>
          </w:p>
        </w:tc>
      </w:tr>
    </w:tbl>
    <w:p>
      <w:r>
        <w:pict>
          <v:rect style="width:0;height:1.5pt" o:hralign="center" o:hrstd="t" o:hr="t"/>
        </w:pict>
      </w:r>
    </w:p>
    <w:bookmarkEnd w:id="69"/>
    <w:bookmarkEnd w:id="70"/>
    <w:bookmarkStart w:id="74" w:name="resource-ramp-up-and-ramp-down-plan"/>
    <w:p>
      <w:pPr>
        <w:pStyle w:val="Heading1"/>
      </w:pPr>
      <w:r>
        <w:t xml:space="preserve">13. Resource Ramp-Up and Ramp-Down Plan</w:t>
      </w:r>
    </w:p>
    <w:bookmarkStart w:id="71" w:name="phase-1-staffing-weeks-16"/>
    <w:p>
      <w:pPr>
        <w:pStyle w:val="Heading2"/>
      </w:pPr>
      <w:r>
        <w:t xml:space="preserve">13.1 Phase 1 Staffing (Weeks 1–6)</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Role</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c>
          <w:tcPr/>
          <w:p>
            <w:pPr>
              <w:pStyle w:val="Compact"/>
              <w:jc w:val="left"/>
            </w:pPr>
            <w:r>
              <w:t xml:space="preserve">W4</w:t>
            </w:r>
          </w:p>
        </w:tc>
        <w:tc>
          <w:tcPr/>
          <w:p>
            <w:pPr>
              <w:pStyle w:val="Compact"/>
              <w:jc w:val="left"/>
            </w:pPr>
            <w:r>
              <w:t xml:space="preserve">W5</w:t>
            </w:r>
          </w:p>
        </w:tc>
        <w:tc>
          <w:tcPr/>
          <w:p>
            <w:pPr>
              <w:pStyle w:val="Compact"/>
              <w:jc w:val="left"/>
            </w:pPr>
            <w:r>
              <w:t xml:space="preserve">W6</w:t>
            </w:r>
          </w:p>
        </w:tc>
      </w:tr>
      <w:tr>
        <w:tc>
          <w:tcPr/>
          <w:p>
            <w:pPr>
              <w:pStyle w:val="Compact"/>
              <w:jc w:val="left"/>
            </w:pPr>
            <w:r>
              <w:t xml:space="preserve">Data Engineer (Reviewer)</w:t>
            </w:r>
          </w:p>
        </w:tc>
        <w:tc>
          <w:tcPr/>
          <w:p>
            <w:pPr>
              <w:pStyle w:val="Compact"/>
              <w:jc w:val="left"/>
            </w:pPr>
            <w:r>
              <w:t xml:space="preserve">18</w:t>
            </w:r>
          </w:p>
        </w:tc>
        <w:tc>
          <w:tcPr/>
          <w:p>
            <w:pPr>
              <w:pStyle w:val="Compact"/>
              <w:jc w:val="left"/>
            </w:pPr>
            <w:r>
              <w:t xml:space="preserve">32</w:t>
            </w:r>
          </w:p>
        </w:tc>
        <w:tc>
          <w:tcPr/>
          <w:p>
            <w:pPr>
              <w:pStyle w:val="Compact"/>
              <w:jc w:val="left"/>
            </w:pPr>
            <w:r>
              <w:t xml:space="preserve">32</w:t>
            </w:r>
          </w:p>
        </w:tc>
        <w:tc>
          <w:tcPr/>
          <w:p>
            <w:pPr>
              <w:pStyle w:val="Compact"/>
              <w:jc w:val="left"/>
            </w:pPr>
            <w:r>
              <w:t xml:space="preserve">32</w:t>
            </w:r>
          </w:p>
        </w:tc>
        <w:tc>
          <w:tcPr/>
          <w:p>
            <w:pPr>
              <w:pStyle w:val="Compact"/>
              <w:jc w:val="left"/>
            </w:pPr>
            <w:r>
              <w:t xml:space="preserve">32</w:t>
            </w:r>
          </w:p>
        </w:tc>
        <w:tc>
          <w:tcPr/>
          <w:p>
            <w:pPr>
              <w:pStyle w:val="Compact"/>
              <w:jc w:val="left"/>
            </w:pPr>
            <w:r>
              <w:t xml:space="preserve">18</w:t>
            </w:r>
          </w:p>
        </w:tc>
      </w:tr>
      <w:tr>
        <w:tc>
          <w:tcPr/>
          <w:p>
            <w:pPr>
              <w:pStyle w:val="Compact"/>
              <w:jc w:val="left"/>
            </w:pPr>
            <w:r>
              <w:t xml:space="preserve">Business Analyst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D365 F&amp;O Functional Consultant</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Project Manager</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Solution Architect (part-time)</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rPr>
                <w:bCs/>
                <w:b/>
              </w:rPr>
              <w:t xml:space="preserve">Weekly total</w:t>
            </w:r>
          </w:p>
        </w:tc>
        <w:tc>
          <w:tcPr/>
          <w:p>
            <w:pPr>
              <w:pStyle w:val="Compact"/>
              <w:jc w:val="left"/>
            </w:pPr>
            <w:r>
              <w:rPr>
                <w:bCs/>
                <w:b/>
              </w:rPr>
              <w:t xml:space="preserve">23</w:t>
            </w:r>
          </w:p>
        </w:tc>
        <w:tc>
          <w:tcPr/>
          <w:p>
            <w:pPr>
              <w:pStyle w:val="Compact"/>
              <w:jc w:val="left"/>
            </w:pPr>
            <w:r>
              <w:rPr>
                <w:bCs/>
                <w:b/>
              </w:rPr>
              <w:t xml:space="preserve">37</w:t>
            </w:r>
          </w:p>
        </w:tc>
        <w:tc>
          <w:tcPr/>
          <w:p>
            <w:pPr>
              <w:pStyle w:val="Compact"/>
              <w:jc w:val="left"/>
            </w:pPr>
            <w:r>
              <w:rPr>
                <w:bCs/>
                <w:b/>
              </w:rPr>
              <w:t xml:space="preserve">37</w:t>
            </w:r>
          </w:p>
        </w:tc>
        <w:tc>
          <w:tcPr/>
          <w:p>
            <w:pPr>
              <w:pStyle w:val="Compact"/>
              <w:jc w:val="left"/>
            </w:pPr>
            <w:r>
              <w:rPr>
                <w:bCs/>
                <w:b/>
              </w:rPr>
              <w:t xml:space="preserve">37</w:t>
            </w:r>
          </w:p>
        </w:tc>
        <w:tc>
          <w:tcPr/>
          <w:p>
            <w:pPr>
              <w:pStyle w:val="Compact"/>
              <w:jc w:val="left"/>
            </w:pPr>
            <w:r>
              <w:rPr>
                <w:bCs/>
                <w:b/>
              </w:rPr>
              <w:t xml:space="preserve">37</w:t>
            </w:r>
          </w:p>
        </w:tc>
        <w:tc>
          <w:tcPr/>
          <w:p>
            <w:pPr>
              <w:pStyle w:val="Compact"/>
              <w:jc w:val="left"/>
            </w:pPr>
            <w:r>
              <w:rPr>
                <w:bCs/>
                <w:b/>
              </w:rPr>
              <w:t xml:space="preserve">23</w:t>
            </w:r>
          </w:p>
        </w:tc>
      </w:tr>
    </w:tbl>
    <w:bookmarkEnd w:id="71"/>
    <w:bookmarkStart w:id="72" w:name="phases-25-staffing-months-19"/>
    <w:p>
      <w:pPr>
        <w:pStyle w:val="Heading2"/>
      </w:pPr>
      <w:r>
        <w:t xml:space="preserve">13.2 Phases 2–5 Staffing (Months 1–9)</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Role</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M4</w:t>
            </w:r>
          </w:p>
        </w:tc>
        <w:tc>
          <w:tcPr/>
          <w:p>
            <w:pPr>
              <w:pStyle w:val="Compact"/>
              <w:jc w:val="left"/>
            </w:pPr>
            <w:r>
              <w:t xml:space="preserve">M5</w:t>
            </w:r>
          </w:p>
        </w:tc>
        <w:tc>
          <w:tcPr/>
          <w:p>
            <w:pPr>
              <w:pStyle w:val="Compact"/>
              <w:jc w:val="left"/>
            </w:pPr>
            <w:r>
              <w:t xml:space="preserve">M6</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r>
      <w:tr>
        <w:tc>
          <w:tcPr/>
          <w:p>
            <w:pPr>
              <w:pStyle w:val="Compact"/>
              <w:jc w:val="left"/>
            </w:pPr>
            <w:r>
              <w:t xml:space="preserve">Solution Architect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Scrum Master / Delivery Lead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Data Architect / Modeller</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Senior Data Engineer (Databricks)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Data Engineer (Databricks)</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c>
          <w:tcPr/>
          <w:p>
            <w:pPr>
              <w:pStyle w:val="Compact"/>
              <w:jc w:val="left"/>
            </w:pPr>
            <w:r>
              <w:t xml:space="preserve">8</w:t>
            </w:r>
          </w:p>
        </w:tc>
        <w:tc>
          <w:tcPr/>
          <w:p>
            <w:pPr>
              <w:pStyle w:val="Compact"/>
              <w:jc w:val="left"/>
            </w:pPr>
            <w:r>
              <w:t xml:space="preserve">11</w:t>
            </w:r>
          </w:p>
        </w:tc>
        <w:tc>
          <w:tcPr/>
          <w:p>
            <w:pPr>
              <w:pStyle w:val="Compact"/>
              <w:jc w:val="left"/>
            </w:pPr>
            <w:r>
              <w:t xml:space="preserve">12</w:t>
            </w:r>
          </w:p>
        </w:tc>
        <w:tc>
          <w:tcPr/>
          <w:p>
            <w:pPr>
              <w:pStyle w:val="Compact"/>
              <w:jc w:val="left"/>
            </w:pPr>
            <w:r>
              <w:t xml:space="preserve">12</w:t>
            </w:r>
          </w:p>
        </w:tc>
        <w:tc>
          <w:tcPr/>
          <w:p>
            <w:pPr>
              <w:pStyle w:val="Compact"/>
              <w:jc w:val="left"/>
            </w:pPr>
            <w:r>
              <w:t xml:space="preserve">9</w:t>
            </w:r>
          </w:p>
        </w:tc>
        <w:tc>
          <w:tcPr/>
          <w:p>
            <w:pPr>
              <w:pStyle w:val="Compact"/>
              <w:jc w:val="left"/>
            </w:pPr>
            <w:r>
              <w:t xml:space="preserve">5</w:t>
            </w:r>
          </w:p>
        </w:tc>
      </w:tr>
      <w:tr>
        <w:tc>
          <w:tcPr/>
          <w:p>
            <w:pPr>
              <w:pStyle w:val="Compact"/>
              <w:jc w:val="left"/>
            </w:pPr>
            <w:r>
              <w:t xml:space="preserve">D365 F&amp;O Functional Consultant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Business Analyst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QA / Data Tester</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r>
      <w:tr>
        <w:tc>
          <w:tcPr/>
          <w:p>
            <w:pPr>
              <w:pStyle w:val="Compact"/>
              <w:jc w:val="left"/>
            </w:pPr>
            <w:r>
              <w:rPr>
                <w:bCs/>
                <w:b/>
              </w:rPr>
              <w:t xml:space="preserve">Monthly total</w:t>
            </w:r>
          </w:p>
        </w:tc>
        <w:tc>
          <w:tcPr/>
          <w:p>
            <w:pPr>
              <w:pStyle w:val="Compact"/>
              <w:jc w:val="left"/>
            </w:pPr>
            <w:r>
              <w:rPr>
                <w:bCs/>
                <w:b/>
              </w:rPr>
              <w:t xml:space="preserve">18</w:t>
            </w:r>
          </w:p>
        </w:tc>
        <w:tc>
          <w:tcPr/>
          <w:p>
            <w:pPr>
              <w:pStyle w:val="Compact"/>
              <w:jc w:val="left"/>
            </w:pPr>
            <w:r>
              <w:rPr>
                <w:bCs/>
                <w:b/>
              </w:rPr>
              <w:t xml:space="preserve">22</w:t>
            </w:r>
          </w:p>
        </w:tc>
        <w:tc>
          <w:tcPr/>
          <w:p>
            <w:pPr>
              <w:pStyle w:val="Compact"/>
              <w:jc w:val="left"/>
            </w:pPr>
            <w:r>
              <w:rPr>
                <w:bCs/>
                <w:b/>
              </w:rPr>
              <w:t xml:space="preserve">23</w:t>
            </w:r>
          </w:p>
        </w:tc>
        <w:tc>
          <w:tcPr/>
          <w:p>
            <w:pPr>
              <w:pStyle w:val="Compact"/>
              <w:jc w:val="left"/>
            </w:pPr>
            <w:r>
              <w:rPr>
                <w:bCs/>
                <w:b/>
              </w:rPr>
              <w:t xml:space="preserve">26</w:t>
            </w:r>
          </w:p>
        </w:tc>
        <w:tc>
          <w:tcPr/>
          <w:p>
            <w:pPr>
              <w:pStyle w:val="Compact"/>
              <w:jc w:val="left"/>
            </w:pPr>
            <w:r>
              <w:rPr>
                <w:bCs/>
                <w:b/>
              </w:rPr>
              <w:t xml:space="preserve">29</w:t>
            </w:r>
          </w:p>
        </w:tc>
        <w:tc>
          <w:tcPr/>
          <w:p>
            <w:pPr>
              <w:pStyle w:val="Compact"/>
              <w:jc w:val="left"/>
            </w:pPr>
            <w:r>
              <w:rPr>
                <w:bCs/>
                <w:b/>
              </w:rPr>
              <w:t xml:space="preserve">31</w:t>
            </w:r>
          </w:p>
        </w:tc>
        <w:tc>
          <w:tcPr/>
          <w:p>
            <w:pPr>
              <w:pStyle w:val="Compact"/>
              <w:jc w:val="left"/>
            </w:pPr>
            <w:r>
              <w:rPr>
                <w:bCs/>
                <w:b/>
              </w:rPr>
              <w:t xml:space="preserve">29</w:t>
            </w:r>
          </w:p>
        </w:tc>
        <w:tc>
          <w:tcPr/>
          <w:p>
            <w:pPr>
              <w:pStyle w:val="Compact"/>
              <w:jc w:val="left"/>
            </w:pPr>
            <w:r>
              <w:rPr>
                <w:bCs/>
                <w:b/>
              </w:rPr>
              <w:t xml:space="preserve">22</w:t>
            </w:r>
          </w:p>
        </w:tc>
        <w:tc>
          <w:tcPr/>
          <w:p>
            <w:pPr>
              <w:pStyle w:val="Compact"/>
              <w:jc w:val="left"/>
            </w:pPr>
            <w:r>
              <w:rPr>
                <w:bCs/>
                <w:b/>
              </w:rPr>
              <w:t xml:space="preserve">15</w:t>
            </w:r>
          </w:p>
        </w:tc>
      </w:tr>
    </w:tbl>
    <w:bookmarkEnd w:id="72"/>
    <w:bookmarkStart w:id="73" w:name="ramp-profile-narrative"/>
    <w:p>
      <w:pPr>
        <w:pStyle w:val="Heading2"/>
      </w:pPr>
      <w:r>
        <w:t xml:space="preserve">13.3 Ramp Profile Narrative</w:t>
      </w:r>
    </w:p>
    <w:p>
      <w:pPr>
        <w:numPr>
          <w:ilvl w:val="0"/>
          <w:numId w:val="1010"/>
        </w:numPr>
        <w:pStyle w:val="Compact"/>
      </w:pPr>
      <w:r>
        <w:rPr>
          <w:bCs/>
          <w:b/>
        </w:rPr>
        <w:t xml:space="preserve">Weeks 1–6 (Phase 1)</w:t>
      </w:r>
      <w:r>
        <w:t xml:space="preserve"> </w:t>
      </w:r>
      <w:r>
        <w:t xml:space="preserve">— Dedicated review cohort of ~35–37 people, half capacity in W1 and W6. Weekly throughput target: ~2,000 questionnaires reviewed per week.</w:t>
      </w:r>
    </w:p>
    <w:p>
      <w:pPr>
        <w:numPr>
          <w:ilvl w:val="0"/>
          <w:numId w:val="1010"/>
        </w:numPr>
        <w:pStyle w:val="Compact"/>
      </w:pPr>
      <w:r>
        <w:rPr>
          <w:bCs/>
          <w:b/>
        </w:rPr>
        <w:t xml:space="preserve">Transition (end of W6)</w:t>
      </w:r>
      <w:r>
        <w:t xml:space="preserve"> </w:t>
      </w:r>
      <w:r>
        <w:t xml:space="preserve">— Strongest 8–10 reviewers convert to Phase 2/3 seniors and BAs. Remaining reviewers demobilize.</w:t>
      </w:r>
    </w:p>
    <w:p>
      <w:pPr>
        <w:numPr>
          <w:ilvl w:val="0"/>
          <w:numId w:val="1010"/>
        </w:numPr>
        <w:pStyle w:val="Compact"/>
      </w:pPr>
      <w:r>
        <w:rPr>
          <w:bCs/>
          <w:b/>
        </w:rPr>
        <w:t xml:space="preserve">Months 1–2</w:t>
      </w:r>
      <w:r>
        <w:t xml:space="preserve"> </w:t>
      </w:r>
      <w:r>
        <w:t xml:space="preserve">— Ramp-up. D365 connector configuration, FastTrack pattern port, AI framework setup. Discovery spike.</w:t>
      </w:r>
    </w:p>
    <w:p>
      <w:pPr>
        <w:numPr>
          <w:ilvl w:val="0"/>
          <w:numId w:val="1010"/>
        </w:numPr>
        <w:pStyle w:val="Compact"/>
      </w:pPr>
      <w:r>
        <w:rPr>
          <w:bCs/>
          <w:b/>
        </w:rPr>
        <w:t xml:space="preserve">Months 3–4</w:t>
      </w:r>
      <w:r>
        <w:t xml:space="preserve"> </w:t>
      </w:r>
      <w:r>
        <w:t xml:space="preserve">— Build-up. Silver layer completes across entities. Phase 3 dimensional-model build accelerates. AI agent priming in preparation for Phase 5.</w:t>
      </w:r>
    </w:p>
    <w:p>
      <w:pPr>
        <w:numPr>
          <w:ilvl w:val="0"/>
          <w:numId w:val="1010"/>
        </w:numPr>
        <w:pStyle w:val="Compact"/>
      </w:pPr>
      <w:r>
        <w:rPr>
          <w:bCs/>
          <w:b/>
        </w:rPr>
        <w:t xml:space="preserve">Months 5–7</w:t>
      </w:r>
      <w:r>
        <w:t xml:space="preserve"> </w:t>
      </w:r>
      <w:r>
        <w:t xml:space="preserve">— Peak. Phase 5 insight implementation drives peak staffing at 29–31 people. Assembly-line AI-assisted development.</w:t>
      </w:r>
    </w:p>
    <w:p>
      <w:pPr>
        <w:numPr>
          <w:ilvl w:val="0"/>
          <w:numId w:val="1010"/>
        </w:numPr>
        <w:pStyle w:val="Compact"/>
      </w:pPr>
      <w:r>
        <w:rPr>
          <w:bCs/>
          <w:b/>
        </w:rPr>
        <w:t xml:space="preserve">Months 8–9</w:t>
      </w:r>
      <w:r>
        <w:t xml:space="preserve"> </w:t>
      </w:r>
      <w:r>
        <w:t xml:space="preserve">— Ramp-down. UAT support, defect resolution, stabilization. Progressive team release.</w:t>
      </w:r>
    </w:p>
    <w:p>
      <w:r>
        <w:pict>
          <v:rect style="width:0;height:1.5pt" o:hralign="center" o:hrstd="t" o:hr="t"/>
        </w:pict>
      </w:r>
    </w:p>
    <w:bookmarkEnd w:id="73"/>
    <w:bookmarkEnd w:id="74"/>
    <w:bookmarkStart w:id="79" w:name="Xc868a438cba544438f699f33df8e6bee6bd0feb"/>
    <w:p>
      <w:pPr>
        <w:pStyle w:val="Heading1"/>
      </w:pPr>
      <w:r>
        <w:t xml:space="preserve">14. Risks, Assumptions, Constraints, and Bottlenecks</w:t>
      </w:r>
    </w:p>
    <w:bookmarkStart w:id="75" w:name="assumptions"/>
    <w:p>
      <w:pPr>
        <w:pStyle w:val="Heading2"/>
      </w:pPr>
      <w:r>
        <w:t xml:space="preserve">14.1 Assumptions</w:t>
      </w:r>
    </w:p>
    <w:p>
      <w:pPr>
        <w:numPr>
          <w:ilvl w:val="0"/>
          <w:numId w:val="1011"/>
        </w:numPr>
        <w:pStyle w:val="Compact"/>
      </w:pPr>
      <w:r>
        <w:t xml:space="preserve">The 12,000 completed insight questionnaires are of sufficient quality to serve as functional requirements</w:t>
      </w:r>
    </w:p>
    <w:p>
      <w:pPr>
        <w:numPr>
          <w:ilvl w:val="0"/>
          <w:numId w:val="1011"/>
        </w:numPr>
        <w:pStyle w:val="Compact"/>
      </w:pPr>
      <w:r>
        <w:t xml:space="preserve">D365 F&amp;O is operational; Synapse Link replication (managed by another team) is available by Month 1</w:t>
      </w:r>
    </w:p>
    <w:p>
      <w:pPr>
        <w:numPr>
          <w:ilvl w:val="0"/>
          <w:numId w:val="1011"/>
        </w:numPr>
        <w:pStyle w:val="Compact"/>
      </w:pPr>
      <w:r>
        <w:t xml:space="preserve">Azure Databricks workspace, ADLS Gen2 storage, Unity Catalog metastore, and networking are provisioned before project start</w:t>
      </w:r>
    </w:p>
    <w:p>
      <w:pPr>
        <w:numPr>
          <w:ilvl w:val="0"/>
          <w:numId w:val="1011"/>
        </w:numPr>
        <w:pStyle w:val="Compact"/>
      </w:pPr>
      <w:r>
        <w:t xml:space="preserve">Business users are available for design workshops, clarification calls, and UAT</w:t>
      </w:r>
    </w:p>
    <w:p>
      <w:pPr>
        <w:numPr>
          <w:ilvl w:val="0"/>
          <w:numId w:val="1011"/>
        </w:numPr>
        <w:pStyle w:val="Compact"/>
      </w:pPr>
      <w:r>
        <w:t xml:space="preserve">No significant changes to D365 F&amp;O configuration or business processes during the 9-month window</w:t>
      </w:r>
    </w:p>
    <w:p>
      <w:pPr>
        <w:numPr>
          <w:ilvl w:val="0"/>
          <w:numId w:val="1011"/>
        </w:numPr>
        <w:pStyle w:val="Compact"/>
      </w:pPr>
      <w:r>
        <w:t xml:space="preserve">The AI agent can be primed with F&amp;O domain context, dimensional model, OBT schemas, and questionnaires</w:t>
      </w:r>
    </w:p>
    <w:p>
      <w:pPr>
        <w:numPr>
          <w:ilvl w:val="0"/>
          <w:numId w:val="1011"/>
        </w:numPr>
        <w:pStyle w:val="Compact"/>
      </w:pPr>
      <w:r>
        <w:t xml:space="preserve">Client F&amp;O deployment is close enough to standard that FastTrack templates apply meaningfully</w:t>
      </w:r>
    </w:p>
    <w:bookmarkEnd w:id="75"/>
    <w:bookmarkStart w:id="76" w:name="risk-register"/>
    <w:p>
      <w:pPr>
        <w:pStyle w:val="Heading2"/>
      </w:pPr>
      <w:r>
        <w:t xml:space="preserve">14.2 Risk Register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Insight questionnaires are incomplete or ambiguous at scale</w:t>
            </w:r>
          </w:p>
        </w:tc>
        <w:tc>
          <w:tcPr/>
          <w:p>
            <w:pPr>
              <w:pStyle w:val="Compact"/>
              <w:jc w:val="left"/>
            </w:pPr>
            <w:r>
              <w:t xml:space="preserve">Phase 5 AI leverage collapses; effort +30–50%; timeline at risk</w:t>
            </w:r>
          </w:p>
        </w:tc>
        <w:tc>
          <w:tcPr/>
          <w:p>
            <w:pPr>
              <w:pStyle w:val="Compact"/>
              <w:jc w:val="left"/>
            </w:pPr>
            <w:r>
              <w:t xml:space="preserve">Medium–High</w:t>
            </w:r>
          </w:p>
        </w:tc>
        <w:tc>
          <w:tcPr/>
          <w:p>
            <w:pPr>
              <w:pStyle w:val="Compact"/>
              <w:jc w:val="left"/>
            </w:pPr>
            <w:r>
              <w:t xml:space="preserve">Sample 100 questionnaires in Month 1; build rework buffer; escalate quality issues before Phase 5 scaling</w:t>
            </w:r>
          </w:p>
        </w:tc>
      </w:tr>
      <w:tr>
        <w:tc>
          <w:tcPr/>
          <w:p>
            <w:pPr>
              <w:pStyle w:val="Compact"/>
              <w:jc w:val="left"/>
            </w:pPr>
            <w:r>
              <w:t xml:space="preserve">AI agent priming quality is inadequate</w:t>
            </w:r>
          </w:p>
        </w:tc>
        <w:tc>
          <w:tcPr/>
          <w:p>
            <w:pPr>
              <w:pStyle w:val="Compact"/>
              <w:jc w:val="left"/>
            </w:pPr>
            <w:r>
              <w:t xml:space="preserve">Phase 5 throughput below expected; extra rework</w:t>
            </w:r>
          </w:p>
        </w:tc>
        <w:tc>
          <w:tcPr/>
          <w:p>
            <w:pPr>
              <w:pStyle w:val="Compact"/>
              <w:jc w:val="left"/>
            </w:pPr>
            <w:r>
              <w:t xml:space="preserve">Medium</w:t>
            </w:r>
          </w:p>
        </w:tc>
        <w:tc>
          <w:tcPr/>
          <w:p>
            <w:pPr>
              <w:pStyle w:val="Compact"/>
              <w:jc w:val="left"/>
            </w:pPr>
            <w:r>
              <w:t xml:space="preserve">Dedicate senior engineers to priming in Months 3–4; validate on pilot 200-500 insights before Phase 5 scales</w:t>
            </w:r>
          </w:p>
        </w:tc>
      </w:tr>
      <w:tr>
        <w:tc>
          <w:tcPr/>
          <w:p>
            <w:pPr>
              <w:pStyle w:val="Compact"/>
              <w:jc w:val="left"/>
            </w:pPr>
            <w:r>
              <w:t xml:space="preserve">Client-specific F&amp;O customisations fall outside FastTrack templates</w:t>
            </w:r>
          </w:p>
        </w:tc>
        <w:tc>
          <w:tcPr/>
          <w:p>
            <w:pPr>
              <w:pStyle w:val="Compact"/>
              <w:jc w:val="left"/>
            </w:pPr>
            <w:r>
              <w:t xml:space="preserve">Phase 2 Silver effort +20–40%</w:t>
            </w:r>
          </w:p>
        </w:tc>
        <w:tc>
          <w:tcPr/>
          <w:p>
            <w:pPr>
              <w:pStyle w:val="Compact"/>
              <w:jc w:val="left"/>
            </w:pPr>
            <w:r>
              <w:t xml:space="preserve">Medium</w:t>
            </w:r>
          </w:p>
        </w:tc>
        <w:tc>
          <w:tcPr/>
          <w:p>
            <w:pPr>
              <w:pStyle w:val="Compact"/>
              <w:jc w:val="left"/>
            </w:pPr>
            <w:r>
              <w:t xml:space="preserve">Engage D365 F&amp;O functional consultants early; validate FastTrack pattern applicability in discovery spike</w:t>
            </w:r>
          </w:p>
        </w:tc>
      </w:tr>
      <w:tr>
        <w:tc>
          <w:tcPr/>
          <w:p>
            <w:pPr>
              <w:pStyle w:val="Compact"/>
              <w:jc w:val="left"/>
            </w:pPr>
            <w:r>
              <w:t xml:space="preserve">D365 F&amp;O data model differences from AX 2012 larger than expected</w:t>
            </w:r>
          </w:p>
        </w:tc>
        <w:tc>
          <w:tcPr/>
          <w:p>
            <w:pPr>
              <w:pStyle w:val="Compact"/>
              <w:jc w:val="left"/>
            </w:pPr>
            <w:r>
              <w:t xml:space="preserve">Phase 2 entity-mapping effort up to 2× for affected domains</w:t>
            </w:r>
          </w:p>
        </w:tc>
        <w:tc>
          <w:tcPr/>
          <w:p>
            <w:pPr>
              <w:pStyle w:val="Compact"/>
              <w:jc w:val="left"/>
            </w:pPr>
            <w:r>
              <w:t xml:space="preserve">Medium</w:t>
            </w:r>
          </w:p>
        </w:tc>
        <w:tc>
          <w:tcPr/>
          <w:p>
            <w:pPr>
              <w:pStyle w:val="Compact"/>
              <w:jc w:val="left"/>
            </w:pPr>
            <w:r>
              <w:t xml:space="preserve">Engage D365 F&amp;O functional consultants early; use Microsoft’s AX-to-D365 mapping documentation</w:t>
            </w:r>
          </w:p>
        </w:tc>
      </w:tr>
      <w:tr>
        <w:tc>
          <w:tcPr/>
          <w:p>
            <w:pPr>
              <w:pStyle w:val="Compact"/>
              <w:jc w:val="left"/>
            </w:pPr>
            <w:r>
              <w:t xml:space="preserve">Synapse Link replication delays or gaps</w:t>
            </w:r>
          </w:p>
        </w:tc>
        <w:tc>
          <w:tcPr/>
          <w:p>
            <w:pPr>
              <w:pStyle w:val="Compact"/>
              <w:jc w:val="left"/>
            </w:pPr>
            <w:r>
              <w:t xml:space="preserve">Blocks Phase 2 start; may require full refreshes</w:t>
            </w:r>
          </w:p>
        </w:tc>
        <w:tc>
          <w:tcPr/>
          <w:p>
            <w:pPr>
              <w:pStyle w:val="Compact"/>
              <w:jc w:val="left"/>
            </w:pPr>
            <w:r>
              <w:t xml:space="preserve">Medium</w:t>
            </w:r>
          </w:p>
        </w:tc>
        <w:tc>
          <w:tcPr/>
          <w:p>
            <w:pPr>
              <w:pStyle w:val="Compact"/>
              <w:jc w:val="left"/>
            </w:pPr>
            <w:r>
              <w:t xml:space="preserve">Clear SLA with replication team; monitor Synapse Link health; establish alerting</w:t>
            </w:r>
          </w:p>
        </w:tc>
      </w:tr>
      <w:tr>
        <w:tc>
          <w:tcPr/>
          <w:p>
            <w:pPr>
              <w:pStyle w:val="Compact"/>
              <w:jc w:val="left"/>
            </w:pPr>
            <w:r>
              <w:t xml:space="preserve">Lakeflow Connect connector limitations (250 tables/pipeline, no auto schema evolution)</w:t>
            </w:r>
          </w:p>
        </w:tc>
        <w:tc>
          <w:tcPr/>
          <w:p>
            <w:pPr>
              <w:pStyle w:val="Compact"/>
              <w:jc w:val="left"/>
            </w:pPr>
            <w:r>
              <w:t xml:space="preserve">Additional pipeline management overhead</w:t>
            </w:r>
          </w:p>
        </w:tc>
        <w:tc>
          <w:tcPr/>
          <w:p>
            <w:pPr>
              <w:pStyle w:val="Compact"/>
              <w:jc w:val="left"/>
            </w:pPr>
            <w:r>
              <w:t xml:space="preserve">High (already known)</w:t>
            </w:r>
          </w:p>
        </w:tc>
        <w:tc>
          <w:tcPr/>
          <w:p>
            <w:pPr>
              <w:pStyle w:val="Compact"/>
              <w:jc w:val="left"/>
            </w:pPr>
            <w:r>
              <w:t xml:space="preserve">Design multiple domain-oriented pipelines; build schema-drift monitoring</w:t>
            </w:r>
          </w:p>
        </w:tc>
      </w:tr>
      <w:tr>
        <w:tc>
          <w:tcPr/>
          <w:p>
            <w:pPr>
              <w:pStyle w:val="Compact"/>
              <w:jc w:val="left"/>
            </w:pPr>
            <w:r>
              <w:t xml:space="preserve">Business user availability for UAT</w:t>
            </w:r>
          </w:p>
        </w:tc>
        <w:tc>
          <w:tcPr/>
          <w:p>
            <w:pPr>
              <w:pStyle w:val="Compact"/>
              <w:jc w:val="left"/>
            </w:pPr>
            <w:r>
              <w:t xml:space="preserve">Phase 5 UAT extends beyond Month 9</w:t>
            </w:r>
          </w:p>
        </w:tc>
        <w:tc>
          <w:tcPr/>
          <w:p>
            <w:pPr>
              <w:pStyle w:val="Compact"/>
              <w:jc w:val="left"/>
            </w:pPr>
            <w:r>
              <w:t xml:space="preserve">Medium–High</w:t>
            </w:r>
          </w:p>
        </w:tc>
        <w:tc>
          <w:tcPr/>
          <w:p>
            <w:pPr>
              <w:pStyle w:val="Compact"/>
              <w:jc w:val="left"/>
            </w:pPr>
            <w:r>
              <w:t xml:space="preserve">Secure named UAT participants and scheduled time blocks before project start</w:t>
            </w:r>
          </w:p>
        </w:tc>
      </w:tr>
      <w:tr>
        <w:tc>
          <w:tcPr/>
          <w:p>
            <w:pPr>
              <w:pStyle w:val="Compact"/>
              <w:jc w:val="left"/>
            </w:pPr>
            <w:r>
              <w:t xml:space="preserve">Onboarding 30+ resources creates coordination overhead</w:t>
            </w:r>
          </w:p>
        </w:tc>
        <w:tc>
          <w:tcPr/>
          <w:p>
            <w:pPr>
              <w:pStyle w:val="Compact"/>
              <w:jc w:val="left"/>
            </w:pPr>
            <w:r>
              <w:t xml:space="preserve">Productivity loss of 15–25% in first 2 weeks per cohort</w:t>
            </w:r>
          </w:p>
        </w:tc>
        <w:tc>
          <w:tcPr/>
          <w:p>
            <w:pPr>
              <w:pStyle w:val="Compact"/>
              <w:jc w:val="left"/>
            </w:pPr>
            <w:r>
              <w:t xml:space="preserve">Medium</w:t>
            </w:r>
          </w:p>
        </w:tc>
        <w:tc>
          <w:tcPr/>
          <w:p>
            <w:pPr>
              <w:pStyle w:val="Compact"/>
              <w:jc w:val="left"/>
            </w:pPr>
            <w:r>
              <w:t xml:space="preserve">Stagger onboarding in 3 waves; prepare onboarding packs, coding standards, and environment access in advance</w:t>
            </w:r>
          </w:p>
        </w:tc>
      </w:tr>
      <w:tr>
        <w:tc>
          <w:tcPr/>
          <w:p>
            <w:pPr>
              <w:pStyle w:val="Compact"/>
              <w:jc w:val="left"/>
            </w:pPr>
            <w:r>
              <w:t xml:space="preserve">AI-generated code contains subtle correctness errors</w:t>
            </w:r>
          </w:p>
        </w:tc>
        <w:tc>
          <w:tcPr/>
          <w:p>
            <w:pPr>
              <w:pStyle w:val="Compact"/>
              <w:jc w:val="left"/>
            </w:pPr>
            <w:r>
              <w:t xml:space="preserve">UAT rework rate higher than 10% assumed</w:t>
            </w:r>
          </w:p>
        </w:tc>
        <w:tc>
          <w:tcPr/>
          <w:p>
            <w:pPr>
              <w:pStyle w:val="Compact"/>
              <w:jc w:val="left"/>
            </w:pPr>
            <w:r>
              <w:t xml:space="preserve">Medium</w:t>
            </w:r>
          </w:p>
        </w:tc>
        <w:tc>
          <w:tcPr/>
          <w:p>
            <w:pPr>
              <w:pStyle w:val="Compact"/>
              <w:jc w:val="left"/>
            </w:pPr>
            <w:r>
              <w:t xml:space="preserve">Preserve senior engineer review; mandatory validation against expected output before UAT</w:t>
            </w:r>
          </w:p>
        </w:tc>
      </w:tr>
      <w:tr>
        <w:tc>
          <w:tcPr/>
          <w:p>
            <w:pPr>
              <w:pStyle w:val="Compact"/>
              <w:jc w:val="left"/>
            </w:pPr>
            <w:r>
              <w:t xml:space="preserve">Complex insight share is higher than assumed 20%</w:t>
            </w:r>
          </w:p>
        </w:tc>
        <w:tc>
          <w:tcPr/>
          <w:p>
            <w:pPr>
              <w:pStyle w:val="Compact"/>
              <w:jc w:val="left"/>
            </w:pPr>
            <w:r>
              <w:t xml:space="preserve">Phase 5 effort +15–25%</w:t>
            </w:r>
          </w:p>
        </w:tc>
        <w:tc>
          <w:tcPr/>
          <w:p>
            <w:pPr>
              <w:pStyle w:val="Compact"/>
              <w:jc w:val="left"/>
            </w:pPr>
            <w:r>
              <w:t xml:space="preserve">Medium</w:t>
            </w:r>
          </w:p>
        </w:tc>
        <w:tc>
          <w:tcPr/>
          <w:p>
            <w:pPr>
              <w:pStyle w:val="Compact"/>
              <w:jc w:val="left"/>
            </w:pPr>
            <w:r>
              <w:t xml:space="preserve">Sample complexity distribution in Phase 1; adjust staffing by end of Month 5 if trending</w:t>
            </w:r>
          </w:p>
        </w:tc>
      </w:tr>
    </w:tbl>
    <w:bookmarkEnd w:id="76"/>
    <w:bookmarkStart w:id="77" w:name="constraints"/>
    <w:p>
      <w:pPr>
        <w:pStyle w:val="Heading2"/>
      </w:pPr>
      <w:r>
        <w:t xml:space="preserve">14.3 Constraints</w:t>
      </w:r>
    </w:p>
    <w:p>
      <w:pPr>
        <w:numPr>
          <w:ilvl w:val="0"/>
          <w:numId w:val="1012"/>
        </w:numPr>
        <w:pStyle w:val="Compact"/>
      </w:pPr>
      <w:r>
        <w:t xml:space="preserve">The 9-month timeline is fixed. The primary lever available to management is team size, not duration.</w:t>
      </w:r>
    </w:p>
    <w:p>
      <w:pPr>
        <w:numPr>
          <w:ilvl w:val="0"/>
          <w:numId w:val="1012"/>
        </w:numPr>
        <w:pStyle w:val="Compact"/>
      </w:pPr>
      <w:r>
        <w:t xml:space="preserve">Power BI report and dashboard redesign is explicitly out of scope</w:t>
      </w:r>
    </w:p>
    <w:p>
      <w:pPr>
        <w:numPr>
          <w:ilvl w:val="0"/>
          <w:numId w:val="1012"/>
        </w:numPr>
        <w:pStyle w:val="Compact"/>
      </w:pPr>
      <w:r>
        <w:t xml:space="preserve">All work is on the Azure Databricks platform</w:t>
      </w:r>
    </w:p>
    <w:p>
      <w:pPr>
        <w:numPr>
          <w:ilvl w:val="0"/>
          <w:numId w:val="1012"/>
        </w:numPr>
        <w:pStyle w:val="Compact"/>
      </w:pPr>
      <w:r>
        <w:t xml:space="preserve">AI agent must be domain-primed before Phase 5 begins — this is a non-negotiable prerequisite for the projected Phase 5 throughput</w:t>
      </w:r>
    </w:p>
    <w:bookmarkEnd w:id="77"/>
    <w:bookmarkStart w:id="78" w:name="primary-bottlenecks"/>
    <w:p>
      <w:pPr>
        <w:pStyle w:val="Heading2"/>
      </w:pPr>
      <w:r>
        <w:t xml:space="preserve">14.4 Primary Bottlenecks</w:t>
      </w:r>
    </w:p>
    <w:p>
      <w:pPr>
        <w:numPr>
          <w:ilvl w:val="0"/>
          <w:numId w:val="1013"/>
        </w:numPr>
        <w:pStyle w:val="Compact"/>
      </w:pPr>
      <w:r>
        <w:rPr>
          <w:bCs/>
          <w:b/>
        </w:rPr>
        <w:t xml:space="preserve">Phase 5 throughput</w:t>
      </w:r>
      <w:r>
        <w:t xml:space="preserve"> </w:t>
      </w:r>
      <w:r>
        <w:t xml:space="preserve">— 12,000 insights in ~5 months demands AI-assisted assembly-line discipline. AI priming and pattern templates must be established in Months 4–5 before the full Phase 5 team scales.</w:t>
      </w:r>
    </w:p>
    <w:p>
      <w:pPr>
        <w:numPr>
          <w:ilvl w:val="0"/>
          <w:numId w:val="1013"/>
        </w:numPr>
        <w:pStyle w:val="Compact"/>
      </w:pPr>
      <w:r>
        <w:rPr>
          <w:bCs/>
          <w:b/>
        </w:rPr>
        <w:t xml:space="preserve">D365 F&amp;O functional knowledge for client customisations</w:t>
      </w:r>
      <w:r>
        <w:t xml:space="preserve"> </w:t>
      </w:r>
      <w:r>
        <w:t xml:space="preserve">— Only 2 functional consultants planned. If client customisations create bottleneck, increase to 3.</w:t>
      </w:r>
    </w:p>
    <w:p>
      <w:pPr>
        <w:numPr>
          <w:ilvl w:val="0"/>
          <w:numId w:val="1013"/>
        </w:numPr>
        <w:pStyle w:val="Compact"/>
      </w:pPr>
      <w:r>
        <w:rPr>
          <w:bCs/>
          <w:b/>
        </w:rPr>
        <w:t xml:space="preserve">QA capacity during UAT</w:t>
      </w:r>
      <w:r>
        <w:t xml:space="preserve"> </w:t>
      </w:r>
      <w:r>
        <w:t xml:space="preserve">— Parallel UAT streams across domains require coordinated test execution. AI-generated test cases help but human sign-off is essential.</w:t>
      </w:r>
    </w:p>
    <w:p>
      <w:r>
        <w:pict>
          <v:rect style="width:0;height:1.5pt" o:hralign="center" o:hrstd="t" o:hr="t"/>
        </w:pict>
      </w:r>
    </w:p>
    <w:bookmarkEnd w:id="78"/>
    <w:bookmarkEnd w:id="79"/>
    <w:bookmarkStart w:id="83" w:name="final-recommendation"/>
    <w:p>
      <w:pPr>
        <w:pStyle w:val="Heading1"/>
      </w:pPr>
      <w:r>
        <w:t xml:space="preserve">15. Final Recommendation</w:t>
      </w:r>
    </w:p>
    <w:bookmarkStart w:id="80" w:name="recommended-team-composition-at-peak"/>
    <w:p>
      <w:pPr>
        <w:pStyle w:val="Heading2"/>
      </w:pPr>
      <w:r>
        <w:t xml:space="preserve">15.1 Recommended Team Composition at Peak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Peak</w:t>
            </w:r>
          </w:p>
        </w:tc>
        <w:tc>
          <w:tcPr/>
          <w:p>
            <w:pPr>
              <w:pStyle w:val="Compact"/>
              <w:jc w:val="left"/>
            </w:pPr>
            <w:r>
              <w:t xml:space="preserve">Key skills</w:t>
            </w:r>
          </w:p>
        </w:tc>
      </w:tr>
      <w:tr>
        <w:tc>
          <w:tcPr/>
          <w:p>
            <w:pPr>
              <w:pStyle w:val="Compact"/>
              <w:jc w:val="left"/>
            </w:pPr>
            <w:r>
              <w:t xml:space="preserve">Solution Architect</w:t>
            </w:r>
          </w:p>
        </w:tc>
        <w:tc>
          <w:tcPr/>
          <w:p>
            <w:pPr>
              <w:pStyle w:val="Compact"/>
              <w:jc w:val="left"/>
            </w:pPr>
            <w:r>
              <w:t xml:space="preserve">2</w:t>
            </w:r>
          </w:p>
        </w:tc>
        <w:tc>
          <w:tcPr/>
          <w:p>
            <w:pPr>
              <w:pStyle w:val="Compact"/>
              <w:jc w:val="left"/>
            </w:pPr>
            <w:r>
              <w:t xml:space="preserve">Azure data platform, Databricks, dimensional modeling, D365 F&amp;O data model, AI agent integration</w:t>
            </w:r>
          </w:p>
        </w:tc>
      </w:tr>
      <w:tr>
        <w:tc>
          <w:tcPr/>
          <w:p>
            <w:pPr>
              <w:pStyle w:val="Compact"/>
              <w:jc w:val="left"/>
            </w:pPr>
            <w:r>
              <w:t xml:space="preserve">Project Manager</w:t>
            </w:r>
          </w:p>
        </w:tc>
        <w:tc>
          <w:tcPr/>
          <w:p>
            <w:pPr>
              <w:pStyle w:val="Compact"/>
              <w:jc w:val="left"/>
            </w:pPr>
            <w:r>
              <w:t xml:space="preserve">2</w:t>
            </w:r>
          </w:p>
        </w:tc>
        <w:tc>
          <w:tcPr/>
          <w:p>
            <w:pPr>
              <w:pStyle w:val="Compact"/>
              <w:jc w:val="left"/>
            </w:pPr>
            <w:r>
              <w:t xml:space="preserve">Large-scale data program delivery, hybrid/agile methodology</w:t>
            </w:r>
          </w:p>
        </w:tc>
      </w:tr>
      <w:tr>
        <w:tc>
          <w:tcPr/>
          <w:p>
            <w:pPr>
              <w:pStyle w:val="Compact"/>
              <w:jc w:val="left"/>
            </w:pPr>
            <w:r>
              <w:t xml:space="preserve">Scrum Master / Delivery Lead</w:t>
            </w:r>
          </w:p>
        </w:tc>
        <w:tc>
          <w:tcPr/>
          <w:p>
            <w:pPr>
              <w:pStyle w:val="Compact"/>
              <w:jc w:val="left"/>
            </w:pPr>
            <w:r>
              <w:t xml:space="preserve">1</w:t>
            </w:r>
          </w:p>
        </w:tc>
        <w:tc>
          <w:tcPr/>
          <w:p>
            <w:pPr>
              <w:pStyle w:val="Compact"/>
              <w:jc w:val="left"/>
            </w:pPr>
            <w:r>
              <w:t xml:space="preserve">Agile delivery, team coordination, impediment removal</w:t>
            </w:r>
          </w:p>
        </w:tc>
      </w:tr>
      <w:tr>
        <w:tc>
          <w:tcPr/>
          <w:p>
            <w:pPr>
              <w:pStyle w:val="Compact"/>
              <w:jc w:val="left"/>
            </w:pPr>
            <w:r>
              <w:t xml:space="preserve">Data Architect / Data Modeller</w:t>
            </w:r>
          </w:p>
        </w:tc>
        <w:tc>
          <w:tcPr/>
          <w:p>
            <w:pPr>
              <w:pStyle w:val="Compact"/>
              <w:jc w:val="left"/>
            </w:pPr>
            <w:r>
              <w:t xml:space="preserve">2</w:t>
            </w:r>
          </w:p>
        </w:tc>
        <w:tc>
          <w:tcPr/>
          <w:p>
            <w:pPr>
              <w:pStyle w:val="Compact"/>
              <w:jc w:val="left"/>
            </w:pPr>
            <w:r>
              <w:t xml:space="preserve">Enterprise dimensional modeling (Kimball), Databricks/Delta Lake</w:t>
            </w:r>
          </w:p>
        </w:tc>
      </w:tr>
      <w:tr>
        <w:tc>
          <w:tcPr/>
          <w:p>
            <w:pPr>
              <w:pStyle w:val="Compact"/>
              <w:jc w:val="left"/>
            </w:pPr>
            <w:r>
              <w:t xml:space="preserve">Senior Data Engineer (Databricks)</w:t>
            </w:r>
          </w:p>
        </w:tc>
        <w:tc>
          <w:tcPr/>
          <w:p>
            <w:pPr>
              <w:pStyle w:val="Compact"/>
              <w:jc w:val="left"/>
            </w:pPr>
            <w:r>
              <w:t xml:space="preserve">5</w:t>
            </w:r>
          </w:p>
        </w:tc>
        <w:tc>
          <w:tcPr/>
          <w:p>
            <w:pPr>
              <w:pStyle w:val="Compact"/>
              <w:jc w:val="left"/>
            </w:pPr>
            <w:r>
              <w:t xml:space="preserve">PySpark/Spark SQL, Delta Lake, ELT pipeline design, AI code review, complex transformations</w:t>
            </w:r>
          </w:p>
        </w:tc>
      </w:tr>
      <w:tr>
        <w:tc>
          <w:tcPr/>
          <w:p>
            <w:pPr>
              <w:pStyle w:val="Compact"/>
              <w:jc w:val="left"/>
            </w:pPr>
            <w:r>
              <w:t xml:space="preserve">Data Engineer (Databricks)</w:t>
            </w:r>
          </w:p>
        </w:tc>
        <w:tc>
          <w:tcPr/>
          <w:p>
            <w:pPr>
              <w:pStyle w:val="Compact"/>
              <w:jc w:val="left"/>
            </w:pPr>
            <w:r>
              <w:t xml:space="preserve">11</w:t>
            </w:r>
          </w:p>
        </w:tc>
        <w:tc>
          <w:tcPr/>
          <w:p>
            <w:pPr>
              <w:pStyle w:val="Compact"/>
              <w:jc w:val="left"/>
            </w:pPr>
            <w:r>
              <w:t xml:space="preserve">PySpark/Spark SQL, Delta Lake, AI-assisted pipeline development</w:t>
            </w:r>
          </w:p>
        </w:tc>
      </w:tr>
      <w:tr>
        <w:tc>
          <w:tcPr/>
          <w:p>
            <w:pPr>
              <w:pStyle w:val="Compact"/>
              <w:jc w:val="left"/>
            </w:pPr>
            <w:r>
              <w:t xml:space="preserve">D365 F&amp;O Functional Consultant</w:t>
            </w:r>
          </w:p>
        </w:tc>
        <w:tc>
          <w:tcPr/>
          <w:p>
            <w:pPr>
              <w:pStyle w:val="Compact"/>
              <w:jc w:val="left"/>
            </w:pPr>
            <w:r>
              <w:t xml:space="preserve">2</w:t>
            </w:r>
          </w:p>
        </w:tc>
        <w:tc>
          <w:tcPr/>
          <w:p>
            <w:pPr>
              <w:pStyle w:val="Compact"/>
              <w:jc w:val="left"/>
            </w:pPr>
            <w:r>
              <w:t xml:space="preserve">AX 2012 and D365 F&amp;O data model, entity mapping, ERP business processes</w:t>
            </w:r>
          </w:p>
        </w:tc>
      </w:tr>
      <w:tr>
        <w:tc>
          <w:tcPr/>
          <w:p>
            <w:pPr>
              <w:pStyle w:val="Compact"/>
              <w:jc w:val="left"/>
            </w:pPr>
            <w:r>
              <w:t xml:space="preserve">Business Analyst</w:t>
            </w:r>
          </w:p>
        </w:tc>
        <w:tc>
          <w:tcPr/>
          <w:p>
            <w:pPr>
              <w:pStyle w:val="Compact"/>
              <w:jc w:val="left"/>
            </w:pPr>
            <w:r>
              <w:t xml:space="preserve">3</w:t>
            </w:r>
          </w:p>
        </w:tc>
        <w:tc>
          <w:tcPr/>
          <w:p>
            <w:pPr>
              <w:pStyle w:val="Compact"/>
              <w:jc w:val="left"/>
            </w:pPr>
            <w:r>
              <w:t xml:space="preserve">Requirements analysis, ERP business processes, UAT coordination</w:t>
            </w:r>
          </w:p>
        </w:tc>
      </w:tr>
      <w:tr>
        <w:tc>
          <w:tcPr/>
          <w:p>
            <w:pPr>
              <w:pStyle w:val="Compact"/>
              <w:jc w:val="left"/>
            </w:pPr>
            <w:r>
              <w:t xml:space="preserve">QA / Data Tester</w:t>
            </w:r>
          </w:p>
        </w:tc>
        <w:tc>
          <w:tcPr/>
          <w:p>
            <w:pPr>
              <w:pStyle w:val="Compact"/>
              <w:jc w:val="left"/>
            </w:pPr>
            <w:r>
              <w:t xml:space="preserve">3</w:t>
            </w:r>
          </w:p>
        </w:tc>
        <w:tc>
          <w:tcPr/>
          <w:p>
            <w:pPr>
              <w:pStyle w:val="Compact"/>
              <w:jc w:val="left"/>
            </w:pPr>
            <w:r>
              <w:t xml:space="preserve">Data reconciliation, automated testing, UAT management</w:t>
            </w:r>
          </w:p>
        </w:tc>
      </w:tr>
      <w:tr>
        <w:tc>
          <w:tcPr/>
          <w:p>
            <w:pPr>
              <w:pStyle w:val="Compact"/>
              <w:jc w:val="left"/>
            </w:pPr>
            <w:r>
              <w:rPr>
                <w:bCs/>
                <w:b/>
              </w:rPr>
              <w:t xml:space="preserve">Total at peak</w:t>
            </w:r>
          </w:p>
        </w:tc>
        <w:tc>
          <w:tcPr/>
          <w:p>
            <w:pPr>
              <w:pStyle w:val="Compact"/>
              <w:jc w:val="left"/>
            </w:pPr>
            <w:r>
              <w:rPr>
                <w:bCs/>
                <w:b/>
              </w:rPr>
              <w:t xml:space="preserve">31</w:t>
            </w:r>
          </w:p>
        </w:tc>
        <w:tc>
          <w:tcPr/>
          <w:p>
            <w:pPr>
              <w:pStyle w:val="Compact"/>
            </w:pPr>
          </w:p>
        </w:tc>
      </w:tr>
      <w:tr>
        <w:tc>
          <w:tcPr/>
          <w:p>
            <w:pPr>
              <w:pStyle w:val="Compact"/>
              <w:jc w:val="left"/>
            </w:pPr>
            <w:r>
              <w:rPr>
                <w:bCs/>
                <w:b/>
              </w:rPr>
              <w:t xml:space="preserve">Average over 9 months</w:t>
            </w:r>
          </w:p>
        </w:tc>
        <w:tc>
          <w:tcPr/>
          <w:p>
            <w:pPr>
              <w:pStyle w:val="Compact"/>
              <w:jc w:val="left"/>
            </w:pPr>
            <w:r>
              <w:rPr>
                <w:bCs/>
                <w:b/>
              </w:rPr>
              <w:t xml:space="preserve">22</w:t>
            </w:r>
          </w:p>
        </w:tc>
        <w:tc>
          <w:tcPr/>
          <w:p>
            <w:pPr>
              <w:pStyle w:val="Compact"/>
            </w:pPr>
          </w:p>
        </w:tc>
      </w:tr>
    </w:tbl>
    <w:bookmarkEnd w:id="80"/>
    <w:bookmarkStart w:id="81" w:name="critical-success-factors"/>
    <w:p>
      <w:pPr>
        <w:pStyle w:val="Heading2"/>
      </w:pPr>
      <w:r>
        <w:t xml:space="preserve">15.2 Critical Success Factors</w:t>
      </w:r>
    </w:p>
    <w:p>
      <w:pPr>
        <w:numPr>
          <w:ilvl w:val="0"/>
          <w:numId w:val="1014"/>
        </w:numPr>
        <w:pStyle w:val="Compact"/>
      </w:pPr>
      <w:r>
        <w:rPr>
          <w:bCs/>
          <w:b/>
        </w:rPr>
        <w:t xml:space="preserve">Validate questionnaire quality early.</w:t>
      </w:r>
      <w:r>
        <w:t xml:space="preserve"> </w:t>
      </w:r>
      <w:r>
        <w:t xml:space="preserve">Sample 100 questionnaires in Week 1. If more than 30% need significant rework, the AI leverage assumption is invalidated and Phase 5 staffing must revert toward baseline.</w:t>
      </w:r>
    </w:p>
    <w:p>
      <w:pPr>
        <w:numPr>
          <w:ilvl w:val="0"/>
          <w:numId w:val="1014"/>
        </w:numPr>
        <w:pStyle w:val="Compact"/>
      </w:pPr>
      <w:r>
        <w:rPr>
          <w:bCs/>
          <w:b/>
        </w:rPr>
        <w:t xml:space="preserve">Prime the AI agent thoroughly before Phase 5.</w:t>
      </w:r>
      <w:r>
        <w:t xml:space="preserve"> </w:t>
      </w:r>
      <w:r>
        <w:t xml:space="preserve">Feed the F&amp;O entity model, dimensional model, OBT schemas, and approved questionnaires into the AI agent. Validate on 200–500 pilot insights before scaling.</w:t>
      </w:r>
    </w:p>
    <w:p>
      <w:pPr>
        <w:numPr>
          <w:ilvl w:val="0"/>
          <w:numId w:val="1014"/>
        </w:numPr>
        <w:pStyle w:val="Compact"/>
      </w:pPr>
      <w:r>
        <w:rPr>
          <w:bCs/>
          <w:b/>
        </w:rPr>
        <w:t xml:space="preserve">Configure the D365 connector correctly on day one.</w:t>
      </w:r>
      <w:r>
        <w:t xml:space="preserve"> </w:t>
      </w:r>
      <w:r>
        <w:t xml:space="preserve">Domain-oriented pipeline design (respecting 250-tables-per-pipeline limit) must be right the first time. Test against a representative subset in the discovery spike.</w:t>
      </w:r>
    </w:p>
    <w:p>
      <w:pPr>
        <w:numPr>
          <w:ilvl w:val="0"/>
          <w:numId w:val="1014"/>
        </w:numPr>
        <w:pStyle w:val="Compact"/>
      </w:pPr>
      <w:r>
        <w:rPr>
          <w:bCs/>
          <w:b/>
        </w:rPr>
        <w:t xml:space="preserve">Port FastTrack patterns to Databricks early.</w:t>
      </w:r>
      <w:r>
        <w:t xml:space="preserve"> </w:t>
      </w:r>
      <w:r>
        <w:t xml:space="preserve">The Silver-layer framework port must complete in Month 2 before per-entity implementation ramps.</w:t>
      </w:r>
    </w:p>
    <w:p>
      <w:pPr>
        <w:numPr>
          <w:ilvl w:val="0"/>
          <w:numId w:val="1014"/>
        </w:numPr>
        <w:pStyle w:val="Compact"/>
      </w:pPr>
      <w:r>
        <w:rPr>
          <w:bCs/>
          <w:b/>
        </w:rPr>
        <w:t xml:space="preserve">Track velocity weekly.</w:t>
      </w:r>
      <w:r>
        <w:t xml:space="preserve"> </w:t>
      </w:r>
      <w:r>
        <w:t xml:space="preserve">Insights completed per engineer per day is the single most important metric. If actual throughput is below 5 insights/engineer/day in Phase 5, escalate staffing within two weeks.</w:t>
      </w:r>
    </w:p>
    <w:p>
      <w:pPr>
        <w:numPr>
          <w:ilvl w:val="0"/>
          <w:numId w:val="1014"/>
        </w:numPr>
        <w:pStyle w:val="Compact"/>
      </w:pPr>
      <w:r>
        <w:rPr>
          <w:bCs/>
          <w:b/>
        </w:rPr>
        <w:t xml:space="preserve">Secure business-user commitment contractually.</w:t>
      </w:r>
      <w:r>
        <w:t xml:space="preserve"> </w:t>
      </w:r>
      <w:r>
        <w:t xml:space="preserve">UAT will not succeed if domain experts are only</w:t>
      </w:r>
      <w:r>
        <w:t xml:space="preserve"> </w:t>
      </w:r>
      <w:r>
        <w:t xml:space="preserve">“</w:t>
      </w:r>
      <w:r>
        <w:t xml:space="preserve">available when they can be.</w:t>
      </w:r>
      <w:r>
        <w:t xml:space="preserve">”</w:t>
      </w:r>
      <w:r>
        <w:t xml:space="preserve"> </w:t>
      </w:r>
      <w:r>
        <w:t xml:space="preserve">Named participants with blocked calendar time are essential.</w:t>
      </w:r>
    </w:p>
    <w:p>
      <w:pPr>
        <w:numPr>
          <w:ilvl w:val="0"/>
          <w:numId w:val="1014"/>
        </w:numPr>
        <w:pStyle w:val="Compact"/>
      </w:pPr>
      <w:r>
        <w:rPr>
          <w:bCs/>
          <w:b/>
        </w:rPr>
        <w:t xml:space="preserve">Preserve senior seats.</w:t>
      </w:r>
      <w:r>
        <w:t xml:space="preserve"> </w:t>
      </w:r>
      <w:r>
        <w:t xml:space="preserve">AI leverage does not scale down the sign-off responsibility. Every OBT, every dimensional model, every insight ultimately requires human confirmation of correctness.</w:t>
      </w:r>
    </w:p>
    <w:p>
      <w:pPr>
        <w:numPr>
          <w:ilvl w:val="0"/>
          <w:numId w:val="1014"/>
        </w:numPr>
        <w:pStyle w:val="Compact"/>
      </w:pPr>
      <w:r>
        <w:rPr>
          <w:bCs/>
          <w:b/>
        </w:rPr>
        <w:t xml:space="preserve">Stagger onboarding.</w:t>
      </w:r>
      <w:r>
        <w:t xml:space="preserve"> </w:t>
      </w:r>
      <w:r>
        <w:t xml:space="preserve">Bringing 30+ people onto the project simultaneously will collapse productivity. Onboard in 3 waves: core team (Month 1), Phase 3/4 additions (Month 3), Phase 5 scaling (Month 5).</w:t>
      </w:r>
    </w:p>
    <w:p>
      <w:pPr>
        <w:numPr>
          <w:ilvl w:val="0"/>
          <w:numId w:val="1014"/>
        </w:numPr>
        <w:pStyle w:val="Compact"/>
      </w:pPr>
      <w:r>
        <w:rPr>
          <w:bCs/>
          <w:b/>
        </w:rPr>
        <w:t xml:space="preserve">Reserve human capacity for client-specific F&amp;O customisations.</w:t>
      </w:r>
      <w:r>
        <w:t xml:space="preserve"> </w:t>
      </w:r>
      <w:r>
        <w:t xml:space="preserve">These fall outside FastTrack templates and can consume disproportionate effort if under-resourced.</w:t>
      </w:r>
    </w:p>
    <w:bookmarkEnd w:id="81"/>
    <w:bookmarkStart w:id="82" w:name="bottom-line"/>
    <w:p>
      <w:pPr>
        <w:pStyle w:val="Heading2"/>
      </w:pPr>
      <w:r>
        <w:t xml:space="preserve">15.3 Bottom Line</w:t>
      </w:r>
    </w:p>
    <w:p>
      <w:pPr>
        <w:pStyle w:val="FirstParagraph"/>
      </w:pPr>
      <w:r>
        <w:t xml:space="preserve">The v3.0 realistic scenario requires ~192–207 person-months of effort delivered by a team averaging 22 FTEs and peaking at 29–32 FTEs across 9 months, on Azure Databricks with the Lakeflow Connect D365 connector consuming Synapse Link output from ADLS Gen2, using FastTrack patterns in the Silver layer and AI-assisted development throughout. Delivery is feasible with the plan above.</w:t>
      </w:r>
    </w:p>
    <w:p>
      <w:pPr>
        <w:pStyle w:val="BodyText"/>
      </w:pPr>
      <w:r>
        <w:rPr>
          <w:bCs/>
          <w:b/>
        </w:rPr>
        <w:t xml:space="preserve">The two variables most likely to determine whether the 9-month timeline holds are Phase 1 questionnaire quality (the upstream gate for Phase 5 AI leverage) and AI agent priming quality (the enabler of Phase 5 throughput).</w:t>
      </w:r>
      <w:r>
        <w:t xml:space="preserve"> </w:t>
      </w:r>
      <w:r>
        <w:t xml:space="preserve">Business-user availability during UAT is a secondary but material risk.</w:t>
      </w:r>
    </w:p>
    <w:p>
      <w:r>
        <w:pict>
          <v:rect style="width:0;height:1.5pt" o:hralign="center" o:hrstd="t" o:hr="t"/>
        </w:pict>
      </w:r>
    </w:p>
    <w:bookmarkEnd w:id="82"/>
    <w:bookmarkEnd w:id="83"/>
    <w:bookmarkStart w:id="87" w:name="appendix-a-basis-of-estimate"/>
    <w:p>
      <w:pPr>
        <w:pStyle w:val="Heading1"/>
      </w:pPr>
      <w:r>
        <w:t xml:space="preserve">Appendix A — Basis of Estimate</w:t>
      </w:r>
    </w:p>
    <w:p>
      <w:pPr>
        <w:pStyle w:val="FirstParagraph"/>
      </w:pPr>
      <w:r>
        <w:t xml:space="preserve">These estimates apply three accelerators to the v2.0 baseline: an AI development agent, the Microsoft FastTrack Implementation Assets, and the Azure Databricks Lakeflow Connect D365 connector. A 10% contingency has been applied to the grand total.</w:t>
      </w:r>
    </w:p>
    <w:bookmarkStart w:id="84" w:name="assumed-productivity-baseline"/>
    <w:p>
      <w:pPr>
        <w:pStyle w:val="Heading2"/>
      </w:pPr>
      <w:r>
        <w:t xml:space="preserve">Assumed Productivity Baseline</w:t>
      </w:r>
    </w:p>
    <w:p>
      <w:pPr>
        <w:numPr>
          <w:ilvl w:val="0"/>
          <w:numId w:val="1015"/>
        </w:numPr>
        <w:pStyle w:val="Compact"/>
      </w:pPr>
      <w:r>
        <w:t xml:space="preserve">7 productive hours per person per day</w:t>
      </w:r>
    </w:p>
    <w:p>
      <w:pPr>
        <w:numPr>
          <w:ilvl w:val="0"/>
          <w:numId w:val="1015"/>
        </w:numPr>
        <w:pStyle w:val="Compact"/>
      </w:pPr>
      <w:r>
        <w:t xml:space="preserve">~21.7 working days per month; ~195 working days across 9 months</w:t>
      </w:r>
    </w:p>
    <w:p>
      <w:pPr>
        <w:numPr>
          <w:ilvl w:val="0"/>
          <w:numId w:val="1015"/>
        </w:numPr>
        <w:pStyle w:val="Compact"/>
      </w:pPr>
      <w:r>
        <w:t xml:space="preserve">~1,365 productive hours per person over the 9-month program</w:t>
      </w:r>
    </w:p>
    <w:p>
      <w:pPr>
        <w:numPr>
          <w:ilvl w:val="0"/>
          <w:numId w:val="1015"/>
        </w:numPr>
        <w:pStyle w:val="Compact"/>
      </w:pPr>
      <w:r>
        <w:t xml:space="preserve">~152 productive hours per person per month</w:t>
      </w:r>
    </w:p>
    <w:bookmarkEnd w:id="84"/>
    <w:bookmarkStart w:id="85" w:name="accelerator-assumptions"/>
    <w:p>
      <w:pPr>
        <w:pStyle w:val="Heading2"/>
      </w:pPr>
      <w:r>
        <w:t xml:space="preserve">Accelerator Assumptions</w:t>
      </w:r>
    </w:p>
    <w:p>
      <w:pPr>
        <w:numPr>
          <w:ilvl w:val="0"/>
          <w:numId w:val="1016"/>
        </w:numPr>
        <w:pStyle w:val="Compact"/>
      </w:pPr>
      <w:r>
        <w:rPr>
          <w:bCs/>
          <w:b/>
        </w:rPr>
        <w:t xml:space="preserve">AI agent priming completed in Months 3–4</w:t>
      </w:r>
      <w:r>
        <w:t xml:space="preserve"> </w:t>
      </w:r>
      <w:r>
        <w:t xml:space="preserve">(200–400 hrs), primed with F&amp;O entity model, Phase 3 dimensional model, Phase 4 OBT schemas, and approved Phase 1 questionnaires</w:t>
      </w:r>
    </w:p>
    <w:p>
      <w:pPr>
        <w:numPr>
          <w:ilvl w:val="0"/>
          <w:numId w:val="1016"/>
        </w:numPr>
        <w:pStyle w:val="Compact"/>
      </w:pPr>
      <w:r>
        <w:rPr>
          <w:bCs/>
          <w:b/>
        </w:rPr>
        <w:t xml:space="preserve">FastTrack patterns ported to Databricks in Month 2</w:t>
      </w:r>
      <w:r>
        <w:t xml:space="preserve"> </w:t>
      </w:r>
      <w:r>
        <w:t xml:space="preserve">— enum translation, sub-table resolution,</w:t>
      </w:r>
      <w:r>
        <w:t xml:space="preserve"> </w:t>
      </w:r>
      <w:r>
        <w:rPr>
          <w:rStyle w:val="VerbatimChar"/>
        </w:rPr>
        <w:t xml:space="preserve">mserp_</w:t>
      </w:r>
      <w:r>
        <w:t xml:space="preserve"> </w:t>
      </w:r>
      <w:r>
        <w:t xml:space="preserve">prefix handling, view syntax replacement</w:t>
      </w:r>
    </w:p>
    <w:p>
      <w:pPr>
        <w:numPr>
          <w:ilvl w:val="0"/>
          <w:numId w:val="1016"/>
        </w:numPr>
        <w:pStyle w:val="Compact"/>
      </w:pPr>
      <w:r>
        <w:rPr>
          <w:bCs/>
          <w:b/>
        </w:rPr>
        <w:t xml:space="preserve">D365 connector operational from Month 1</w:t>
      </w:r>
      <w:r>
        <w:t xml:space="preserve"> </w:t>
      </w:r>
      <w:r>
        <w:t xml:space="preserve">— Bronze layer streaming tables auto-generated from Synapse Link output in ADLS Gen2</w:t>
      </w:r>
    </w:p>
    <w:p>
      <w:pPr>
        <w:numPr>
          <w:ilvl w:val="0"/>
          <w:numId w:val="1016"/>
        </w:numPr>
        <w:pStyle w:val="Compact"/>
      </w:pPr>
      <w:r>
        <w:rPr>
          <w:bCs/>
          <w:b/>
        </w:rPr>
        <w:t xml:space="preserve">AI-assisted throughput</w:t>
      </w:r>
      <w:r>
        <w:t xml:space="preserve">: simple insights 10–15/engineer/day, medium insights 5–7/day, complex insights 2–3/day; blended ~7–8/day</w:t>
      </w:r>
    </w:p>
    <w:bookmarkEnd w:id="85"/>
    <w:bookmarkStart w:id="86" w:name="recalibration-triggers"/>
    <w:p>
      <w:pPr>
        <w:pStyle w:val="Heading2"/>
      </w:pPr>
      <w:r>
        <w:t xml:space="preserve">Recalibration Triggers</w:t>
      </w:r>
    </w:p>
    <w:p>
      <w:pPr>
        <w:numPr>
          <w:ilvl w:val="0"/>
          <w:numId w:val="1017"/>
        </w:numPr>
        <w:pStyle w:val="Compact"/>
      </w:pPr>
      <w:r>
        <w:t xml:space="preserve">Entity count &gt; 240 or &lt; 160 after discovery</w:t>
      </w:r>
    </w:p>
    <w:p>
      <w:pPr>
        <w:numPr>
          <w:ilvl w:val="0"/>
          <w:numId w:val="1017"/>
        </w:numPr>
        <w:pStyle w:val="Compact"/>
      </w:pPr>
      <w:r>
        <w:t xml:space="preserve">More than 30% of sampled insight questionnaires require rework</w:t>
      </w:r>
    </w:p>
    <w:p>
      <w:pPr>
        <w:numPr>
          <w:ilvl w:val="0"/>
          <w:numId w:val="1017"/>
        </w:numPr>
        <w:pStyle w:val="Compact"/>
      </w:pPr>
      <w:r>
        <w:t xml:space="preserve">Fewer than 5 insights per engineer per day during first 2 weeks of Phase 5</w:t>
      </w:r>
    </w:p>
    <w:p>
      <w:pPr>
        <w:numPr>
          <w:ilvl w:val="0"/>
          <w:numId w:val="1017"/>
        </w:numPr>
        <w:pStyle w:val="Compact"/>
      </w:pPr>
      <w:r>
        <w:t xml:space="preserve">Synapse Link availability &lt; 95% during Phase 2</w:t>
      </w:r>
    </w:p>
    <w:p>
      <w:pPr>
        <w:numPr>
          <w:ilvl w:val="0"/>
          <w:numId w:val="1017"/>
        </w:numPr>
        <w:pStyle w:val="Compact"/>
      </w:pPr>
      <w:r>
        <w:t xml:space="preserve">Business-user availability for design workshops falls below 0.5 FTE per domain</w:t>
      </w:r>
    </w:p>
    <w:p>
      <w:pPr>
        <w:numPr>
          <w:ilvl w:val="0"/>
          <w:numId w:val="1017"/>
        </w:numPr>
        <w:pStyle w:val="Compact"/>
      </w:pPr>
      <w:r>
        <w:t xml:space="preserve">AI-generated Silver code failing DQ checks above 20% baseline rate</w:t>
      </w:r>
    </w:p>
    <w:p>
      <w:pPr>
        <w:numPr>
          <w:ilvl w:val="0"/>
          <w:numId w:val="1017"/>
        </w:numPr>
        <w:pStyle w:val="Compact"/>
      </w:pPr>
      <w:r>
        <w:t xml:space="preserve">Client F&amp;O customisations require more than 30% of Phase 2 effort outside FastTrack templates</w:t>
      </w:r>
    </w:p>
    <w:p>
      <w:r>
        <w:pict>
          <v:rect style="width:0;height:1.5pt" o:hralign="center" o:hrstd="t" o:hr="t"/>
        </w:pict>
      </w:r>
    </w:p>
    <w:bookmarkEnd w:id="86"/>
    <w:bookmarkEnd w:id="87"/>
    <w:bookmarkStart w:id="88" w:name="appendix-b-version-history"/>
    <w:p>
      <w:pPr>
        <w:pStyle w:val="Heading1"/>
      </w:pPr>
      <w:r>
        <w:t xml:space="preserve">Appendix B — Version History</w:t>
      </w:r>
    </w:p>
    <w:p>
      <w:pPr>
        <w:pStyle w:val="FirstParagraph"/>
      </w:pPr>
      <w:r>
        <w:rPr>
          <w:bCs/>
          <w:b/>
        </w:rPr>
        <w:t xml:space="preserve">v2.0 (baseline)</w:t>
      </w:r>
      <w:r>
        <w:t xml:space="preserve"> </w:t>
      </w:r>
      <w:r>
        <w:t xml:space="preserve">— Original estimate. ~47,036 hrs, 45 peak FTEs, 10.5 months. Assumed green-field Databricks build without AI or accelerator support.</w:t>
      </w:r>
    </w:p>
    <w:p>
      <w:pPr>
        <w:pStyle w:val="BodyText"/>
      </w:pPr>
      <w:r>
        <w:rPr>
          <w:bCs/>
          <w:b/>
        </w:rPr>
        <w:t xml:space="preserve">v3.0 (this document)</w:t>
      </w:r>
      <w:r>
        <w:t xml:space="preserve"> </w:t>
      </w:r>
      <w:r>
        <w:t xml:space="preserve">— Accelerator-adjusted estimate applying:</w:t>
      </w:r>
      <w:r>
        <w:t xml:space="preserve"> </w:t>
      </w:r>
      <w:r>
        <w:t xml:space="preserve">- Azure Databricks Lakeflow Connect D365 connector (Bronze layer automation)</w:t>
      </w:r>
      <w:r>
        <w:t xml:space="preserve"> </w:t>
      </w:r>
      <w:r>
        <w:t xml:space="preserve">- Microsoft FastTrack Implementation Assets (Silver layer patterns)</w:t>
      </w:r>
      <w:r>
        <w:t xml:space="preserve"> </w:t>
      </w:r>
      <w:r>
        <w:t xml:space="preserve">- AI development agent (code generation across Phases 2–5)</w:t>
      </w:r>
    </w:p>
    <w:p>
      <w:pPr>
        <w:pStyle w:val="BodyText"/>
      </w:pPr>
      <w:r>
        <w:t xml:space="preserve">Result: ~29,200–31,500 hrs, 29–32 peak FTEs, 10.5 months (unchanged timeline). ~33–38% effort reduction, ~29–36% peak headcount reduction.</w:t>
      </w:r>
    </w:p>
    <w:p>
      <w:pPr>
        <w:pStyle w:val="BodyText"/>
      </w:pPr>
      <w:r>
        <w:rPr>
          <w:bCs/>
          <w:b/>
        </w:rPr>
        <w:t xml:space="preserve">Arithmetic verified:</w:t>
      </w:r>
      <w:r>
        <w:t xml:space="preserve"> </w:t>
      </w:r>
      <w:r>
        <w:t xml:space="preserve">All phase totals sum from activity breakdowns. Grand total sums from phase totals plus 10% contingency. Recommended peak team composition sum = 31 (verified by row addition).</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F&amp;O Analytics Migration — Resource Estimate v3.0</dc:title>
  <dc:creator/>
  <cp:keywords/>
  <dcterms:created xsi:type="dcterms:W3CDTF">2026-07-12T05:58:16Z</dcterms:created>
  <dcterms:modified xsi:type="dcterms:W3CDTF">2026-07-12T05:58:16Z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Resource, Effort &amp; Delivery Plan — Phases 1 through 5</vt:lpwstr>
  </property>
</Properties>
</file>