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p>
      <w:pPr>
        <w:spacing w:after="200"/>
        <w:jc w:val="left"/>
      </w:pPr>
      <w:r>
        <w:rPr>
          <w:rFonts w:ascii="Calibri" w:cs="Calibri" w:eastAsia="Calibri" w:hAnsi="Calibri"/>
          <w:b/>
          <w:bCs/>
          <w:color w:val="2E7DAF"/>
          <w:sz w:val="20"/>
          <w:szCs w:val="20"/>
        </w:rPr>
        <w:t xml:space="preserve">TECHNICAL REFERENCE  ·  DATA ARCHITECTURE</w:t>
      </w:r>
    </w:p>
    <w:p>
      <w:pPr>
        <w:spacing w:after="200"/>
        <w:jc w:val="left"/>
      </w:pPr>
      <w:r>
        <w:rPr>
          <w:rFonts w:ascii="Calibri" w:cs="Calibri" w:eastAsia="Calibri" w:hAnsi="Calibri"/>
          <w:b/>
          <w:bCs/>
          <w:color w:val="1F3A5F"/>
          <w:sz w:val="60"/>
          <w:szCs w:val="60"/>
        </w:rPr>
        <w:t xml:space="preserve">Dynamics 365 F&amp;O Analytics</w:t>
      </w:r>
    </w:p>
    <w:p>
      <w:pPr>
        <w:spacing w:after="400"/>
        <w:jc w:val="left"/>
      </w:pPr>
      <w:r>
        <w:rPr>
          <w:rFonts w:ascii="Calibri" w:cs="Calibri" w:eastAsia="Calibri" w:hAnsi="Calibri"/>
          <w:color w:val="111827"/>
          <w:sz w:val="32"/>
          <w:szCs w:val="32"/>
        </w:rPr>
        <w:t xml:space="preserve">Synapse Link EntityUtil Scripts and Databricks Medallion Architecture</w:t>
      </w:r>
    </w:p>
    <w:p>
      <w:pPr>
        <w:spacing w:after="400" w:before="400"/>
      </w:pPr>
      <w:r>
        <w:t xml:space="preserve"/>
      </w:r>
    </w:p>
    <w:p>
      <w:pPr>
        <w:pBdr>
          <w:bottom w:val="single" w:color="2E7DAF" w:sz="12"/>
        </w:pBdr>
        <w:spacing w:after="200" w:before="200"/>
      </w:pPr>
      <w:r>
        <w:t xml:space="preserve"/>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Field</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Document type</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Technical reference &amp; implementation guide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Audience</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Data architects, data engineers, analytics leads</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Scope</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Microsoft FastTrack EntityUtil scripts + Databricks lakehouse mapping</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Source repository</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microsoft/Dynamics-365-FastTrack-Implementation-Assets</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architecture</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Raw → Silver → Gold (Dim/Fact) → OBT → Insights</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Version</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1.0</w:t>
            </w:r>
          </w:p>
        </w:tc>
      </w:tr>
    </w:tbl>
    <w:p>
      <w:r>
        <w:br w:type="page"/>
      </w:r>
    </w:p>
    <w:p>
      <w:pPr>
        <w:pStyle w:val="Heading1"/>
        <w:spacing w:after="200" w:before="480"/>
      </w:pPr>
      <w:r>
        <w:rPr>
          <w:rFonts w:ascii="Calibri" w:cs="Calibri" w:eastAsia="Calibri" w:hAnsi="Calibri"/>
          <w:b/>
          <w:bCs/>
          <w:color w:val="1F3A5F"/>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80"/>
      </w:pPr>
      <w:r>
        <w:rPr>
          <w:rFonts w:ascii="Calibri" w:cs="Calibri" w:eastAsia="Calibri" w:hAnsi="Calibri"/>
          <w:b/>
          <w:bCs/>
          <w:color w:val="1F3A5F"/>
          <w:sz w:val="36"/>
          <w:szCs w:val="36"/>
        </w:rPr>
        <w:t xml:space="preserve">1. Executive summary</w:t>
      </w:r>
    </w:p>
    <w:p>
      <w:pPr>
        <w:spacing w:after="80" w:before="80" w:line="300"/>
      </w:pPr>
      <w:r>
        <w:rPr>
          <w:rFonts w:ascii="Calibri" w:cs="Calibri" w:eastAsia="Calibri" w:hAnsi="Calibri"/>
          <w:b w:val="false"/>
          <w:bCs w:val="false"/>
          <w:i w:val="false"/>
          <w:iCs w:val="false"/>
          <w:color w:val="111827"/>
          <w:sz w:val="22"/>
          <w:szCs w:val="22"/>
        </w:rPr>
        <w:t xml:space="preserve">This document explains the Microsoft FastTrack </w:t>
      </w:r>
      <w:r>
        <w:rPr>
          <w:rFonts w:ascii="Consolas" w:cs="Consolas" w:eastAsia="Consolas" w:hAnsi="Consolas"/>
          <w:b w:val="false"/>
          <w:bCs w:val="false"/>
          <w:i w:val="false"/>
          <w:iCs w:val="false"/>
          <w:color w:val="1F3A5F"/>
          <w:sz w:val="20"/>
          <w:szCs w:val="20"/>
        </w:rPr>
        <w:t xml:space="preserve">EntityUtil</w:t>
      </w:r>
      <w:r>
        <w:rPr>
          <w:rFonts w:ascii="Calibri" w:cs="Calibri" w:eastAsia="Calibri" w:hAnsi="Calibri"/>
          <w:b w:val="false"/>
          <w:bCs w:val="false"/>
          <w:i w:val="false"/>
          <w:iCs w:val="false"/>
          <w:color w:val="111827"/>
          <w:sz w:val="22"/>
          <w:szCs w:val="22"/>
        </w:rPr>
        <w:t xml:space="preserve"> and </w:t>
      </w:r>
      <w:r>
        <w:rPr>
          <w:rFonts w:ascii="Consolas" w:cs="Consolas" w:eastAsia="Consolas" w:hAnsi="Consolas"/>
          <w:b w:val="false"/>
          <w:bCs w:val="false"/>
          <w:i w:val="false"/>
          <w:iCs w:val="false"/>
          <w:color w:val="1F3A5F"/>
          <w:sz w:val="20"/>
          <w:szCs w:val="20"/>
        </w:rPr>
        <w:t xml:space="preserve">AdditionalScripts</w:t>
      </w:r>
      <w:r>
        <w:rPr>
          <w:rFonts w:ascii="Calibri" w:cs="Calibri" w:eastAsia="Calibri" w:hAnsi="Calibri"/>
          <w:b w:val="false"/>
          <w:bCs w:val="false"/>
          <w:i w:val="false"/>
          <w:iCs w:val="false"/>
          <w:color w:val="111827"/>
          <w:sz w:val="22"/>
          <w:szCs w:val="22"/>
        </w:rPr>
        <w:t xml:space="preserve"> toolsets — what they are, why they exist, when and where to run them — and maps their logic to a Databricks medallion architecture consisting of Raw, Silver, Gold (dimensions and facts), OBT, and downstream insights.</w:t>
      </w:r>
    </w:p>
    <w:p>
      <w:pPr>
        <w:pStyle w:val="Heading3"/>
        <w:spacing w:after="100" w:before="260"/>
      </w:pPr>
      <w:r>
        <w:rPr>
          <w:rFonts w:ascii="Calibri" w:cs="Calibri" w:eastAsia="Calibri" w:hAnsi="Calibri"/>
          <w:b/>
          <w:bCs/>
          <w:color w:val="2E7DAF"/>
          <w:sz w:val="24"/>
          <w:szCs w:val="24"/>
        </w:rPr>
        <w:t xml:space="preserve">Origin and purpose</w:t>
      </w:r>
    </w:p>
    <w:p>
      <w:pPr>
        <w:spacing w:after="80" w:before="80" w:line="300"/>
      </w:pPr>
      <w:r>
        <w:rPr>
          <w:rFonts w:ascii="Calibri" w:cs="Calibri" w:eastAsia="Calibri" w:hAnsi="Calibri"/>
          <w:b w:val="false"/>
          <w:bCs w:val="false"/>
          <w:i w:val="false"/>
          <w:iCs w:val="false"/>
          <w:color w:val="111827"/>
          <w:sz w:val="22"/>
          <w:szCs w:val="22"/>
        </w:rPr>
        <w:t xml:space="preserve">These scripts were built by Microsoft's FastTrack team to help customers migrate off Bring Your Own Database (BYOD) and onto Azure Synapse Link for Dataverse (or the Fabric Link equivalent). BYOD exported flat, pre-joined D365 data entities. Synapse Link exports raw tables only. The scripts recreate BYOD-style entity shapes as SQL views on top of the raw Synapse Link output.</w:t>
      </w:r>
    </w:p>
    <w:p>
      <w:pPr>
        <w:pStyle w:val="Heading3"/>
        <w:spacing w:after="100" w:before="260"/>
      </w:pPr>
      <w:r>
        <w:rPr>
          <w:rFonts w:ascii="Calibri" w:cs="Calibri" w:eastAsia="Calibri" w:hAnsi="Calibri"/>
          <w:b/>
          <w:bCs/>
          <w:color w:val="2E7DAF"/>
          <w:sz w:val="24"/>
          <w:szCs w:val="24"/>
        </w:rPr>
        <w:t xml:space="preserve">Relevance to Databricks</w:t>
      </w:r>
    </w:p>
    <w:p>
      <w:pPr>
        <w:spacing w:after="80" w:before="80" w:line="300"/>
      </w:pPr>
      <w:r>
        <w:rPr>
          <w:rFonts w:ascii="Calibri" w:cs="Calibri" w:eastAsia="Calibri" w:hAnsi="Calibri"/>
          <w:b w:val="false"/>
          <w:bCs w:val="false"/>
          <w:i w:val="false"/>
          <w:iCs w:val="false"/>
          <w:color w:val="111827"/>
          <w:sz w:val="22"/>
          <w:szCs w:val="22"/>
        </w:rPr>
        <w:t xml:space="preserve">These scripts do not run in Databricks and are not intended for a lakehouse architecture. However, their internal logic is directly reusable: the dependency graph they build and the join statements they emit are a blueprint for how to reconstruct D365 tables and entity shapes in Spark. Everything the scripts do to a SQL view, a Databricks notebook can do to a Delta table.</w:t>
      </w:r>
    </w:p>
    <w:p>
      <w:pPr>
        <w:pStyle w:val="Heading3"/>
        <w:spacing w:after="100" w:before="260"/>
      </w:pPr>
      <w:r>
        <w:rPr>
          <w:rFonts w:ascii="Calibri" w:cs="Calibri" w:eastAsia="Calibri" w:hAnsi="Calibri"/>
          <w:b/>
          <w:bCs/>
          <w:color w:val="2E7DAF"/>
          <w:sz w:val="24"/>
          <w:szCs w:val="24"/>
        </w:rPr>
        <w:t xml:space="preserve">Key takeaways</w:t>
      </w:r>
    </w:p>
    <w:p>
      <w:pPr>
        <w:pStyle w:val="ListParagraph"/>
        <w:numPr>
          <w:ilvl w:val="0"/>
          <w:numId w:val="2"/>
        </w:numPr>
        <w:spacing w:after="40" w:before="40" w:line="280"/>
      </w:pPr>
      <w:r>
        <w:rPr>
          <w:rFonts w:ascii="Calibri" w:cs="Calibri" w:eastAsia="Calibri" w:hAnsi="Calibri"/>
          <w:color w:val="111827"/>
          <w:sz w:val="22"/>
          <w:szCs w:val="22"/>
        </w:rPr>
        <w:t xml:space="preserve">The scripts are Synapse Link tooling. They are unrelated to BYOD once BYOD is decommissioned, and are unrelated to the internal workings of Databricks.</w:t>
      </w:r>
    </w:p>
    <w:p>
      <w:pPr>
        <w:pStyle w:val="ListParagraph"/>
        <w:numPr>
          <w:ilvl w:val="0"/>
          <w:numId w:val="2"/>
        </w:numPr>
        <w:spacing w:after="40" w:before="40" w:line="280"/>
      </w:pPr>
      <w:r>
        <w:rPr>
          <w:rFonts w:ascii="Calibri" w:cs="Calibri" w:eastAsia="Calibri" w:hAnsi="Calibri"/>
          <w:color w:val="111827"/>
          <w:sz w:val="22"/>
          <w:szCs w:val="22"/>
        </w:rPr>
        <w:t xml:space="preserve">A one-time discovery step (get_derivetables.sql) tells you which child tables to add to your Synapse Link profile so no data is missed at export time.</w:t>
      </w:r>
    </w:p>
    <w:p>
      <w:pPr>
        <w:pStyle w:val="ListParagraph"/>
        <w:numPr>
          <w:ilvl w:val="0"/>
          <w:numId w:val="2"/>
        </w:numPr>
        <w:spacing w:after="40" w:before="40" w:line="280"/>
      </w:pPr>
      <w:r>
        <w:rPr>
          <w:rFonts w:ascii="Calibri" w:cs="Calibri" w:eastAsia="Calibri" w:hAnsi="Calibri"/>
          <w:color w:val="111827"/>
          <w:sz w:val="22"/>
          <w:szCs w:val="22"/>
        </w:rPr>
        <w:t xml:space="preserve">The heavy lifting logic — inherited table reconstruction, enum resolution, dimension explosion — belongs in the Silver layer of your lakehouse.</w:t>
      </w:r>
    </w:p>
    <w:p>
      <w:pPr>
        <w:pStyle w:val="ListParagraph"/>
        <w:numPr>
          <w:ilvl w:val="0"/>
          <w:numId w:val="2"/>
        </w:numPr>
        <w:spacing w:after="40" w:before="40" w:line="280"/>
      </w:pPr>
      <w:r>
        <w:rPr>
          <w:rFonts w:ascii="Calibri" w:cs="Calibri" w:eastAsia="Calibri" w:hAnsi="Calibri"/>
          <w:color w:val="111827"/>
          <w:sz w:val="22"/>
          <w:szCs w:val="22"/>
        </w:rPr>
        <w:t xml:space="preserve">Entity-style joins (multiple different tables into one business shape) belong in the Gold layer as star-schema dimensions and facts, not as flat entity replicas.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DBEAFE" w:color="auto" w:val="clear"/>
            <w:tcMar>
              <w:top w:type="dxa" w:w="200"/>
              <w:left w:type="dxa" w:w="240"/>
              <w:bottom w:type="dxa" w:w="200"/>
              <w:right w:type="dxa" w:w="240"/>
            </w:tcMar>
          </w:tcPr>
          <w:p>
            <w:pPr>
              <w:spacing w:after="100"/>
            </w:pPr>
            <w:r>
              <w:rPr>
                <w:rFonts w:ascii="Calibri" w:cs="Calibri" w:eastAsia="Calibri" w:hAnsi="Calibri"/>
                <w:b/>
                <w:bCs/>
                <w:color w:val="1D4ED8"/>
                <w:sz w:val="22"/>
                <w:szCs w:val="22"/>
              </w:rPr>
              <w:t xml:space="preserve">For your architecture</w:t>
            </w:r>
          </w:p>
          <w:p>
            <w:pPr>
              <w:spacing w:line="300"/>
            </w:pPr>
            <w:r>
              <w:rPr>
                <w:rFonts w:ascii="Calibri" w:cs="Calibri" w:eastAsia="Calibri" w:hAnsi="Calibri"/>
                <w:color w:val="111827"/>
                <w:sz w:val="22"/>
                <w:szCs w:val="22"/>
              </w:rPr>
              <w:t xml:space="preserve">Silver is not equivalent to a D365 entity. Silver makes each individual D365 table whole again. Gold joins many Silver tables into business dimensions and facts. Confusing these two layers leads to duplicated join logic and unmaintainable pipelines.</w:t>
            </w:r>
          </w:p>
        </w:tc>
      </w:tr>
    </w:tbl>
    <w:p>
      <w:r>
        <w:br w:type="page"/>
      </w:r>
    </w:p>
    <w:p>
      <w:pPr>
        <w:pStyle w:val="Heading1"/>
        <w:spacing w:after="200" w:before="480"/>
      </w:pPr>
      <w:r>
        <w:rPr>
          <w:rFonts w:ascii="Calibri" w:cs="Calibri" w:eastAsia="Calibri" w:hAnsi="Calibri"/>
          <w:b/>
          <w:bCs/>
          <w:color w:val="1F3A5F"/>
          <w:sz w:val="36"/>
          <w:szCs w:val="36"/>
        </w:rPr>
        <w:t xml:space="preserve">2. Background: BYOD vs Synapse Link</w:t>
      </w:r>
    </w:p>
    <w:p>
      <w:pPr>
        <w:pStyle w:val="Heading2"/>
        <w:spacing w:after="140" w:before="320"/>
      </w:pPr>
      <w:r>
        <w:rPr>
          <w:rFonts w:ascii="Calibri" w:cs="Calibri" w:eastAsia="Calibri" w:hAnsi="Calibri"/>
          <w:b/>
          <w:bCs/>
          <w:color w:val="1F3A5F"/>
          <w:sz w:val="28"/>
          <w:szCs w:val="28"/>
        </w:rPr>
        <w:t xml:space="preserve">2.1 What BYOD provided</w:t>
      </w:r>
    </w:p>
    <w:p>
      <w:pPr>
        <w:spacing w:after="80" w:before="80" w:line="300"/>
      </w:pPr>
      <w:r>
        <w:rPr>
          <w:rFonts w:ascii="Calibri" w:cs="Calibri" w:eastAsia="Calibri" w:hAnsi="Calibri"/>
          <w:b w:val="false"/>
          <w:bCs w:val="false"/>
          <w:i w:val="false"/>
          <w:iCs w:val="false"/>
          <w:color w:val="111827"/>
          <w:sz w:val="22"/>
          <w:szCs w:val="22"/>
        </w:rPr>
        <w:t xml:space="preserve">Bring Your Own Database (BYOD) allowed D365 Finance &amp; Operations customers to schedule exports of </w:t>
      </w:r>
    </w:p>
    <w:p>
      <w:pPr>
        <w:spacing w:after="80" w:before="80" w:line="300"/>
      </w:pPr>
      <w:r>
        <w:rPr>
          <w:rFonts w:ascii="Calibri" w:cs="Calibri" w:eastAsia="Calibri" w:hAnsi="Calibri"/>
          <w:b/>
          <w:bCs/>
          <w:i w:val="false"/>
          <w:iCs w:val="false"/>
          <w:color w:val="111827"/>
          <w:sz w:val="22"/>
          <w:szCs w:val="22"/>
        </w:rPr>
        <w:t xml:space="preserve">data entities</w:t>
      </w:r>
      <w:r>
        <w:rPr>
          <w:rFonts w:ascii="Calibri" w:cs="Calibri" w:eastAsia="Calibri" w:hAnsi="Calibri"/>
          <w:b w:val="false"/>
          <w:bCs w:val="false"/>
          <w:i w:val="false"/>
          <w:iCs w:val="false"/>
          <w:color w:val="111827"/>
          <w:sz w:val="22"/>
          <w:szCs w:val="22"/>
        </w:rPr>
        <w:t xml:space="preserve"> — pre-joined SQL views inside the F&amp;O application — to an external Azure SQL Database. Entities such as </w:t>
      </w:r>
      <w:r>
        <w:rPr>
          <w:rFonts w:ascii="Consolas" w:cs="Consolas" w:eastAsia="Consolas" w:hAnsi="Consolas"/>
          <w:b w:val="false"/>
          <w:bCs w:val="false"/>
          <w:i w:val="false"/>
          <w:iCs w:val="false"/>
          <w:color w:val="1F3A5F"/>
          <w:sz w:val="20"/>
          <w:szCs w:val="20"/>
        </w:rPr>
        <w:t xml:space="preserve">CustCustomerV3Entity</w:t>
      </w:r>
      <w:r>
        <w:rPr>
          <w:rFonts w:ascii="Calibri" w:cs="Calibri" w:eastAsia="Calibri" w:hAnsi="Calibri"/>
          <w:b w:val="false"/>
          <w:bCs w:val="false"/>
          <w:i w:val="false"/>
          <w:iCs w:val="false"/>
          <w:color w:val="111827"/>
          <w:sz w:val="22"/>
          <w:szCs w:val="22"/>
        </w:rPr>
        <w:t xml:space="preserve"> or </w:t>
      </w:r>
      <w:r>
        <w:rPr>
          <w:rFonts w:ascii="Consolas" w:cs="Consolas" w:eastAsia="Consolas" w:hAnsi="Consolas"/>
          <w:b w:val="false"/>
          <w:bCs w:val="false"/>
          <w:i w:val="false"/>
          <w:iCs w:val="false"/>
          <w:color w:val="1F3A5F"/>
          <w:sz w:val="20"/>
          <w:szCs w:val="20"/>
        </w:rPr>
        <w:t xml:space="preserve">VendVendorV2Entity</w:t>
      </w:r>
      <w:r>
        <w:rPr>
          <w:rFonts w:ascii="Calibri" w:cs="Calibri" w:eastAsia="Calibri" w:hAnsi="Calibri"/>
          <w:b w:val="false"/>
          <w:bCs w:val="false"/>
          <w:i w:val="false"/>
          <w:iCs w:val="false"/>
          <w:color w:val="111827"/>
          <w:sz w:val="22"/>
          <w:szCs w:val="22"/>
        </w:rPr>
        <w:t xml:space="preserve"> already contained joined data from ten or more underlying tables, presented as a single flat rowset. Reporting tools consumed the entity directly.</w:t>
      </w:r>
    </w:p>
    <w:p>
      <w:pPr>
        <w:pStyle w:val="Heading2"/>
        <w:spacing w:after="140" w:before="320"/>
      </w:pPr>
      <w:r>
        <w:rPr>
          <w:rFonts w:ascii="Calibri" w:cs="Calibri" w:eastAsia="Calibri" w:hAnsi="Calibri"/>
          <w:b/>
          <w:bCs/>
          <w:color w:val="1F3A5F"/>
          <w:sz w:val="28"/>
          <w:szCs w:val="28"/>
        </w:rPr>
        <w:t xml:space="preserve">2.2 Why BYOD is being retired</w:t>
      </w:r>
    </w:p>
    <w:p>
      <w:pPr>
        <w:pStyle w:val="ListParagraph"/>
        <w:numPr>
          <w:ilvl w:val="0"/>
          <w:numId w:val="2"/>
        </w:numPr>
        <w:spacing w:after="40" w:before="40" w:line="280"/>
      </w:pPr>
      <w:r>
        <w:rPr>
          <w:rFonts w:ascii="Calibri" w:cs="Calibri" w:eastAsia="Calibri" w:hAnsi="Calibri"/>
          <w:color w:val="111827"/>
          <w:sz w:val="22"/>
          <w:szCs w:val="22"/>
        </w:rPr>
        <w:t xml:space="preserve">BYOD is a batch export mechanism; changes are pushed only on schedule.</w:t>
      </w:r>
    </w:p>
    <w:p>
      <w:pPr>
        <w:pStyle w:val="ListParagraph"/>
        <w:numPr>
          <w:ilvl w:val="0"/>
          <w:numId w:val="2"/>
        </w:numPr>
        <w:spacing w:after="40" w:before="40" w:line="280"/>
      </w:pPr>
      <w:r>
        <w:rPr>
          <w:rFonts w:ascii="Calibri" w:cs="Calibri" w:eastAsia="Calibri" w:hAnsi="Calibri"/>
          <w:color w:val="111827"/>
          <w:sz w:val="22"/>
          <w:szCs w:val="22"/>
        </w:rPr>
        <w:t xml:space="preserve">It scales poorly and often locks the source database during export.</w:t>
      </w:r>
    </w:p>
    <w:p>
      <w:pPr>
        <w:pStyle w:val="ListParagraph"/>
        <w:numPr>
          <w:ilvl w:val="0"/>
          <w:numId w:val="2"/>
        </w:numPr>
        <w:spacing w:after="40" w:before="40" w:line="280"/>
      </w:pPr>
      <w:r>
        <w:rPr>
          <w:rFonts w:ascii="Calibri" w:cs="Calibri" w:eastAsia="Calibri" w:hAnsi="Calibri"/>
          <w:color w:val="111827"/>
          <w:sz w:val="22"/>
          <w:szCs w:val="22"/>
        </w:rPr>
        <w:t xml:space="preserve">Complex entities frequently time out; incremental export is limited.</w:t>
      </w:r>
    </w:p>
    <w:p>
      <w:pPr>
        <w:pStyle w:val="ListParagraph"/>
        <w:numPr>
          <w:ilvl w:val="0"/>
          <w:numId w:val="2"/>
        </w:numPr>
        <w:spacing w:after="40" w:before="40" w:line="280"/>
      </w:pPr>
      <w:r>
        <w:rPr>
          <w:rFonts w:ascii="Calibri" w:cs="Calibri" w:eastAsia="Calibri" w:hAnsi="Calibri"/>
          <w:color w:val="111827"/>
          <w:sz w:val="22"/>
          <w:szCs w:val="22"/>
        </w:rPr>
        <w:t xml:space="preserve">Microsoft is deprecating this pattern in favour of near-real-time change feeds.</w:t>
      </w:r>
    </w:p>
    <w:p>
      <w:pPr>
        <w:pStyle w:val="Heading2"/>
        <w:spacing w:after="140" w:before="320"/>
      </w:pPr>
      <w:r>
        <w:rPr>
          <w:rFonts w:ascii="Calibri" w:cs="Calibri" w:eastAsia="Calibri" w:hAnsi="Calibri"/>
          <w:b/>
          <w:bCs/>
          <w:color w:val="1F3A5F"/>
          <w:sz w:val="28"/>
          <w:szCs w:val="28"/>
        </w:rPr>
        <w:t xml:space="preserve">2.3 What Synapse Link provides instead</w:t>
      </w:r>
    </w:p>
    <w:p>
      <w:pPr>
        <w:spacing w:after="80" w:before="80" w:line="300"/>
      </w:pPr>
      <w:r>
        <w:rPr>
          <w:rFonts w:ascii="Calibri" w:cs="Calibri" w:eastAsia="Calibri" w:hAnsi="Calibri"/>
          <w:b w:val="false"/>
          <w:bCs w:val="false"/>
          <w:i w:val="false"/>
          <w:iCs w:val="false"/>
          <w:color w:val="111827"/>
          <w:sz w:val="22"/>
          <w:szCs w:val="22"/>
        </w:rPr>
        <w:t xml:space="preserve">Synapse Link for Dataverse (and the Fabric Link variant) exports raw tables to Azure Data Lake Storage in near real time, using change tracking. It exports the individual base tables, not the pre-joined entity views. The customer is responsible for reconstructing the entity shape on the analytics side.</w:t>
      </w:r>
    </w:p>
    <w:p>
      <w:pPr>
        <w:pStyle w:val="Heading2"/>
        <w:spacing w:after="140" w:before="320"/>
      </w:pPr>
      <w:r>
        <w:rPr>
          <w:rFonts w:ascii="Calibri" w:cs="Calibri" w:eastAsia="Calibri" w:hAnsi="Calibri"/>
          <w:b/>
          <w:bCs/>
          <w:color w:val="1F3A5F"/>
          <w:sz w:val="28"/>
          <w:szCs w:val="28"/>
        </w:rPr>
        <w:t xml:space="preserve">2.4 The gap the scripts fill</w:t>
      </w:r>
    </w:p>
    <w:p>
      <w:pPr>
        <w:spacing w:after="80" w:before="80" w:line="300"/>
      </w:pPr>
      <w:r>
        <w:rPr>
          <w:rFonts w:ascii="Calibri" w:cs="Calibri" w:eastAsia="Calibri" w:hAnsi="Calibri"/>
          <w:b w:val="false"/>
          <w:bCs w:val="false"/>
          <w:i w:val="false"/>
          <w:iCs w:val="false"/>
          <w:color w:val="111827"/>
          <w:sz w:val="22"/>
          <w:szCs w:val="22"/>
        </w:rPr>
        <w:t xml:space="preserve">For customers who want the same entity shapes they had under BYOD, the FastTrack scripts read the entity definitions from a live D365 sandbox and reproduce them as SQL views on top of the raw Synapse Link output. This preserves backward compatibility for existing reports.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E5EBF2" w:color="auto" w:val="clear"/>
            <w:tcMar>
              <w:top w:type="dxa" w:w="200"/>
              <w:left w:type="dxa" w:w="240"/>
              <w:bottom w:type="dxa" w:w="200"/>
              <w:right w:type="dxa" w:w="240"/>
            </w:tcMar>
          </w:tcPr>
          <w:p>
            <w:pPr>
              <w:spacing w:after="100"/>
            </w:pPr>
            <w:r>
              <w:rPr>
                <w:rFonts w:ascii="Calibri" w:cs="Calibri" w:eastAsia="Calibri" w:hAnsi="Calibri"/>
                <w:b/>
                <w:bCs/>
                <w:color w:val="1F3A5F"/>
                <w:sz w:val="22"/>
                <w:szCs w:val="22"/>
              </w:rPr>
              <w:t xml:space="preserve">Two paths after Synapse Link</w:t>
            </w:r>
          </w:p>
          <w:p>
            <w:pPr>
              <w:spacing w:after="80" w:before="80" w:line="300"/>
            </w:pPr>
            <w:r>
              <w:rPr>
                <w:rFonts w:ascii="Calibri" w:cs="Calibri" w:eastAsia="Calibri" w:hAnsi="Calibri"/>
                <w:b/>
                <w:bCs/>
                <w:i w:val="false"/>
                <w:iCs w:val="false"/>
                <w:color w:val="111827"/>
                <w:sz w:val="22"/>
                <w:szCs w:val="22"/>
              </w:rPr>
              <w:t xml:space="preserve">Path A — </w:t>
            </w:r>
            <w:r>
              <w:rPr>
                <w:rFonts w:ascii="Calibri" w:cs="Calibri" w:eastAsia="Calibri" w:hAnsi="Calibri"/>
                <w:b w:val="false"/>
                <w:bCs w:val="false"/>
                <w:i w:val="false"/>
                <w:iCs w:val="false"/>
                <w:color w:val="111827"/>
                <w:sz w:val="22"/>
                <w:szCs w:val="22"/>
              </w:rPr>
              <w:t xml:space="preserve">Recreate BYOD-style views. Suits organisations with heavy investment in existing entity-based reporting and a Synapse or Fabric SQL warehouse. This is what these scripts support.</w:t>
            </w:r>
          </w:p>
          <w:p>
            <w:pPr>
              <w:spacing w:after="80" w:before="80" w:line="300"/>
            </w:pPr>
            <w:r>
              <w:rPr>
                <w:rFonts w:ascii="Calibri" w:cs="Calibri" w:eastAsia="Calibri" w:hAnsi="Calibri"/>
                <w:b/>
                <w:bCs/>
                <w:i w:val="false"/>
                <w:iCs w:val="false"/>
                <w:color w:val="111827"/>
                <w:sz w:val="22"/>
                <w:szCs w:val="22"/>
              </w:rPr>
              <w:t xml:space="preserve">Path B — </w:t>
            </w:r>
            <w:r>
              <w:rPr>
                <w:rFonts w:ascii="Calibri" w:cs="Calibri" w:eastAsia="Calibri" w:hAnsi="Calibri"/>
                <w:b w:val="false"/>
                <w:bCs w:val="false"/>
                <w:i w:val="false"/>
                <w:iCs w:val="false"/>
                <w:color w:val="111827"/>
                <w:sz w:val="22"/>
                <w:szCs w:val="22"/>
              </w:rPr>
              <w:t xml:space="preserve">Model in a lakehouse. Suits organisations building a modern medallion architecture on Databricks. Reconstruction logic moves into the Silver layer; business modelling moves into Gold. The scripts serve as a blueprint, not a runtime.</w:t>
            </w:r>
          </w:p>
        </w:tc>
      </w:tr>
    </w:tbl>
    <w:p>
      <w:r>
        <w:br w:type="page"/>
      </w:r>
    </w:p>
    <w:p>
      <w:pPr>
        <w:pStyle w:val="Heading1"/>
        <w:spacing w:after="200" w:before="480"/>
      </w:pPr>
      <w:r>
        <w:rPr>
          <w:rFonts w:ascii="Calibri" w:cs="Calibri" w:eastAsia="Calibri" w:hAnsi="Calibri"/>
          <w:b/>
          <w:bCs/>
          <w:color w:val="1F3A5F"/>
          <w:sz w:val="36"/>
          <w:szCs w:val="36"/>
        </w:rPr>
        <w:t xml:space="preserve">3. Script inventory</w:t>
      </w:r>
    </w:p>
    <w:p>
      <w:pPr>
        <w:spacing w:after="80" w:before="80" w:line="300"/>
      </w:pPr>
      <w:r>
        <w:rPr>
          <w:rFonts w:ascii="Calibri" w:cs="Calibri" w:eastAsia="Calibri" w:hAnsi="Calibri"/>
          <w:b w:val="false"/>
          <w:bCs w:val="false"/>
          <w:i w:val="false"/>
          <w:iCs w:val="false"/>
          <w:color w:val="111827"/>
          <w:sz w:val="22"/>
          <w:szCs w:val="22"/>
        </w:rPr>
        <w:t xml:space="preserve">The following files exist across the two directories under Administration / Analytics / DataverseLink / DataIntegration.</w:t>
      </w:r>
    </w:p>
    <w:p>
      <w:pPr>
        <w:pStyle w:val="Heading2"/>
        <w:spacing w:after="140" w:before="320"/>
      </w:pPr>
      <w:r>
        <w:rPr>
          <w:rFonts w:ascii="Calibri" w:cs="Calibri" w:eastAsia="Calibri" w:hAnsi="Calibri"/>
          <w:b/>
          <w:bCs/>
          <w:color w:val="1F3A5F"/>
          <w:sz w:val="28"/>
          <w:szCs w:val="28"/>
        </w:rPr>
        <w:t xml:space="preserve">3.1 EntityUtil directory</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1600"/>
        <w:gridCol w:w="5000"/>
      </w:tblGrid>
      <w:tr>
        <w:trPr>
          <w:tblHeader/>
        </w:trPr>
        <w:tc>
          <w:tcPr>
            <w:tcW w:type="dxa" w:w="2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File</w:t>
            </w:r>
          </w:p>
        </w:tc>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5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Role</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RunEntityUtil.ps1</w:t>
            </w:r>
          </w:p>
        </w:tc>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Menu-driven entry point that dispatches to the other .ps1 scripts.</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GenerateEntityDependency.ps1</w:t>
            </w:r>
          </w:p>
        </w:tc>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Step 1. Reads entity metadata from the D365 sandbox and writes dependencies.json.</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EntityUtil.ps1</w:t>
            </w:r>
          </w:p>
        </w:tc>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Step 2. Creates entity views in the target database from dependencies.json.</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DeleteViewsFromSynapse.ps1</w:t>
            </w:r>
          </w:p>
        </w:tc>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Steps 3 and 4. Cleanup — drops views and tables in target or source database.</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GenerateInheritedTables.ps1</w:t>
            </w:r>
          </w:p>
        </w:tc>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Step 5. Creates inherited-table views on Fabric or Serverless replica.</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config.json</w:t>
            </w:r>
          </w:p>
        </w:tc>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JSON config</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Central configuration: sandbox credentials, target DB, entity list, schema options.</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ReplaceViewSyntax.json</w:t>
            </w:r>
          </w:p>
        </w:tc>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JSON config</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Find/replace rules to fix SQL syntax incompatibilities in view DDL.</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ReplaceFabricViewSyntax.json</w:t>
            </w:r>
          </w:p>
        </w:tc>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JSON config</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Fabric-specific case-sensitivity fixes.</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tableinheritance.json</w:t>
            </w:r>
          </w:p>
        </w:tc>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JSON config</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Parent-to-child table mapping used by Step 5.</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readme.md</w:t>
            </w:r>
          </w:p>
        </w:tc>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Documentation</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Repository-provided instructions and prerequisites.</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3.2 AdditionalScripts directory</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1600"/>
        <w:gridCol w:w="5000"/>
      </w:tblGrid>
      <w:tr>
        <w:trPr>
          <w:tblHeader/>
        </w:trPr>
        <w:tc>
          <w:tcPr>
            <w:tcW w:type="dxa" w:w="2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File</w:t>
            </w:r>
          </w:p>
        </w:tc>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Type</w:t>
            </w:r>
          </w:p>
        </w:tc>
        <w:tc>
          <w:tcPr>
            <w:tcW w:type="dxa" w:w="5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Role</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get_derivetables.sql</w:t>
            </w:r>
          </w:p>
        </w:tc>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T-SQL</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Discovery query. Enumerates all inherited-table parent/child relationships in the D365 sandbox and produces ready-to-use join statements.</w:t>
            </w:r>
          </w:p>
        </w:tc>
      </w:tr>
    </w:tbl>
    <w:p>
      <w:pPr>
        <w:spacing w:after="200" w:before="200"/>
      </w:pPr>
      <w: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FEF3C7" w:color="auto" w:val="clear"/>
            <w:tcMar>
              <w:top w:type="dxa" w:w="200"/>
              <w:left w:type="dxa" w:w="240"/>
              <w:bottom w:type="dxa" w:w="200"/>
              <w:right w:type="dxa" w:w="240"/>
            </w:tcMar>
          </w:tcPr>
          <w:p>
            <w:pPr>
              <w:spacing w:after="100"/>
            </w:pPr>
            <w:r>
              <w:rPr>
                <w:rFonts w:ascii="Calibri" w:cs="Calibri" w:eastAsia="Calibri" w:hAnsi="Calibri"/>
                <w:b/>
                <w:bCs/>
                <w:color w:val="B45309"/>
                <w:sz w:val="22"/>
                <w:szCs w:val="22"/>
              </w:rPr>
              <w:t xml:space="preserve">The numbering is misleading</w:t>
            </w:r>
          </w:p>
          <w:p>
            <w:pPr>
              <w:spacing w:line="300"/>
            </w:pPr>
            <w:r>
              <w:rPr>
                <w:rFonts w:ascii="Calibri" w:cs="Calibri" w:eastAsia="Calibri" w:hAnsi="Calibri"/>
                <w:color w:val="111827"/>
                <w:sz w:val="22"/>
                <w:szCs w:val="22"/>
              </w:rPr>
              <w:t xml:space="preserve">The menu presents Step 5 (GenerateInheritedTables.ps1) after Step 2 (EntityUtil.ps1), but for Fabric and Serverless-replica targets Step 5 must run before Step 2 because the entity views produced by Step 2 depend on the inherited-table views produced by Step 5.</w:t>
            </w:r>
          </w:p>
        </w:tc>
      </w:tr>
    </w:tbl>
    <w:p>
      <w:r>
        <w:br w:type="page"/>
      </w:r>
    </w:p>
    <w:p>
      <w:pPr>
        <w:pStyle w:val="Heading1"/>
        <w:spacing w:after="200" w:before="480"/>
      </w:pPr>
      <w:r>
        <w:rPr>
          <w:rFonts w:ascii="Calibri" w:cs="Calibri" w:eastAsia="Calibri" w:hAnsi="Calibri"/>
          <w:b/>
          <w:bCs/>
          <w:color w:val="1F3A5F"/>
          <w:sz w:val="36"/>
          <w:szCs w:val="36"/>
        </w:rPr>
        <w:t xml:space="preserve">4. Detailed script reference — in execution order</w:t>
      </w:r>
    </w:p>
    <w:p>
      <w:pPr>
        <w:pStyle w:val="Heading3"/>
        <w:spacing w:after="100" w:before="260"/>
      </w:pPr>
      <w:r>
        <w:rPr>
          <w:rFonts w:ascii="Calibri" w:cs="Calibri" w:eastAsia="Calibri" w:hAnsi="Calibri"/>
          <w:b/>
          <w:bCs/>
          <w:color w:val="2E7DAF"/>
          <w:sz w:val="24"/>
          <w:szCs w:val="24"/>
        </w:rPr>
        <w:t xml:space="preserve">Step 0  get_derivetables.sql</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SQL Server Management Studio or Azure Data Studio on the local machine.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D365 F&amp;O sandbox (Tier-2+) via LCS Just-In-Time (JIT) credentials.</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TableIdTable, SYSANCESTORSTABLE, TABLEFIELDIDTABLE (internal D365 metadata).</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Nothing to disk. Results appear only in the SSMS query grid.</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You — the administrator or architect — manually.</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A recursive CTE that walks the D365 table-inheritance tree. It produces three output columns per parent table: parenttable, childtables (comma-separated list), and joinstatement (a complete SELECT with LEFT OUTER JOINs). This is a discovery tool. Its results tell you which additional tables to add to your Synapse Link profile so that no inherited data is silently missing at export time, and the join statements it emits are the exact reconstruction logic you will re-implement in your Silver layer.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E5EBF2" w:color="auto" w:val="clear"/>
            <w:tcMar>
              <w:top w:type="dxa" w:w="200"/>
              <w:left w:type="dxa" w:w="240"/>
              <w:bottom w:type="dxa" w:w="200"/>
              <w:right w:type="dxa" w:w="240"/>
            </w:tcMar>
          </w:tcPr>
          <w:p>
            <w:pPr>
              <w:spacing w:after="100"/>
            </w:pPr>
            <w:r>
              <w:rPr>
                <w:rFonts w:ascii="Calibri" w:cs="Calibri" w:eastAsia="Calibri" w:hAnsi="Calibri"/>
                <w:b/>
                <w:bCs/>
                <w:color w:val="1F3A5F"/>
                <w:sz w:val="22"/>
                <w:szCs w:val="22"/>
              </w:rPr>
              <w:t xml:space="preserve">Operational note</w:t>
            </w:r>
          </w:p>
          <w:p>
            <w:pPr>
              <w:spacing w:line="300"/>
            </w:pPr>
            <w:r>
              <w:rPr>
                <w:rFonts w:ascii="Calibri" w:cs="Calibri" w:eastAsia="Calibri" w:hAnsi="Calibri"/>
                <w:color w:val="111827"/>
                <w:sz w:val="22"/>
                <w:szCs w:val="22"/>
              </w:rPr>
              <w:t xml:space="preserve">Run this first — before touching any of the PowerShell scripts and before finalising your Synapse Link table selection.</w:t>
            </w:r>
          </w:p>
        </w:tc>
      </w:tr>
    </w:tbl>
    <w:p>
      <w:pPr>
        <w:spacing w:after="120" w:before="120"/>
      </w:pPr>
      <w:r>
        <w:t xml:space="preserve"/>
      </w:r>
    </w:p>
    <w:p>
      <w:pPr>
        <w:pStyle w:val="Heading3"/>
        <w:spacing w:after="100" w:before="260"/>
      </w:pPr>
      <w:r>
        <w:rPr>
          <w:rFonts w:ascii="Calibri" w:cs="Calibri" w:eastAsia="Calibri" w:hAnsi="Calibri"/>
          <w:b/>
          <w:bCs/>
          <w:color w:val="2E7DAF"/>
          <w:sz w:val="24"/>
          <w:szCs w:val="24"/>
        </w:rPr>
        <w:t xml:space="preserve">Step 1  GenerateEntityDependency.ps1</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 on the local machine, launched via RunEntityUtil.ps1 (option 1).</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D365 F&amp;O sandbox via SQL credentials supplied in config.json (sandboxServerName, sandboxDatabaseName, sandboxuid, sandboxPwd).</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sys.views, sys.sql_expression_dependencies, sys.objects, sys.sql_modules and INFORMATION_SCHEMA.COLUMNS. Recursively resolves every dependency of the entities listed in config.json → entityList.</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dependencies.json in the same folder as the scripts. Contains entity names, CREATE VIEW DDL, column lists and dependency ordering.</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Step 2 (EntityUtil.ps1). Also useful as a manual reference when translating entity joins into Spark.</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Captures the complete definition of each requested entity together with every table and sub-view it depends on. Once this file exists, the sandbox is no longer required for subsequent steps — dependencies.json contains everything Step 2 needs.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E5EBF2" w:color="auto" w:val="clear"/>
            <w:tcMar>
              <w:top w:type="dxa" w:w="200"/>
              <w:left w:type="dxa" w:w="240"/>
              <w:bottom w:type="dxa" w:w="200"/>
              <w:right w:type="dxa" w:w="240"/>
            </w:tcMar>
          </w:tcPr>
          <w:p>
            <w:pPr>
              <w:spacing w:after="100"/>
            </w:pPr>
            <w:r>
              <w:rPr>
                <w:rFonts w:ascii="Calibri" w:cs="Calibri" w:eastAsia="Calibri" w:hAnsi="Calibri"/>
                <w:b/>
                <w:bCs/>
                <w:color w:val="1F3A5F"/>
                <w:sz w:val="22"/>
                <w:szCs w:val="22"/>
              </w:rPr>
              <w:t xml:space="preserve">Operational note</w:t>
            </w:r>
          </w:p>
          <w:p>
            <w:pPr>
              <w:spacing w:line="300"/>
            </w:pPr>
            <w:r>
              <w:rPr>
                <w:rFonts w:ascii="Calibri" w:cs="Calibri" w:eastAsia="Calibri" w:hAnsi="Calibri"/>
                <w:color w:val="111827"/>
                <w:sz w:val="22"/>
                <w:szCs w:val="22"/>
              </w:rPr>
              <w:t xml:space="preserve">JIT access is time-limited. Aim to complete Step 1 within the JIT window; re-request access if the window expires before you finish.</w:t>
            </w:r>
          </w:p>
        </w:tc>
      </w:tr>
    </w:tbl>
    <w:p>
      <w:pPr>
        <w:spacing w:after="120" w:before="120"/>
      </w:pPr>
      <w:r>
        <w:t xml:space="preserve"/>
      </w:r>
    </w:p>
    <w:p>
      <w:pPr>
        <w:pStyle w:val="Heading3"/>
        <w:spacing w:after="100" w:before="260"/>
      </w:pPr>
      <w:r>
        <w:rPr>
          <w:rFonts w:ascii="Calibri" w:cs="Calibri" w:eastAsia="Calibri" w:hAnsi="Calibri"/>
          <w:b/>
          <w:bCs/>
          <w:color w:val="2E7DAF"/>
          <w:sz w:val="24"/>
          <w:szCs w:val="24"/>
        </w:rPr>
        <w:t xml:space="preserve">Between Steps  config.json (edit)</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A text editor on the local machine.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n/a.</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n/a.</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Updated JSON on disk.</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All PowerShell scripts (Steps 1 through 5).</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Update target-database parameters (targetServerName, targetDatabaseName, dbSchema, dbSchemaTarget, tenantId), the entity list, and the inheritedTablesToBeCreated array (populated from Step 0 output). Confirm the two syntax-replacement JSON files are appropriate for your target platform.</w:t>
      </w:r>
    </w:p>
    <w:p>
      <w:pPr>
        <w:spacing w:after="120" w:before="120"/>
      </w:pPr>
      <w:r>
        <w:t xml:space="preserve"/>
      </w:r>
    </w:p>
    <w:p>
      <w:pPr>
        <w:pStyle w:val="Heading3"/>
        <w:spacing w:after="100" w:before="260"/>
      </w:pPr>
      <w:r>
        <w:rPr>
          <w:rFonts w:ascii="Calibri" w:cs="Calibri" w:eastAsia="Calibri" w:hAnsi="Calibri"/>
          <w:b/>
          <w:bCs/>
          <w:color w:val="2E7DAF"/>
          <w:sz w:val="24"/>
          <w:szCs w:val="24"/>
        </w:rPr>
        <w:t xml:space="preserve">Step 5 — but run before Step 2  GenerateInheritedTables.ps1</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 on the local machine (RunEntityUtil menu option 5).</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database (Fabric or Synapse Serverless replica) via Azure AD authentication (az login).</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tableinheritance.json on disk and INFORMATION_SCHEMA.COLUMNS on the target database.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CREATE OR ALTER VIEW statements in the target database. Each view LEFT OUTER JOINs child tables to the parent on recid.</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The entity views created by Step 2. Also queryable directly for ad-hoc analysis.</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Reassembles the inherited-table structure that D365 stores internally as multiple physical tables. For example, DirPartyTable + CompanyInfo + DirPerson + DirOrganization are joined back into a single view named [d365].[dirpartytable]. This step is required on Fabric and Serverless-replica targets, and unnecessary on Synapse Serverless with dbo schema.</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E5EBF2" w:color="auto" w:val="clear"/>
            <w:tcMar>
              <w:top w:type="dxa" w:w="200"/>
              <w:left w:type="dxa" w:w="240"/>
              <w:bottom w:type="dxa" w:w="200"/>
              <w:right w:type="dxa" w:w="240"/>
            </w:tcMar>
          </w:tcPr>
          <w:p>
            <w:pPr>
              <w:spacing w:after="100"/>
            </w:pPr>
            <w:r>
              <w:rPr>
                <w:rFonts w:ascii="Calibri" w:cs="Calibri" w:eastAsia="Calibri" w:hAnsi="Calibri"/>
                <w:b/>
                <w:bCs/>
                <w:color w:val="1F3A5F"/>
                <w:sz w:val="22"/>
                <w:szCs w:val="22"/>
              </w:rPr>
              <w:t xml:space="preserve">Operational note</w:t>
            </w:r>
          </w:p>
          <w:p>
            <w:pPr>
              <w:spacing w:line="300"/>
            </w:pPr>
            <w:r>
              <w:rPr>
                <w:rFonts w:ascii="Calibri" w:cs="Calibri" w:eastAsia="Calibri" w:hAnsi="Calibri"/>
                <w:color w:val="111827"/>
                <w:sz w:val="22"/>
                <w:szCs w:val="22"/>
              </w:rPr>
              <w:t xml:space="preserve">Menu numbering does not reflect execution order. Skip this step and Step 2 will fail with Invalid column name errors on any inherited-table column.</w:t>
            </w:r>
          </w:p>
        </w:tc>
      </w:tr>
    </w:tbl>
    <w:p>
      <w:pPr>
        <w:spacing w:after="120" w:before="120"/>
      </w:pPr>
      <w:r>
        <w:t xml:space="preserve"/>
      </w:r>
    </w:p>
    <w:p>
      <w:pPr>
        <w:pStyle w:val="Heading3"/>
        <w:spacing w:after="100" w:before="260"/>
      </w:pPr>
      <w:r>
        <w:rPr>
          <w:rFonts w:ascii="Calibri" w:cs="Calibri" w:eastAsia="Calibri" w:hAnsi="Calibri"/>
          <w:b/>
          <w:bCs/>
          <w:color w:val="2E7DAF"/>
          <w:sz w:val="24"/>
          <w:szCs w:val="24"/>
        </w:rPr>
        <w:t xml:space="preserve">Step 2  EntityUtil.ps1</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 on the local machine (RunEntityUtil menu option 2).</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database via Azure AD authentication.</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dependencies.json, ReplaceViewSyntax.json and ReplaceFabricViewSyntax.json on disk. If createMissingTables=true, also queries the source Synapse serverless DB to obtain column schemas.</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CREATE OR ALTER VIEW statements — one per entity — in the target database, in dependency order. Optionally creates missing base tables.</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Downstream reporting: Power BI, Excel, ADF pipelines, and any SQL client that used to consume BYOD entities.</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The core engine. Detects the target platform from its connection string, translates the sandbox-flavour DDL into platform-appropriate SQL (replacing GetValidFromInContextInfo() with GETUTCDATE(), rewriting FOR XML PATH into STRING_AGG, correcting reserved-word column names), and executes each view definition against the target.</w:t>
      </w:r>
    </w:p>
    <w:p>
      <w:pPr>
        <w:spacing w:after="120" w:before="120"/>
      </w:pPr>
      <w:r>
        <w:t xml:space="preserve"/>
      </w:r>
    </w:p>
    <w:p>
      <w:pPr>
        <w:pStyle w:val="Heading3"/>
        <w:spacing w:after="100" w:before="260"/>
      </w:pPr>
      <w:r>
        <w:rPr>
          <w:rFonts w:ascii="Calibri" w:cs="Calibri" w:eastAsia="Calibri" w:hAnsi="Calibri"/>
          <w:b/>
          <w:bCs/>
          <w:color w:val="2E7DAF"/>
          <w:sz w:val="24"/>
          <w:szCs w:val="24"/>
        </w:rPr>
        <w:t xml:space="preserve">Step 3 (cleanup)  DeleteViewsFromSynapse.ps1 — target</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 on the local machine (menu option 3).</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database.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INFORMATION_SCHEMA.TABLES on the target database.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DROP VIEW / DROP TABLE statements in the target database.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Nothing. This is a housekeeping utility for re-running Steps 5 → 2.</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Removes all previously created views and tables from the target database so the pipeline can be re-run cleanly. Preserves GlobalOptionsetMetadata and srsanalysisenums (which are expensive to regenerate).</w:t>
      </w:r>
    </w:p>
    <w:p>
      <w:pPr>
        <w:spacing w:after="120" w:before="120"/>
      </w:pPr>
      <w:r>
        <w:t xml:space="preserve"/>
      </w:r>
    </w:p>
    <w:p>
      <w:pPr>
        <w:pStyle w:val="Heading3"/>
        <w:spacing w:after="100" w:before="260"/>
      </w:pPr>
      <w:r>
        <w:rPr>
          <w:rFonts w:ascii="Calibri" w:cs="Calibri" w:eastAsia="Calibri" w:hAnsi="Calibri"/>
          <w:b/>
          <w:bCs/>
          <w:color w:val="2E7DAF"/>
          <w:sz w:val="24"/>
          <w:szCs w:val="24"/>
        </w:rPr>
        <w:t xml:space="preserve">Step 4 (cleanup)  DeleteViewsFromSynapse.ps1 — source</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Attribute</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Value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Runs 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PowerShell on the local machine (menu option 4).</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Connects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Source Synapse serverless database (created automatically by Synapse Link on top of your data lake). This is not the D365 sandbox.</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Reads from</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INFORMATION_SCHEMA.TABLES on the source serverless database.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Writes to</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DROP VIEW / DROP TABLE statements on the source database.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Consumed by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Nothing. Housekeeping only.</w:t>
            </w:r>
          </w:p>
        </w:tc>
      </w:tr>
    </w:tbl>
    <w:p>
      <w:pPr>
        <w:spacing w:after="120" w:before="120"/>
      </w:pPr>
      <w:r>
        <w:t xml:space="preserve"/>
      </w:r>
    </w:p>
    <w:p>
      <w:pPr>
        <w:spacing w:after="80" w:before="80" w:line="300"/>
      </w:pPr>
      <w:r>
        <w:rPr>
          <w:rFonts w:ascii="Calibri" w:cs="Calibri" w:eastAsia="Calibri" w:hAnsi="Calibri"/>
          <w:b w:val="false"/>
          <w:bCs w:val="false"/>
          <w:i w:val="false"/>
          <w:iCs w:val="false"/>
          <w:color w:val="111827"/>
          <w:sz w:val="22"/>
          <w:szCs w:val="22"/>
        </w:rPr>
        <w:t xml:space="preserve">Same script as Step 3 but pointed at the source serverless database configured in config.json. Use when you need to fully re-provision the Synapse Link output.</w:t>
      </w:r>
    </w:p>
    <w:p>
      <w:pPr>
        <w:spacing w:after="120" w:before="120"/>
      </w:pPr>
      <w:r>
        <w:t xml:space="preserve"/>
      </w:r>
    </w:p>
    <w:p>
      <w:r>
        <w:br w:type="page"/>
      </w:r>
    </w:p>
    <w:p>
      <w:pPr>
        <w:pStyle w:val="Heading1"/>
        <w:spacing w:after="200" w:before="480"/>
      </w:pPr>
      <w:r>
        <w:rPr>
          <w:rFonts w:ascii="Calibri" w:cs="Calibri" w:eastAsia="Calibri" w:hAnsi="Calibri"/>
          <w:b/>
          <w:bCs/>
          <w:color w:val="1F3A5F"/>
          <w:sz w:val="36"/>
          <w:szCs w:val="36"/>
        </w:rPr>
        <w:t xml:space="preserve">5. Connectivity and data flow</w:t>
      </w:r>
    </w:p>
    <w:p>
      <w:pPr>
        <w:pStyle w:val="Heading2"/>
        <w:spacing w:after="140" w:before="320"/>
      </w:pPr>
      <w:r>
        <w:rPr>
          <w:rFonts w:ascii="Calibri" w:cs="Calibri" w:eastAsia="Calibri" w:hAnsi="Calibri"/>
          <w:b/>
          <w:bCs/>
          <w:color w:val="1F3A5F"/>
          <w:sz w:val="28"/>
          <w:szCs w:val="28"/>
        </w:rPr>
        <w:t xml:space="preserve">5.1 Where everything runs</w:t>
      </w:r>
    </w:p>
    <w:p>
      <w:pPr>
        <w:spacing w:after="80" w:before="80" w:line="300"/>
      </w:pPr>
      <w:r>
        <w:rPr>
          <w:rFonts w:ascii="Calibri" w:cs="Calibri" w:eastAsia="Calibri" w:hAnsi="Calibri"/>
          <w:b w:val="false"/>
          <w:bCs w:val="false"/>
          <w:i w:val="false"/>
          <w:iCs w:val="false"/>
          <w:color w:val="111827"/>
          <w:sz w:val="22"/>
          <w:szCs w:val="22"/>
        </w:rPr>
        <w:t xml:space="preserve">Every script in both directories runs on a local Windows machine — no server-side agent or scheduled job. The machine reaches out over the network to two independent database services:</w:t>
      </w:r>
    </w:p>
    <w:p>
      <w:pPr>
        <w:pStyle w:val="ListParagraph"/>
        <w:numPr>
          <w:ilvl w:val="0"/>
          <w:numId w:val="2"/>
        </w:numPr>
        <w:spacing w:after="40" w:before="40" w:line="280"/>
      </w:pPr>
      <w:r>
        <w:rPr>
          <w:rFonts w:ascii="Calibri" w:cs="Calibri" w:eastAsia="Calibri" w:hAnsi="Calibri"/>
          <w:color w:val="111827"/>
          <w:sz w:val="22"/>
          <w:szCs w:val="22"/>
        </w:rPr>
        <w:t xml:space="preserve">The D365 F&amp;O sandbox (Tier-2 or higher) via LCS-issued Just-In-Time credentials. Contacted only by Step 0 and Step 1.</w:t>
      </w:r>
    </w:p>
    <w:p>
      <w:pPr>
        <w:pStyle w:val="ListParagraph"/>
        <w:numPr>
          <w:ilvl w:val="0"/>
          <w:numId w:val="2"/>
        </w:numPr>
        <w:spacing w:after="40" w:before="40" w:line="280"/>
      </w:pPr>
      <w:r>
        <w:rPr>
          <w:rFonts w:ascii="Calibri" w:cs="Calibri" w:eastAsia="Calibri" w:hAnsi="Calibri"/>
          <w:color w:val="111827"/>
          <w:sz w:val="22"/>
          <w:szCs w:val="22"/>
        </w:rPr>
        <w:t xml:space="preserve">The target analytics database (Azure Synapse Serverless, Synapse Dedicated Pool, Microsoft Fabric SQL endpoint, or Azure SQL Database) via Azure AD authentication using az login. Contacted by Steps 2, 3 and 5.</w:t>
      </w:r>
    </w:p>
    <w:p>
      <w:pPr>
        <w:pStyle w:val="ListParagraph"/>
        <w:numPr>
          <w:ilvl w:val="0"/>
          <w:numId w:val="2"/>
        </w:numPr>
        <w:spacing w:after="40" w:before="40" w:line="280"/>
      </w:pPr>
      <w:r>
        <w:rPr>
          <w:rFonts w:ascii="Calibri" w:cs="Calibri" w:eastAsia="Calibri" w:hAnsi="Calibri"/>
          <w:color w:val="111827"/>
          <w:sz w:val="22"/>
          <w:szCs w:val="22"/>
        </w:rPr>
        <w:t xml:space="preserve">The source Synapse serverless database (created by Synapse Link over the data lake) via Azure AD authentication. Contacted only by Step 4.</w:t>
      </w:r>
    </w:p>
    <w:p>
      <w:pPr>
        <w:pStyle w:val="Heading2"/>
        <w:spacing w:after="140" w:before="320"/>
      </w:pPr>
      <w:r>
        <w:rPr>
          <w:rFonts w:ascii="Calibri" w:cs="Calibri" w:eastAsia="Calibri" w:hAnsi="Calibri"/>
          <w:b/>
          <w:bCs/>
          <w:color w:val="1F3A5F"/>
          <w:sz w:val="28"/>
          <w:szCs w:val="28"/>
        </w:rPr>
        <w:t xml:space="preserve">5.2 The role of dependencies.json</w:t>
      </w:r>
    </w:p>
    <w:p>
      <w:pPr>
        <w:spacing w:after="80" w:before="80" w:line="300"/>
      </w:pPr>
      <w:r>
        <w:rPr>
          <w:rFonts w:ascii="Calibri" w:cs="Calibri" w:eastAsia="Calibri" w:hAnsi="Calibri"/>
          <w:b w:val="false"/>
          <w:bCs w:val="false"/>
          <w:i w:val="false"/>
          <w:iCs w:val="false"/>
          <w:color w:val="111827"/>
          <w:sz w:val="22"/>
          <w:szCs w:val="22"/>
        </w:rPr>
        <w:t xml:space="preserve">dependencies.json is the pivot point of the whole pipeline. It is written locally by Step 1, and every subsequent step that needs entity DDL reads from it — never from the sandbox again. This means JIT access is required only once per iteration; adding a new entity to the entity list means re-running Step 1 only, not re-authenticating for every downstream step.</w:t>
      </w:r>
    </w:p>
    <w:p>
      <w:pPr>
        <w:pStyle w:val="Heading2"/>
        <w:spacing w:after="140" w:before="320"/>
      </w:pPr>
      <w:r>
        <w:rPr>
          <w:rFonts w:ascii="Calibri" w:cs="Calibri" w:eastAsia="Calibri" w:hAnsi="Calibri"/>
          <w:b/>
          <w:bCs/>
          <w:color w:val="1F3A5F"/>
          <w:sz w:val="28"/>
          <w:szCs w:val="28"/>
        </w:rPr>
        <w:t xml:space="preserve">5.3 Sequenced data flow</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1000"/>
        <w:gridCol w:w="2400"/>
        <w:gridCol w:w="2400"/>
        <w:gridCol w:w="2200"/>
      </w:tblGrid>
      <w:tr>
        <w:trPr>
          <w:tblHeader/>
        </w:trPr>
        <w:tc>
          <w:tcPr>
            <w:tcW w:type="dxa" w:w="1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Sequence</w:t>
            </w:r>
          </w:p>
        </w:tc>
        <w:tc>
          <w:tcPr>
            <w:tcW w:type="dxa" w:w="1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Direction</w:t>
            </w:r>
          </w:p>
        </w:tc>
        <w:tc>
          <w:tcPr>
            <w:tcW w:type="dxa" w:w="2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Source</w:t>
            </w:r>
          </w:p>
        </w:tc>
        <w:tc>
          <w:tcPr>
            <w:tcW w:type="dxa" w:w="2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Destination</w:t>
            </w:r>
          </w:p>
        </w:tc>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Payload</w:t>
            </w:r>
          </w:p>
        </w:tc>
      </w:tr>
      <w:tr>
        <w:tc>
          <w:tcPr>
            <w:tcW w:type="dxa" w:w="1000"/>
            <w:tcMar>
              <w:top w:type="dxa" w:w="100"/>
              <w:left w:type="dxa" w:w="140"/>
              <w:bottom w:type="dxa" w:w="100"/>
              <w:right w:type="dxa" w:w="140"/>
            </w:tcMar>
          </w:tcPr>
          <w:p>
            <w:pPr>
              <w:spacing w:line="280"/>
            </w:pPr>
            <w:r>
              <w:rPr>
                <w:rFonts w:ascii="Calibri" w:cs="Calibri" w:eastAsia="Calibri" w:hAnsi="Calibri"/>
                <w:color w:val="111827"/>
                <w:sz w:val="20"/>
                <w:szCs w:val="20"/>
              </w:rPr>
              <w:t xml:space="preserve">A</w:t>
            </w:r>
          </w:p>
        </w:tc>
        <w:tc>
          <w:tcPr>
            <w:tcW w:type="dxa" w:w="10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D365 sandbox (AxDB)</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Local machine (screen)</w:t>
            </w:r>
          </w:p>
        </w:tc>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Inheritance metadata via get_derivetables.sql</w:t>
            </w:r>
          </w:p>
        </w:tc>
      </w:tr>
      <w:tr>
        <w:tc>
          <w:tcPr>
            <w:tcW w:type="dxa" w:w="1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B</w:t>
            </w:r>
          </w:p>
        </w:tc>
        <w:tc>
          <w:tcPr>
            <w:tcW w:type="dxa" w:w="1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D365 sandbox (AxDB)</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Local machine (disk)</w:t>
            </w:r>
          </w:p>
        </w:tc>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Entity dependency graph → dependencies.json</w:t>
            </w:r>
          </w:p>
        </w:tc>
      </w:tr>
      <w:tr>
        <w:tc>
          <w:tcPr>
            <w:tcW w:type="dxa" w:w="1000"/>
            <w:tcMar>
              <w:top w:type="dxa" w:w="100"/>
              <w:left w:type="dxa" w:w="140"/>
              <w:bottom w:type="dxa" w:w="100"/>
              <w:right w:type="dxa" w:w="140"/>
            </w:tcMar>
          </w:tcPr>
          <w:p>
            <w:pPr>
              <w:spacing w:line="280"/>
            </w:pPr>
            <w:r>
              <w:rPr>
                <w:rFonts w:ascii="Calibri" w:cs="Calibri" w:eastAsia="Calibri" w:hAnsi="Calibri"/>
                <w:color w:val="111827"/>
                <w:sz w:val="20"/>
                <w:szCs w:val="20"/>
              </w:rPr>
              <w:t xml:space="preserve">C</w:t>
            </w:r>
          </w:p>
        </w:tc>
        <w:tc>
          <w:tcPr>
            <w:tcW w:type="dxa" w:w="10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Local disk</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Local memory</w:t>
            </w:r>
          </w:p>
        </w:tc>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dependencies.json + syntax replacement rules</w:t>
            </w:r>
          </w:p>
        </w:tc>
      </w:tr>
      <w:tr>
        <w:tc>
          <w:tcPr>
            <w:tcW w:type="dxa" w:w="1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w:t>
            </w:r>
          </w:p>
        </w:tc>
        <w:tc>
          <w:tcPr>
            <w:tcW w:type="dxa" w:w="1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Local machine</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DB (Fabric / Serverless)</w:t>
            </w:r>
          </w:p>
        </w:tc>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CREATE OR ALTER VIEW for each inherited table (Step 5)</w:t>
            </w:r>
          </w:p>
        </w:tc>
      </w:tr>
      <w:tr>
        <w:tc>
          <w:tcPr>
            <w:tcW w:type="dxa" w:w="1000"/>
            <w:tcMar>
              <w:top w:type="dxa" w:w="100"/>
              <w:left w:type="dxa" w:w="140"/>
              <w:bottom w:type="dxa" w:w="100"/>
              <w:right w:type="dxa" w:w="140"/>
            </w:tcMar>
          </w:tcPr>
          <w:p>
            <w:pPr>
              <w:spacing w:line="280"/>
            </w:pPr>
            <w:r>
              <w:rPr>
                <w:rFonts w:ascii="Calibri" w:cs="Calibri" w:eastAsia="Calibri" w:hAnsi="Calibri"/>
                <w:color w:val="111827"/>
                <w:sz w:val="20"/>
                <w:szCs w:val="20"/>
              </w:rPr>
              <w:t xml:space="preserve">E</w:t>
            </w:r>
          </w:p>
        </w:tc>
        <w:tc>
          <w:tcPr>
            <w:tcW w:type="dxa" w:w="1000"/>
            <w:tcMar>
              <w:top w:type="dxa" w:w="100"/>
              <w:left w:type="dxa" w:w="140"/>
              <w:bottom w:type="dxa" w:w="100"/>
              <w:right w:type="dxa" w:w="140"/>
            </w:tcMar>
          </w:tcPr>
          <w:p>
            <w:pPr>
              <w:spacing w:line="280"/>
            </w:pPr>
            <w:r>
              <w:rPr>
                <w:rFonts w:ascii="Calibri" w:cs="Calibri" w:eastAsia="Calibri" w:hAnsi="Calibri"/>
                <w:color w:val="111827"/>
                <w:sz w:val="20"/>
                <w:szCs w:val="20"/>
              </w:rPr>
              <w:t xml:space="preserve">Write</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Local machine</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DB (Fabric / Serverless)</w:t>
            </w:r>
          </w:p>
        </w:tc>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CREATE OR ALTER VIEW for each entity (Step 2)</w:t>
            </w:r>
          </w:p>
        </w:tc>
      </w:tr>
      <w:tr>
        <w:tc>
          <w:tcPr>
            <w:tcW w:type="dxa" w:w="1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w:t>
            </w:r>
          </w:p>
        </w:tc>
        <w:tc>
          <w:tcPr>
            <w:tcW w:type="dxa" w:w="1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Read</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DB</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 BI / ADF / SQL clients</w:t>
            </w:r>
          </w:p>
        </w:tc>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Query results from the entity views</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5.4 Network requirements</w:t>
      </w:r>
    </w:p>
    <w:p>
      <w:pPr>
        <w:pStyle w:val="ListParagraph"/>
        <w:numPr>
          <w:ilvl w:val="0"/>
          <w:numId w:val="2"/>
        </w:numPr>
        <w:spacing w:after="40" w:before="40" w:line="280"/>
      </w:pPr>
      <w:r>
        <w:rPr>
          <w:rFonts w:ascii="Calibri" w:cs="Calibri" w:eastAsia="Calibri" w:hAnsi="Calibri"/>
          <w:color w:val="111827"/>
          <w:sz w:val="22"/>
          <w:szCs w:val="22"/>
        </w:rPr>
        <w:t xml:space="preserve">Outbound TCP 1433 to the D365 sandbox endpoint.</w:t>
      </w:r>
    </w:p>
    <w:p>
      <w:pPr>
        <w:pStyle w:val="ListParagraph"/>
        <w:numPr>
          <w:ilvl w:val="0"/>
          <w:numId w:val="2"/>
        </w:numPr>
        <w:spacing w:after="40" w:before="40" w:line="280"/>
      </w:pPr>
      <w:r>
        <w:rPr>
          <w:rFonts w:ascii="Calibri" w:cs="Calibri" w:eastAsia="Calibri" w:hAnsi="Calibri"/>
          <w:color w:val="111827"/>
          <w:sz w:val="22"/>
          <w:szCs w:val="22"/>
        </w:rPr>
        <w:t xml:space="preserve">Outbound TCP 1433 to the target database endpoint (or Fabric SQL endpoint).</w:t>
      </w:r>
    </w:p>
    <w:p>
      <w:pPr>
        <w:pStyle w:val="ListParagraph"/>
        <w:numPr>
          <w:ilvl w:val="0"/>
          <w:numId w:val="2"/>
        </w:numPr>
        <w:spacing w:after="40" w:before="40" w:line="280"/>
      </w:pPr>
      <w:r>
        <w:rPr>
          <w:rFonts w:ascii="Calibri" w:cs="Calibri" w:eastAsia="Calibri" w:hAnsi="Calibri"/>
          <w:color w:val="111827"/>
          <w:sz w:val="22"/>
          <w:szCs w:val="22"/>
        </w:rPr>
        <w:t xml:space="preserve">Outbound HTTPS to login.microsoftonline.com for interactive Azure AD authentication.</w:t>
      </w:r>
    </w:p>
    <w:p>
      <w:pPr>
        <w:pStyle w:val="ListParagraph"/>
        <w:numPr>
          <w:ilvl w:val="0"/>
          <w:numId w:val="2"/>
        </w:numPr>
        <w:spacing w:after="40" w:before="40" w:line="280"/>
      </w:pPr>
      <w:r>
        <w:rPr>
          <w:rFonts w:ascii="Calibri" w:cs="Calibri" w:eastAsia="Calibri" w:hAnsi="Calibri"/>
          <w:color w:val="111827"/>
          <w:sz w:val="22"/>
          <w:szCs w:val="22"/>
        </w:rPr>
        <w:t xml:space="preserve">PowerShell 5.1 or later and Azure CLI installed on the runner machine.</w:t>
      </w:r>
    </w:p>
    <w:p>
      <w:r>
        <w:br w:type="page"/>
      </w:r>
    </w:p>
    <w:p>
      <w:pPr>
        <w:pStyle w:val="Heading1"/>
        <w:spacing w:after="200" w:before="480"/>
      </w:pPr>
      <w:r>
        <w:rPr>
          <w:rFonts w:ascii="Calibri" w:cs="Calibri" w:eastAsia="Calibri" w:hAnsi="Calibri"/>
          <w:b/>
          <w:bCs/>
          <w:color w:val="1F3A5F"/>
          <w:sz w:val="36"/>
          <w:szCs w:val="36"/>
        </w:rPr>
        <w:t xml:space="preserve">6. Mapping to the Databricks medallion architecture</w:t>
      </w:r>
    </w:p>
    <w:p>
      <w:pPr>
        <w:spacing w:after="80" w:before="80" w:line="300"/>
      </w:pPr>
      <w:r>
        <w:rPr>
          <w:rFonts w:ascii="Calibri" w:cs="Calibri" w:eastAsia="Calibri" w:hAnsi="Calibri"/>
          <w:b w:val="false"/>
          <w:bCs w:val="false"/>
          <w:i w:val="false"/>
          <w:iCs w:val="false"/>
          <w:color w:val="111827"/>
          <w:sz w:val="22"/>
          <w:szCs w:val="22"/>
        </w:rPr>
        <w:t xml:space="preserve">The FastTrack scripts do not run in Databricks. However, every transformation they perform on a SQL view has a direct analogue in a Databricks notebook against Delta tables. This section defines the responsibility of each medallion layer for D365 F&amp;O data, and identifies which EntityUtil step (if any) maps to each layer.</w:t>
      </w:r>
    </w:p>
    <w:p>
      <w:pPr>
        <w:pStyle w:val="Heading2"/>
        <w:spacing w:after="140" w:before="320"/>
      </w:pPr>
      <w:r>
        <w:rPr>
          <w:rFonts w:ascii="Calibri" w:cs="Calibri" w:eastAsia="Calibri" w:hAnsi="Calibri"/>
          <w:b/>
          <w:bCs/>
          <w:color w:val="1F3A5F"/>
          <w:sz w:val="28"/>
          <w:szCs w:val="28"/>
        </w:rPr>
        <w:t xml:space="preserve">6.1 Layer responsibilities at a glance</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5000"/>
        <w:gridCol w:w="2200"/>
      </w:tblGrid>
      <w:tr>
        <w:trPr>
          <w:tblHeader/>
        </w:trPr>
        <w:tc>
          <w:tcPr>
            <w:tcW w:type="dxa" w:w="1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Layer</w:t>
            </w:r>
          </w:p>
        </w:tc>
        <w:tc>
          <w:tcPr>
            <w:tcW w:type="dxa" w:w="5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What lives here</w:t>
            </w:r>
          </w:p>
        </w:tc>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EntityUtil analogue</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Raw (Bronze)</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Exact copy of Synapse Link output. All versions, delete markers, infrastructure columns retained. No transformations. Audit and reprocessing safety net.</w:t>
            </w:r>
          </w:p>
        </w:tc>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None. Corresponds to what Synapse Link lands in the data lake.</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Each D365 table made whole and clean. Inherited-table joins resolved. Deduplicated, filtered, enum-labelled, typed.</w:t>
            </w:r>
          </w:p>
        </w:tc>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Equivalent to Step 5 (GenerateInheritedTables.ps1) plus additional cleaning.</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Gold — Dimensions</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Business dimensions with surrogate keys. Each dim joins several Silver tables into a single business concept.</w:t>
            </w:r>
          </w:p>
        </w:tc>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Equivalent to the customer/vendor/product-facing portion of Step 2 (EntityUtil.ps1).</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Gold — Facts</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Transactional grain fact tables with FK references to dimensions and pre-computed measures.</w:t>
            </w:r>
          </w:p>
        </w:tc>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Equivalent to the transaction-facing portion of Step 2.</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OBT</w:t>
            </w:r>
          </w:p>
        </w:tc>
        <w:tc>
          <w:tcPr>
            <w:tcW w:type="dxa" w:w="5000"/>
            <w:tcMar>
              <w:top w:type="dxa" w:w="100"/>
              <w:left w:type="dxa" w:w="140"/>
              <w:bottom w:type="dxa" w:w="100"/>
              <w:right w:type="dxa" w:w="140"/>
            </w:tcMar>
          </w:tcPr>
          <w:p>
            <w:pPr>
              <w:spacing w:line="280"/>
            </w:pPr>
            <w:r>
              <w:rPr>
                <w:rFonts w:ascii="Calibri" w:cs="Calibri" w:eastAsia="Calibri" w:hAnsi="Calibri"/>
                <w:color w:val="111827"/>
                <w:sz w:val="20"/>
                <w:szCs w:val="20"/>
              </w:rPr>
              <w:t xml:space="preserve">Domain-specific denormalised wide tables built by pre-joining facts with all related dimensions. Optimised for BI query performance.</w:t>
            </w:r>
          </w:p>
        </w:tc>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No direct analogue — this is a lakehouse pattern, not a FastTrack pattern.</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Insights</w:t>
            </w:r>
          </w:p>
        </w:tc>
        <w:tc>
          <w:tcPr>
            <w:tcW w:type="dxa" w:w="5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 BI reports, ML models, operational alerts consuming from the OBTs.</w:t>
            </w:r>
          </w:p>
        </w:tc>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n/a.</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6.2 Raw layer — what to land</w:t>
      </w:r>
    </w:p>
    <w:p>
      <w:pPr>
        <w:spacing w:after="80" w:before="80" w:line="300"/>
      </w:pPr>
      <w:r>
        <w:rPr>
          <w:rFonts w:ascii="Calibri" w:cs="Calibri" w:eastAsia="Calibri" w:hAnsi="Calibri"/>
          <w:b w:val="false"/>
          <w:bCs w:val="false"/>
          <w:i w:val="false"/>
          <w:iCs w:val="false"/>
          <w:color w:val="111827"/>
          <w:sz w:val="22"/>
          <w:szCs w:val="22"/>
        </w:rPr>
        <w:t xml:space="preserve">Include every table Synapse Link exports for the entities you care about. Do not filter at this layer. Include the following table families at minimum for a typical D365 F&amp;O analytics workload.</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200"/>
      </w:tblGrid>
      <w:tr>
        <w:trPr>
          <w:tblHeader/>
        </w:trPr>
        <w:tc>
          <w:tcPr>
            <w:tcW w:type="dxa" w:w="1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Domain</w:t>
            </w:r>
          </w:p>
        </w:tc>
        <w:tc>
          <w:tcPr>
            <w:tcW w:type="dxa" w:w="7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Tables to land in Raw</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Party / address</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dirpartytable, companyinfo, dirperson, dirorganization, dirorganizationbase, ominternalorganization, omoperatingunit, omteam, logisticspostaladdress, logisticselectronicaddress, logisticslocation, dirpartylocation</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Customer / vendor masters</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custtable, custgroup, vendtable, vendgroup, custsettlement</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Product</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ecoresproduct, ecoresdistinctproduct, ecoresdistinctproductvariant, ecoresproductmaster, inventtable, inventitemgroupitem, ecoresproductcategory, ecorescategory, unitofmeasure</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Sales</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salestable, salesline, custinvoicejour, custinvoicetrans, custpackingslipjour, custpackingsliptrans</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Purchase</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purchtable, purchline, vendinvoicejour, vendinvoicetrans, purchreqtable, purchreqline</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Finance / GL</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generaljournalentry, generaljournalaccountentry, subledgervouchergeneraljournalentry, mainaccount, mainaccountcategory, dimensionattributevaluecombination, dimensionattributevaluesetitem, dimensionattributevalue, dimensionattribute, fiscalcalendarperiod, ledger, custtrans, vendtrans</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Inventory / warehouse</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inventtrans, inventdim, inventsite, inventlocation, inventsum, inventbatch, wmslocation</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Reference / enum</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srsanalysisenums, globaloptionsetmetadata, currency, exchrates, hcmworker</w:t>
            </w:r>
          </w:p>
        </w:tc>
      </w:tr>
    </w:tbl>
    <w:p>
      <w:pPr>
        <w:spacing w:after="200" w:before="200"/>
      </w:pPr>
      <w: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FEF3C7" w:color="auto" w:val="clear"/>
            <w:tcMar>
              <w:top w:type="dxa" w:w="200"/>
              <w:left w:type="dxa" w:w="240"/>
              <w:bottom w:type="dxa" w:w="200"/>
              <w:right w:type="dxa" w:w="240"/>
            </w:tcMar>
          </w:tcPr>
          <w:p>
            <w:pPr>
              <w:spacing w:after="100"/>
            </w:pPr>
            <w:r>
              <w:rPr>
                <w:rFonts w:ascii="Calibri" w:cs="Calibri" w:eastAsia="Calibri" w:hAnsi="Calibri"/>
                <w:b/>
                <w:bCs/>
                <w:color w:val="B45309"/>
                <w:sz w:val="22"/>
                <w:szCs w:val="22"/>
              </w:rPr>
              <w:t xml:space="preserve">Do not skip srsanalysisenums</w:t>
            </w:r>
          </w:p>
          <w:p>
            <w:pPr>
              <w:spacing w:line="300"/>
            </w:pPr>
            <w:r>
              <w:rPr>
                <w:rFonts w:ascii="Calibri" w:cs="Calibri" w:eastAsia="Calibri" w:hAnsi="Calibri"/>
                <w:color w:val="111827"/>
                <w:sz w:val="22"/>
                <w:szCs w:val="22"/>
              </w:rPr>
              <w:t xml:space="preserve">This table is your integer-to-label translator for every D365 enum field. If you omit it from Raw, you cannot resolve values like blocked=2 into human-readable Invoice in Silver. The DeleteViewsFromSynapse.ps1 script explicitly preserves this table for the same reason.</w:t>
            </w:r>
          </w:p>
        </w:tc>
      </w:tr>
    </w:tbl>
    <w:p>
      <w:pPr>
        <w:pStyle w:val="Heading2"/>
        <w:spacing w:after="140" w:before="320"/>
      </w:pPr>
      <w:r>
        <w:rPr>
          <w:rFonts w:ascii="Calibri" w:cs="Calibri" w:eastAsia="Calibri" w:hAnsi="Calibri"/>
          <w:b/>
          <w:bCs/>
          <w:color w:val="1F3A5F"/>
          <w:sz w:val="28"/>
          <w:szCs w:val="28"/>
        </w:rPr>
        <w:t xml:space="preserve">6.3 Silver layer — clean tables, not entities</w:t>
      </w:r>
    </w:p>
    <w:p>
      <w:pPr>
        <w:spacing w:after="80" w:before="80" w:line="300"/>
      </w:pPr>
      <w:r>
        <w:rPr>
          <w:rFonts w:ascii="Calibri" w:cs="Calibri" w:eastAsia="Calibri" w:hAnsi="Calibri"/>
          <w:b w:val="false"/>
          <w:bCs w:val="false"/>
          <w:i w:val="false"/>
          <w:iCs w:val="false"/>
          <w:color w:val="111827"/>
          <w:sz w:val="22"/>
          <w:szCs w:val="22"/>
        </w:rPr>
        <w:t xml:space="preserve">The Silver layer performs seven distinct transformations against Raw. Together they produce one trusted, business-ready row per record — but the shape is still a single D365 table, not a business entity.</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500"/>
        <w:gridCol w:w="2800"/>
        <w:gridCol w:w="5700"/>
      </w:tblGrid>
      <w:tr>
        <w:trPr>
          <w:tblHeader/>
        </w:trPr>
        <w:tc>
          <w:tcPr>
            <w:tcW w:type="dxa" w:w="5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w:t>
            </w:r>
          </w:p>
        </w:tc>
        <w:tc>
          <w:tcPr>
            <w:tcW w:type="dxa" w:w="2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Transformation</w:t>
            </w:r>
          </w:p>
        </w:tc>
        <w:tc>
          <w:tcPr>
            <w:tcW w:type="dxa" w:w="5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Purpose</w:t>
            </w:r>
          </w:p>
        </w:tc>
      </w:tr>
      <w:tr>
        <w:tc>
          <w:tcPr>
            <w:tcW w:type="dxa" w:w="500"/>
            <w:tcMar>
              <w:top w:type="dxa" w:w="100"/>
              <w:left w:type="dxa" w:w="140"/>
              <w:bottom w:type="dxa" w:w="100"/>
              <w:right w:type="dxa" w:w="140"/>
            </w:tcMar>
          </w:tcPr>
          <w:p>
            <w:pPr>
              <w:spacing w:line="280"/>
            </w:pPr>
            <w:r>
              <w:rPr>
                <w:rFonts w:ascii="Calibri" w:cs="Calibri" w:eastAsia="Calibri" w:hAnsi="Calibri"/>
                <w:color w:val="111827"/>
                <w:sz w:val="20"/>
                <w:szCs w:val="20"/>
              </w:rPr>
              <w:t xml:space="preserve">1</w:t>
            </w:r>
          </w:p>
        </w:tc>
        <w:tc>
          <w:tcPr>
            <w:tcW w:type="dxa" w:w="2800"/>
            <w:tcMar>
              <w:top w:type="dxa" w:w="100"/>
              <w:left w:type="dxa" w:w="140"/>
              <w:bottom w:type="dxa" w:w="100"/>
              <w:right w:type="dxa" w:w="140"/>
            </w:tcMar>
          </w:tcPr>
          <w:p>
            <w:pPr>
              <w:spacing w:line="280"/>
            </w:pPr>
            <w:r>
              <w:rPr>
                <w:rFonts w:ascii="Calibri" w:cs="Calibri" w:eastAsia="Calibri" w:hAnsi="Calibri"/>
                <w:color w:val="111827"/>
                <w:sz w:val="20"/>
                <w:szCs w:val="20"/>
              </w:rPr>
              <w:t xml:space="preserve">Filter soft deletes</w:t>
            </w:r>
          </w:p>
        </w:tc>
        <w:tc>
          <w:tcPr>
            <w:tcW w:type="dxa" w:w="5700"/>
            <w:tcMar>
              <w:top w:type="dxa" w:w="100"/>
              <w:left w:type="dxa" w:w="140"/>
              <w:bottom w:type="dxa" w:w="100"/>
              <w:right w:type="dxa" w:w="140"/>
            </w:tcMar>
          </w:tcPr>
          <w:p>
            <w:pPr>
              <w:spacing w:line="280"/>
            </w:pPr>
            <w:r>
              <w:rPr>
                <w:rFonts w:ascii="Calibri" w:cs="Calibri" w:eastAsia="Calibri" w:hAnsi="Calibri"/>
                <w:color w:val="111827"/>
                <w:sz w:val="20"/>
                <w:szCs w:val="20"/>
              </w:rPr>
              <w:t xml:space="preserve">WHERE IsDelete = 0 or IsDelete IS NULL. Removes records logically deleted upstream.</w:t>
            </w:r>
          </w:p>
        </w:tc>
      </w:tr>
      <w:tr>
        <w:tc>
          <w:tcPr>
            <w:tcW w:type="dxa" w:w="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2</w:t>
            </w:r>
          </w:p>
        </w:tc>
        <w:tc>
          <w:tcPr>
            <w:tcW w:type="dxa" w:w="2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Deduplicate on recid</w:t>
            </w:r>
          </w:p>
        </w:tc>
        <w:tc>
          <w:tcPr>
            <w:tcW w:type="dxa" w:w="5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ROW_NUMBER() OVER (PARTITION BY recid ORDER BY versionnumber DESC) = 1. Retains the latest version of each record.</w:t>
            </w:r>
          </w:p>
        </w:tc>
      </w:tr>
      <w:tr>
        <w:tc>
          <w:tcPr>
            <w:tcW w:type="dxa" w:w="500"/>
            <w:tcMar>
              <w:top w:type="dxa" w:w="100"/>
              <w:left w:type="dxa" w:w="140"/>
              <w:bottom w:type="dxa" w:w="100"/>
              <w:right w:type="dxa" w:w="140"/>
            </w:tcMar>
          </w:tcPr>
          <w:p>
            <w:pPr>
              <w:spacing w:line="280"/>
            </w:pPr>
            <w:r>
              <w:rPr>
                <w:rFonts w:ascii="Calibri" w:cs="Calibri" w:eastAsia="Calibri" w:hAnsi="Calibri"/>
                <w:color w:val="111827"/>
                <w:sz w:val="20"/>
                <w:szCs w:val="20"/>
              </w:rPr>
              <w:t xml:space="preserve">3</w:t>
            </w:r>
          </w:p>
        </w:tc>
        <w:tc>
          <w:tcPr>
            <w:tcW w:type="dxa" w:w="28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Reconstruct inherited tables</w:t>
            </w:r>
          </w:p>
        </w:tc>
        <w:tc>
          <w:tcPr>
            <w:tcW w:type="dxa" w:w="5700"/>
            <w:tcMar>
              <w:top w:type="dxa" w:w="100"/>
              <w:left w:type="dxa" w:w="140"/>
              <w:bottom w:type="dxa" w:w="100"/>
              <w:right w:type="dxa" w:w="140"/>
            </w:tcMar>
          </w:tcPr>
          <w:p>
            <w:pPr>
              <w:spacing w:line="280"/>
            </w:pPr>
            <w:r>
              <w:rPr>
                <w:rFonts w:ascii="Calibri" w:cs="Calibri" w:eastAsia="Calibri" w:hAnsi="Calibri"/>
                <w:color w:val="111827"/>
                <w:sz w:val="20"/>
                <w:szCs w:val="20"/>
              </w:rPr>
              <w:t xml:space="preserve">LEFT OUTER JOIN each parent to all its children on recid. Uses the join statements from get_derivetables.sql as the blueprint.</w:t>
            </w:r>
          </w:p>
        </w:tc>
      </w:tr>
      <w:tr>
        <w:tc>
          <w:tcPr>
            <w:tcW w:type="dxa" w:w="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4</w:t>
            </w:r>
          </w:p>
        </w:tc>
        <w:tc>
          <w:tcPr>
            <w:tcW w:type="dxa" w:w="2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Resolve enum labels</w:t>
            </w:r>
          </w:p>
        </w:tc>
        <w:tc>
          <w:tcPr>
            <w:tcW w:type="dxa" w:w="5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Add _label column beside every enum integer by joining to srsanalysisenums on (tablename, fieldname, enumvalue).</w:t>
            </w:r>
          </w:p>
        </w:tc>
      </w:tr>
      <w:tr>
        <w:tc>
          <w:tcPr>
            <w:tcW w:type="dxa" w:w="500"/>
            <w:tcMar>
              <w:top w:type="dxa" w:w="100"/>
              <w:left w:type="dxa" w:w="140"/>
              <w:bottom w:type="dxa" w:w="100"/>
              <w:right w:type="dxa" w:w="140"/>
            </w:tcMar>
          </w:tcPr>
          <w:p>
            <w:pPr>
              <w:spacing w:line="280"/>
            </w:pPr>
            <w:r>
              <w:rPr>
                <w:rFonts w:ascii="Calibri" w:cs="Calibri" w:eastAsia="Calibri" w:hAnsi="Calibri"/>
                <w:color w:val="111827"/>
                <w:sz w:val="20"/>
                <w:szCs w:val="20"/>
              </w:rPr>
              <w:t xml:space="preserve">5</w:t>
            </w:r>
          </w:p>
        </w:tc>
        <w:tc>
          <w:tcPr>
            <w:tcW w:type="dxa" w:w="2800"/>
            <w:tcMar>
              <w:top w:type="dxa" w:w="100"/>
              <w:left w:type="dxa" w:w="140"/>
              <w:bottom w:type="dxa" w:w="100"/>
              <w:right w:type="dxa" w:w="140"/>
            </w:tcMar>
          </w:tcPr>
          <w:p>
            <w:pPr>
              <w:spacing w:line="280"/>
            </w:pPr>
            <w:r>
              <w:rPr>
                <w:rFonts w:ascii="Calibri" w:cs="Calibri" w:eastAsia="Calibri" w:hAnsi="Calibri"/>
                <w:color w:val="111827"/>
                <w:sz w:val="20"/>
                <w:szCs w:val="20"/>
              </w:rPr>
              <w:t xml:space="preserve">Clean column names</w:t>
            </w:r>
          </w:p>
        </w:tc>
        <w:tc>
          <w:tcPr>
            <w:tcW w:type="dxa" w:w="57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Strip trailing underscores from reserved-word columns (LEVEL_ → level, SIZE_ → size). Drop Synapse Link infrastructure columns (SinkCreatedOn, SinkModifiedOn, _SysRowId, LSN, $FileName).</w:t>
            </w:r>
          </w:p>
        </w:tc>
      </w:tr>
      <w:tr>
        <w:tc>
          <w:tcPr>
            <w:tcW w:type="dxa" w:w="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6</w:t>
            </w:r>
          </w:p>
        </w:tc>
        <w:tc>
          <w:tcPr>
            <w:tcW w:type="dxa" w:w="2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Cast data types</w:t>
            </w:r>
          </w:p>
        </w:tc>
        <w:tc>
          <w:tcPr>
            <w:tcW w:type="dxa" w:w="5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String → TimestampType for datetimes, string → DecimalType(18,2) for money, string → IntegerType for integers. Standardise dataareaid casing.</w:t>
            </w:r>
          </w:p>
        </w:tc>
      </w:tr>
      <w:tr>
        <w:tc>
          <w:tcPr>
            <w:tcW w:type="dxa" w:w="500"/>
            <w:tcMar>
              <w:top w:type="dxa" w:w="100"/>
              <w:left w:type="dxa" w:w="140"/>
              <w:bottom w:type="dxa" w:w="100"/>
              <w:right w:type="dxa" w:w="140"/>
            </w:tcMar>
          </w:tcPr>
          <w:p>
            <w:pPr>
              <w:spacing w:line="280"/>
            </w:pPr>
            <w:r>
              <w:rPr>
                <w:rFonts w:ascii="Calibri" w:cs="Calibri" w:eastAsia="Calibri" w:hAnsi="Calibri"/>
                <w:color w:val="111827"/>
                <w:sz w:val="20"/>
                <w:szCs w:val="20"/>
              </w:rPr>
              <w:t xml:space="preserve">7</w:t>
            </w:r>
          </w:p>
        </w:tc>
        <w:tc>
          <w:tcPr>
            <w:tcW w:type="dxa" w:w="2800"/>
            <w:tcMar>
              <w:top w:type="dxa" w:w="100"/>
              <w:left w:type="dxa" w:w="140"/>
              <w:bottom w:type="dxa" w:w="100"/>
              <w:right w:type="dxa" w:w="140"/>
            </w:tcMar>
          </w:tcPr>
          <w:p>
            <w:pPr>
              <w:spacing w:line="280"/>
            </w:pPr>
            <w:r>
              <w:rPr>
                <w:rFonts w:ascii="Calibri" w:cs="Calibri" w:eastAsia="Calibri" w:hAnsi="Calibri"/>
                <w:color w:val="111827"/>
                <w:sz w:val="20"/>
                <w:szCs w:val="20"/>
              </w:rPr>
              <w:t xml:space="preserve">Explode financial dimensions</w:t>
            </w:r>
          </w:p>
        </w:tc>
        <w:tc>
          <w:tcPr>
            <w:tcW w:type="dxa" w:w="5700"/>
            <w:tcMar>
              <w:top w:type="dxa" w:w="100"/>
              <w:left w:type="dxa" w:w="140"/>
              <w:bottom w:type="dxa" w:w="100"/>
              <w:right w:type="dxa" w:w="140"/>
            </w:tcMar>
          </w:tcPr>
          <w:p>
            <w:pPr>
              <w:spacing w:line="280"/>
            </w:pPr>
            <w:r>
              <w:rPr>
                <w:rFonts w:ascii="Calibri" w:cs="Calibri" w:eastAsia="Calibri" w:hAnsi="Calibri"/>
                <w:color w:val="111827"/>
                <w:sz w:val="20"/>
                <w:szCs w:val="20"/>
              </w:rPr>
              <w:t xml:space="preserve">Pivot DimensionAttributeValueCombination hierarchy into named columns (CostCenter, Department, BusinessUnit) matching your chart of accounts.</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6.4 Silver is not an entity — critical distinction</w:t>
      </w:r>
    </w:p>
    <w:p>
      <w:pPr>
        <w:spacing w:after="80" w:before="80" w:line="300"/>
      </w:pPr>
      <w:r>
        <w:rPr>
          <w:rFonts w:ascii="Calibri" w:cs="Calibri" w:eastAsia="Calibri" w:hAnsi="Calibri"/>
          <w:b w:val="false"/>
          <w:bCs w:val="false"/>
          <w:i w:val="false"/>
          <w:iCs w:val="false"/>
          <w:color w:val="111827"/>
          <w:sz w:val="22"/>
          <w:szCs w:val="22"/>
        </w:rPr>
        <w:t xml:space="preserve">This is the most frequent source of confusion for teams transitioning from BYOD to a lakehouse.</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4500"/>
        <w:gridCol w:w="4500"/>
      </w:tblGrid>
      <w:tr>
        <w:trPr>
          <w:tblHeader/>
        </w:trPr>
        <w:tc>
          <w:tcPr>
            <w:tcW w:type="dxa" w:w="45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Inherited-table join (belongs in Silver)</w:t>
            </w:r>
          </w:p>
        </w:tc>
        <w:tc>
          <w:tcPr>
            <w:tcW w:type="dxa" w:w="45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Entity-style join (belongs in Gold)</w:t>
            </w:r>
          </w:p>
        </w:tc>
      </w:tr>
      <w:tr>
        <w:tc>
          <w:tcPr>
            <w:tcW w:type="dxa" w:w="4500"/>
            <w:tcMar>
              <w:top w:type="dxa" w:w="100"/>
              <w:left w:type="dxa" w:w="140"/>
              <w:bottom w:type="dxa" w:w="100"/>
              <w:right w:type="dxa" w:w="140"/>
            </w:tcMar>
          </w:tcPr>
          <w:p>
            <w:pPr>
              <w:spacing w:after="30" w:before="30" w:line="260"/>
            </w:pPr>
            <w:r>
              <w:rPr>
                <w:rFonts w:ascii="Calibri" w:cs="Calibri" w:eastAsia="Calibri" w:hAnsi="Calibri"/>
                <w:color w:val="111827"/>
                <w:sz w:val="19"/>
                <w:szCs w:val="19"/>
              </w:rPr>
              <w:t xml:space="preserve">Joins a table to its own inheritance children.</w:t>
            </w:r>
          </w:p>
          <w:p>
            <w:pPr>
              <w:spacing w:after="30" w:before="30" w:line="260"/>
            </w:pPr>
            <w:r>
              <w:rPr>
                <w:rFonts w:ascii="Calibri" w:cs="Calibri" w:eastAsia="Calibri" w:hAnsi="Calibri"/>
                <w:color w:val="111827"/>
                <w:sz w:val="19"/>
                <w:szCs w:val="19"/>
              </w:rPr>
              <w:t xml:space="preserve">All rows share the same recid.</w:t>
            </w:r>
          </w:p>
          <w:p>
            <w:pPr>
              <w:spacing w:after="30" w:before="30" w:line="260"/>
            </w:pPr>
            <w:r>
              <w:rPr>
                <w:rFonts w:ascii="Calibri" w:cs="Calibri" w:eastAsia="Calibri" w:hAnsi="Calibri"/>
                <w:color w:val="111827"/>
                <w:sz w:val="19"/>
                <w:szCs w:val="19"/>
              </w:rPr>
              <w:t xml:space="preserve">Purpose: reassemble one D365 table.</w:t>
            </w:r>
          </w:p>
          <w:p>
            <w:pPr>
              <w:spacing w:after="30" w:before="30" w:line="260"/>
            </w:pPr>
            <w:r>
              <w:rPr>
                <w:rFonts w:ascii="Calibri" w:cs="Calibri" w:eastAsia="Calibri" w:hAnsi="Calibri"/>
                <w:color w:val="111827"/>
                <w:sz w:val="19"/>
                <w:szCs w:val="19"/>
              </w:rPr>
              <w:t xml:space="preserve">Example: silver_dirpartytable = dirpartytable + companyinfo + dirperson + dirorganization.</w:t>
            </w:r>
          </w:p>
          <w:p>
            <w:pPr>
              <w:spacing w:after="30" w:before="30" w:line="260"/>
            </w:pPr>
            <w:r>
              <w:rPr>
                <w:rFonts w:ascii="Calibri" w:cs="Calibri" w:eastAsia="Calibri" w:hAnsi="Calibri"/>
                <w:color w:val="111827"/>
                <w:sz w:val="19"/>
                <w:szCs w:val="19"/>
              </w:rPr>
              <w:t xml:space="preserve">EntityUtil equivalent: Step 5.</w:t>
            </w:r>
          </w:p>
        </w:tc>
        <w:tc>
          <w:tcPr>
            <w:tcW w:type="dxa" w:w="4500"/>
            <w:tcMar>
              <w:top w:type="dxa" w:w="100"/>
              <w:left w:type="dxa" w:w="140"/>
              <w:bottom w:type="dxa" w:w="100"/>
              <w:right w:type="dxa" w:w="140"/>
            </w:tcMar>
          </w:tcPr>
          <w:p>
            <w:pPr>
              <w:spacing w:after="30" w:before="30" w:line="260"/>
            </w:pPr>
            <w:r>
              <w:rPr>
                <w:rFonts w:ascii="Calibri" w:cs="Calibri" w:eastAsia="Calibri" w:hAnsi="Calibri"/>
                <w:color w:val="111827"/>
                <w:sz w:val="19"/>
                <w:szCs w:val="19"/>
              </w:rPr>
              <w:t xml:space="preserve">Joins entirely different tables on business foreign keys.</w:t>
            </w:r>
          </w:p>
          <w:p>
            <w:pPr>
              <w:spacing w:after="30" w:before="30" w:line="260"/>
            </w:pPr>
            <w:r>
              <w:rPr>
                <w:rFonts w:ascii="Calibri" w:cs="Calibri" w:eastAsia="Calibri" w:hAnsi="Calibri"/>
                <w:color w:val="111827"/>
                <w:sz w:val="19"/>
                <w:szCs w:val="19"/>
              </w:rPr>
              <w:t xml:space="preserve">Different recid values, different domains.</w:t>
            </w:r>
          </w:p>
          <w:p>
            <w:pPr>
              <w:spacing w:after="30" w:before="30" w:line="260"/>
            </w:pPr>
            <w:r>
              <w:rPr>
                <w:rFonts w:ascii="Calibri" w:cs="Calibri" w:eastAsia="Calibri" w:hAnsi="Calibri"/>
                <w:color w:val="111827"/>
                <w:sz w:val="19"/>
                <w:szCs w:val="19"/>
              </w:rPr>
              <w:t xml:space="preserve">Purpose: build a business dimension or fact.</w:t>
            </w:r>
          </w:p>
          <w:p>
            <w:pPr>
              <w:spacing w:after="30" w:before="30" w:line="260"/>
            </w:pPr>
            <w:r>
              <w:rPr>
                <w:rFonts w:ascii="Calibri" w:cs="Calibri" w:eastAsia="Calibri" w:hAnsi="Calibri"/>
                <w:color w:val="111827"/>
                <w:sz w:val="19"/>
                <w:szCs w:val="19"/>
              </w:rPr>
              <w:t xml:space="preserve">Example: dim_customer = custtable + silver_dirpartytable + custgroup + logisticspostaladdress.</w:t>
            </w:r>
          </w:p>
          <w:p>
            <w:pPr>
              <w:spacing w:after="30" w:before="30" w:line="260"/>
            </w:pPr>
            <w:r>
              <w:rPr>
                <w:rFonts w:ascii="Calibri" w:cs="Calibri" w:eastAsia="Calibri" w:hAnsi="Calibri"/>
                <w:color w:val="111827"/>
                <w:sz w:val="19"/>
                <w:szCs w:val="19"/>
              </w:rPr>
              <w:t xml:space="preserve">EntityUtil equivalent: Step 2.</w:t>
            </w:r>
          </w:p>
        </w:tc>
      </w:tr>
    </w:tbl>
    <w:p>
      <w:pPr>
        <w:spacing w:after="150" w:before="150"/>
      </w:pPr>
      <w: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DBEAFE" w:color="auto" w:val="clear"/>
            <w:tcMar>
              <w:top w:type="dxa" w:w="200"/>
              <w:left w:type="dxa" w:w="240"/>
              <w:bottom w:type="dxa" w:w="200"/>
              <w:right w:type="dxa" w:w="240"/>
            </w:tcMar>
          </w:tcPr>
          <w:p>
            <w:pPr>
              <w:spacing w:after="100"/>
            </w:pPr>
            <w:r>
              <w:rPr>
                <w:rFonts w:ascii="Calibri" w:cs="Calibri" w:eastAsia="Calibri" w:hAnsi="Calibri"/>
                <w:b/>
                <w:bCs/>
                <w:color w:val="1D4ED8"/>
                <w:sz w:val="22"/>
                <w:szCs w:val="22"/>
              </w:rPr>
              <w:t xml:space="preserve">Why keep them separate</w:t>
            </w:r>
          </w:p>
          <w:p>
            <w:pPr>
              <w:spacing w:line="300"/>
            </w:pPr>
            <w:r>
              <w:rPr>
                <w:rFonts w:ascii="Calibri" w:cs="Calibri" w:eastAsia="Calibri" w:hAnsi="Calibri"/>
                <w:color w:val="111827"/>
                <w:sz w:val="22"/>
                <w:szCs w:val="22"/>
              </w:rPr>
              <w:t xml:space="preserve">If Silver contained entities, silver_CustCustomerV3Entity, silver_VendVendorV2Entity and silver_HcmWorkerEntity would each contain their own copy of the DirPartyTable join. Party logic would live in three places. Any change to address handling would require three edits. Instead, keep Silver granular: one silver_dirpartytable, referenced by every Gold dimension that needs party attributes. Change once, propagate everywhere.</w:t>
            </w:r>
          </w:p>
        </w:tc>
      </w:tr>
    </w:tbl>
    <w:p>
      <w:pPr>
        <w:pStyle w:val="Heading2"/>
        <w:spacing w:after="140" w:before="320"/>
      </w:pPr>
      <w:r>
        <w:rPr>
          <w:rFonts w:ascii="Calibri" w:cs="Calibri" w:eastAsia="Calibri" w:hAnsi="Calibri"/>
          <w:b/>
          <w:bCs/>
          <w:color w:val="1F3A5F"/>
          <w:sz w:val="28"/>
          <w:szCs w:val="28"/>
        </w:rPr>
        <w:t xml:space="preserve">6.5 Gold — dimensions and facts</w:t>
      </w:r>
    </w:p>
    <w:p>
      <w:pPr>
        <w:spacing w:after="80" w:before="80" w:line="300"/>
      </w:pPr>
      <w:r>
        <w:rPr>
          <w:rFonts w:ascii="Calibri" w:cs="Calibri" w:eastAsia="Calibri" w:hAnsi="Calibri"/>
          <w:b w:val="false"/>
          <w:bCs w:val="false"/>
          <w:i w:val="false"/>
          <w:iCs w:val="false"/>
          <w:color w:val="111827"/>
          <w:sz w:val="22"/>
          <w:szCs w:val="22"/>
        </w:rPr>
        <w:t xml:space="preserve">Gold is where business modelling happens. Silver tables are joined into star-schema dimensions and facts with surrogate keys, SCD Type 2 where required, currency conversion, and pre-computed measures.</w:t>
      </w:r>
    </w:p>
    <w:p>
      <w:pPr>
        <w:pStyle w:val="Heading4"/>
        <w:spacing w:after="80" w:before="200"/>
      </w:pPr>
      <w:r>
        <w:rPr>
          <w:rFonts w:ascii="Calibri" w:cs="Calibri" w:eastAsia="Calibri" w:hAnsi="Calibri"/>
          <w:b/>
          <w:bCs/>
          <w:color w:val="111827"/>
          <w:sz w:val="22"/>
          <w:szCs w:val="22"/>
        </w:rPr>
        <w:t xml:space="preserve">Dimensions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800"/>
        <w:gridCol w:w="7200"/>
      </w:tblGrid>
      <w:tr>
        <w:trPr>
          <w:tblHeader/>
        </w:trPr>
        <w:tc>
          <w:tcPr>
            <w:tcW w:type="dxa" w:w="1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Table</w:t>
            </w:r>
          </w:p>
        </w:tc>
        <w:tc>
          <w:tcPr>
            <w:tcW w:type="dxa" w:w="7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Composition</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dim_customer</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silver_custtable + silver_dirpartytable + silver_custgroup + primary postal address.</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dim_vendor</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silver_vendtable + silver_dirpartytable + silver_vendgroup + primary postal address.</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dim_product</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silver_ecoresproduct + silver_inventtable + silver_ecoresproductcategory + silver_unitofmeasure.</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dim_date</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Generated calendar joined to silver_fiscalcalendar to add fiscal_year, fiscal_period, fiscal_quarter.</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dim_legal_entity</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silver_dirpartytable filtered to CompanyInfo rows. Provides data_area_id, company name, country, functional currency.</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dim_warehouse</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silver_inventlocation + silver_inventsite.</w:t>
            </w:r>
          </w:p>
        </w:tc>
      </w:tr>
      <w:tr>
        <w:tc>
          <w:tcPr>
            <w:tcW w:type="dxa" w:w="1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dim_account</w:t>
            </w:r>
          </w:p>
        </w:tc>
        <w:tc>
          <w:tcPr>
            <w:tcW w:type="dxa" w:w="7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silver_mainaccount + exploded financial dimensions from silver_dimensioncombination.</w:t>
            </w:r>
          </w:p>
        </w:tc>
      </w:tr>
      <w:tr>
        <w:tc>
          <w:tcPr>
            <w:tcW w:type="dxa" w:w="1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dim_worker</w:t>
            </w:r>
          </w:p>
        </w:tc>
        <w:tc>
          <w:tcPr>
            <w:tcW w:type="dxa" w:w="7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silver_hcmworker + silver_dirpartytable filtered to DirPerson rows.</w:t>
            </w:r>
          </w:p>
        </w:tc>
      </w:tr>
    </w:tbl>
    <w:p>
      <w:pPr>
        <w:spacing w:after="200" w:before="200"/>
      </w:pPr>
      <w:r>
        <w:t xml:space="preserve"/>
      </w:r>
    </w:p>
    <w:p>
      <w:pPr>
        <w:pStyle w:val="Heading4"/>
        <w:spacing w:after="80" w:before="200"/>
      </w:pPr>
      <w:r>
        <w:rPr>
          <w:rFonts w:ascii="Calibri" w:cs="Calibri" w:eastAsia="Calibri" w:hAnsi="Calibri"/>
          <w:b/>
          <w:bCs/>
          <w:color w:val="111827"/>
          <w:sz w:val="22"/>
          <w:szCs w:val="22"/>
        </w:rPr>
        <w:t xml:space="preserve">Facts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2400"/>
        <w:gridCol w:w="4200"/>
      </w:tblGrid>
      <w:tr>
        <w:trPr>
          <w:tblHeader/>
        </w:trPr>
        <w:tc>
          <w:tcPr>
            <w:tcW w:type="dxa" w:w="2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Table</w:t>
            </w:r>
          </w:p>
        </w:tc>
        <w:tc>
          <w:tcPr>
            <w:tcW w:type="dxa" w:w="2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Grain</w:t>
            </w:r>
          </w:p>
        </w:tc>
        <w:tc>
          <w:tcPr>
            <w:tcW w:type="dxa" w:w="4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Key measures</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fact_sales_order</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sales line.</w:t>
            </w:r>
          </w:p>
        </w:tc>
        <w:tc>
          <w:tcPr>
            <w:tcW w:type="dxa" w:w="4200"/>
            <w:tcMar>
              <w:top w:type="dxa" w:w="100"/>
              <w:left w:type="dxa" w:w="140"/>
              <w:bottom w:type="dxa" w:w="100"/>
              <w:right w:type="dxa" w:w="140"/>
            </w:tcMar>
          </w:tcPr>
          <w:p>
            <w:pPr>
              <w:spacing w:line="280"/>
            </w:pPr>
            <w:r>
              <w:rPr>
                <w:rFonts w:ascii="Calibri" w:cs="Calibri" w:eastAsia="Calibri" w:hAnsi="Calibri"/>
                <w:color w:val="111827"/>
                <w:sz w:val="20"/>
                <w:szCs w:val="20"/>
              </w:rPr>
              <w:t xml:space="preserve">qty_ordered, qty_delivered, line_amount, discount, tax, net_amount.</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fact_sales_invoice</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invoice line.</w:t>
            </w:r>
          </w:p>
        </w:tc>
        <w:tc>
          <w:tcPr>
            <w:tcW w:type="dxa" w:w="4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invoiced_qty, line_amount, tax_amount, invoice_amount.</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fact_purchase_order</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purchase line.</w:t>
            </w:r>
          </w:p>
        </w:tc>
        <w:tc>
          <w:tcPr>
            <w:tcW w:type="dxa" w:w="4200"/>
            <w:tcMar>
              <w:top w:type="dxa" w:w="100"/>
              <w:left w:type="dxa" w:w="140"/>
              <w:bottom w:type="dxa" w:w="100"/>
              <w:right w:type="dxa" w:w="140"/>
            </w:tcMar>
          </w:tcPr>
          <w:p>
            <w:pPr>
              <w:spacing w:line="280"/>
            </w:pPr>
            <w:r>
              <w:rPr>
                <w:rFonts w:ascii="Calibri" w:cs="Calibri" w:eastAsia="Calibri" w:hAnsi="Calibri"/>
                <w:color w:val="111827"/>
                <w:sz w:val="20"/>
                <w:szCs w:val="20"/>
              </w:rPr>
              <w:t xml:space="preserve">qty_ordered, qty_received, line_amount, discount.</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fact_general_ledger</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journal account entry.</w:t>
            </w:r>
          </w:p>
        </w:tc>
        <w:tc>
          <w:tcPr>
            <w:tcW w:type="dxa" w:w="4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accounting_currency_amount, reporting_currency_amount, transaction_currency_amount.</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fact_customer_transactions</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AR transaction.</w:t>
            </w:r>
          </w:p>
        </w:tc>
        <w:tc>
          <w:tcPr>
            <w:tcW w:type="dxa" w:w="4200"/>
            <w:tcMar>
              <w:top w:type="dxa" w:w="100"/>
              <w:left w:type="dxa" w:w="140"/>
              <w:bottom w:type="dxa" w:w="100"/>
              <w:right w:type="dxa" w:w="140"/>
            </w:tcMar>
          </w:tcPr>
          <w:p>
            <w:pPr>
              <w:spacing w:line="280"/>
            </w:pPr>
            <w:r>
              <w:rPr>
                <w:rFonts w:ascii="Calibri" w:cs="Calibri" w:eastAsia="Calibri" w:hAnsi="Calibri"/>
                <w:color w:val="111827"/>
                <w:sz w:val="20"/>
                <w:szCs w:val="20"/>
              </w:rPr>
              <w:t xml:space="preserve">amount_mst, amount_cur, settlement_amount.</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fact_vendor_transactions</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AP transaction.</w:t>
            </w:r>
          </w:p>
        </w:tc>
        <w:tc>
          <w:tcPr>
            <w:tcW w:type="dxa" w:w="4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amount_mst, amount_cur.</w:t>
            </w:r>
          </w:p>
        </w:tc>
      </w:tr>
      <w:tr>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fact_inventory_transactions</w:t>
            </w:r>
          </w:p>
        </w:tc>
        <w:tc>
          <w:tcPr>
            <w:tcW w:type="dxa" w:w="2400"/>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row per inventory movement.</w:t>
            </w:r>
          </w:p>
        </w:tc>
        <w:tc>
          <w:tcPr>
            <w:tcW w:type="dxa" w:w="4200"/>
            <w:tcMar>
              <w:top w:type="dxa" w:w="100"/>
              <w:left w:type="dxa" w:w="140"/>
              <w:bottom w:type="dxa" w:w="100"/>
              <w:right w:type="dxa" w:w="140"/>
            </w:tcMar>
          </w:tcPr>
          <w:p>
            <w:pPr>
              <w:spacing w:line="280"/>
            </w:pPr>
            <w:r>
              <w:rPr>
                <w:rFonts w:ascii="Calibri" w:cs="Calibri" w:eastAsia="Calibri" w:hAnsi="Calibri"/>
                <w:color w:val="111827"/>
                <w:sz w:val="20"/>
                <w:szCs w:val="20"/>
              </w:rPr>
              <w:t xml:space="preserve">qty, cost_amount_physical, cost_amount_financial.</w:t>
            </w:r>
          </w:p>
        </w:tc>
      </w:tr>
      <w:tr>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fact_inventory_onhand</w:t>
            </w:r>
          </w:p>
        </w:tc>
        <w:tc>
          <w:tcPr>
            <w:tcW w:type="dxa" w:w="2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Periodic snapshot per item/warehouse/batch.</w:t>
            </w:r>
          </w:p>
        </w:tc>
        <w:tc>
          <w:tcPr>
            <w:tcW w:type="dxa" w:w="4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physical_qty, available_physical, ordered_qty, on_order_qty.</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6.6 OBT — one big table per analytics domain</w:t>
      </w:r>
    </w:p>
    <w:p>
      <w:pPr>
        <w:spacing w:after="80" w:before="80" w:line="300"/>
      </w:pPr>
      <w:r>
        <w:rPr>
          <w:rFonts w:ascii="Calibri" w:cs="Calibri" w:eastAsia="Calibri" w:hAnsi="Calibri"/>
          <w:b w:val="false"/>
          <w:bCs w:val="false"/>
          <w:i w:val="false"/>
          <w:iCs w:val="false"/>
          <w:color w:val="111827"/>
          <w:sz w:val="22"/>
          <w:szCs w:val="22"/>
        </w:rPr>
        <w:t xml:space="preserve">OBTs are wide, denormalised, pre-joined tables optimised for BI. They eliminate joins at query time, which improves Power BI performance and simplifies semantic-layer modelling.</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7000"/>
      </w:tblGrid>
      <w:tr>
        <w:trPr>
          <w:tblHeader/>
        </w:trPr>
        <w:tc>
          <w:tcPr>
            <w:tcW w:type="dxa" w:w="2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OBT</w:t>
            </w:r>
          </w:p>
        </w:tc>
        <w:tc>
          <w:tcPr>
            <w:tcW w:type="dxa" w:w="70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Composition</w:t>
            </w:r>
          </w:p>
        </w:tc>
      </w:tr>
      <w:tr>
        <w:tc>
          <w:tcPr>
            <w:tcW w:type="dxa" w:w="2000"/>
            <w:tcMar>
              <w:top w:type="dxa" w:w="100"/>
              <w:left w:type="dxa" w:w="140"/>
              <w:bottom w:type="dxa" w:w="100"/>
              <w:right w:type="dxa" w:w="140"/>
            </w:tcMar>
          </w:tcPr>
          <w:p>
            <w:pPr>
              <w:spacing w:line="280"/>
            </w:pPr>
            <w:r>
              <w:rPr>
                <w:rFonts w:ascii="Calibri" w:cs="Calibri" w:eastAsia="Calibri" w:hAnsi="Calibri"/>
                <w:color w:val="111827"/>
                <w:sz w:val="20"/>
                <w:szCs w:val="20"/>
              </w:rPr>
              <w:t xml:space="preserve">obt_sales</w:t>
            </w:r>
          </w:p>
        </w:tc>
        <w:tc>
          <w:tcPr>
            <w:tcW w:type="dxa" w:w="70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fact_sales_order + fact_sales_invoice + dim_customer + dim_product + dim_date + dim_warehouse + dim_legal_entity.</w:t>
            </w:r>
          </w:p>
        </w:tc>
      </w:tr>
      <w:tr>
        <w:tc>
          <w:tcPr>
            <w:tcW w:type="dxa" w:w="2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obt_procurement</w:t>
            </w:r>
          </w:p>
        </w:tc>
        <w:tc>
          <w:tcPr>
            <w:tcW w:type="dxa" w:w="7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fact_purchase_order + dim_vendor + dim_product + dim_date + dim_warehouse.</w:t>
            </w:r>
          </w:p>
        </w:tc>
      </w:tr>
      <w:tr>
        <w:tc>
          <w:tcPr>
            <w:tcW w:type="dxa" w:w="2000"/>
            <w:tcMar>
              <w:top w:type="dxa" w:w="100"/>
              <w:left w:type="dxa" w:w="140"/>
              <w:bottom w:type="dxa" w:w="100"/>
              <w:right w:type="dxa" w:w="140"/>
            </w:tcMar>
          </w:tcPr>
          <w:p>
            <w:pPr>
              <w:spacing w:line="280"/>
            </w:pPr>
            <w:r>
              <w:rPr>
                <w:rFonts w:ascii="Calibri" w:cs="Calibri" w:eastAsia="Calibri" w:hAnsi="Calibri"/>
                <w:color w:val="111827"/>
                <w:sz w:val="20"/>
                <w:szCs w:val="20"/>
              </w:rPr>
              <w:t xml:space="preserve">obt_finance</w:t>
            </w:r>
          </w:p>
        </w:tc>
        <w:tc>
          <w:tcPr>
            <w:tcW w:type="dxa" w:w="70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fact_general_ledger + dim_account + dim_date + dim_legal_entity.</w:t>
            </w:r>
          </w:p>
        </w:tc>
      </w:tr>
      <w:tr>
        <w:tc>
          <w:tcPr>
            <w:tcW w:type="dxa" w:w="2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obt_ar_aging</w:t>
            </w:r>
          </w:p>
        </w:tc>
        <w:tc>
          <w:tcPr>
            <w:tcW w:type="dxa" w:w="70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fact_customer_transactions + dim_customer + dim_date + aging bucket calculation.</w:t>
            </w:r>
          </w:p>
        </w:tc>
      </w:tr>
      <w:tr>
        <w:tc>
          <w:tcPr>
            <w:tcW w:type="dxa" w:w="2000"/>
            <w:tcMar>
              <w:top w:type="dxa" w:w="100"/>
              <w:left w:type="dxa" w:w="140"/>
              <w:bottom w:type="dxa" w:w="100"/>
              <w:right w:type="dxa" w:w="140"/>
            </w:tcMar>
          </w:tcPr>
          <w:p>
            <w:pPr>
              <w:spacing w:line="280"/>
            </w:pPr>
            <w:r>
              <w:rPr>
                <w:rFonts w:ascii="Calibri" w:cs="Calibri" w:eastAsia="Calibri" w:hAnsi="Calibri"/>
                <w:color w:val="111827"/>
                <w:sz w:val="20"/>
                <w:szCs w:val="20"/>
              </w:rPr>
              <w:t xml:space="preserve">obt_inventory</w:t>
            </w:r>
          </w:p>
        </w:tc>
        <w:tc>
          <w:tcPr>
            <w:tcW w:type="dxa" w:w="70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fact_inventory_onhand + fact_inventory_transactions + dim_product + dim_warehouse + dim_date.</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6.7 Insights</w:t>
      </w:r>
    </w:p>
    <w:p>
      <w:pPr>
        <w:spacing w:after="80" w:before="80" w:line="300"/>
      </w:pPr>
      <w:r>
        <w:rPr>
          <w:rFonts w:ascii="Calibri" w:cs="Calibri" w:eastAsia="Calibri" w:hAnsi="Calibri"/>
          <w:b w:val="false"/>
          <w:bCs w:val="false"/>
          <w:i w:val="false"/>
          <w:iCs w:val="false"/>
          <w:color w:val="111827"/>
          <w:sz w:val="22"/>
          <w:szCs w:val="22"/>
        </w:rPr>
        <w:t xml:space="preserve">Power BI dashboards, ML models, and operational alerts consume directly from OBTs. No further transformation should be required at this layer — the OBT is the semantic contract with the business.</w:t>
      </w:r>
    </w:p>
    <w:p>
      <w:r>
        <w:br w:type="page"/>
      </w:r>
    </w:p>
    <w:p>
      <w:pPr>
        <w:pStyle w:val="Heading1"/>
        <w:spacing w:after="200" w:before="480"/>
      </w:pPr>
      <w:r>
        <w:rPr>
          <w:rFonts w:ascii="Calibri" w:cs="Calibri" w:eastAsia="Calibri" w:hAnsi="Calibri"/>
          <w:b/>
          <w:bCs/>
          <w:color w:val="1F3A5F"/>
          <w:sz w:val="36"/>
          <w:szCs w:val="36"/>
        </w:rPr>
        <w:t xml:space="preserve">7. Raw vs Silver — concrete comparison</w:t>
      </w:r>
    </w:p>
    <w:p>
      <w:pPr>
        <w:spacing w:after="80" w:before="80" w:line="300"/>
      </w:pPr>
      <w:r>
        <w:rPr>
          <w:rFonts w:ascii="Calibri" w:cs="Calibri" w:eastAsia="Calibri" w:hAnsi="Calibri"/>
          <w:b w:val="false"/>
          <w:bCs w:val="false"/>
          <w:i w:val="false"/>
          <w:iCs w:val="false"/>
          <w:color w:val="111827"/>
          <w:sz w:val="22"/>
          <w:szCs w:val="22"/>
        </w:rPr>
        <w:t xml:space="preserve">The following comparison uses the CustTable and DirPartyTable examples to show what actually changes between the two layers.</w:t>
      </w:r>
    </w:p>
    <w:p>
      <w:pPr>
        <w:pStyle w:val="Heading3"/>
        <w:spacing w:after="100" w:before="260"/>
      </w:pPr>
      <w:r>
        <w:rPr>
          <w:rFonts w:ascii="Calibri" w:cs="Calibri" w:eastAsia="Calibri" w:hAnsi="Calibri"/>
          <w:b/>
          <w:bCs/>
          <w:color w:val="2E7DAF"/>
          <w:sz w:val="24"/>
          <w:szCs w:val="24"/>
        </w:rPr>
        <w:t xml:space="preserve">7.1 Soft deletes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Row visibility</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IsDelete=1 rows retained.</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Filtered out by WHERE IsDelete = 0.</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Rationale</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Audit trail; enables full pipeline replay.</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Business layer should never see deleted records.</w:t>
            </w:r>
          </w:p>
        </w:tc>
      </w:tr>
    </w:tbl>
    <w:p>
      <w:pPr>
        <w:pStyle w:val="Heading3"/>
        <w:spacing w:after="100" w:before="260"/>
      </w:pPr>
      <w:r>
        <w:rPr>
          <w:rFonts w:ascii="Calibri" w:cs="Calibri" w:eastAsia="Calibri" w:hAnsi="Calibri"/>
          <w:b/>
          <w:bCs/>
          <w:color w:val="2E7DAF"/>
          <w:sz w:val="24"/>
          <w:szCs w:val="24"/>
        </w:rPr>
        <w:t xml:space="preserve">7.2 Duplicate versions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Row count per recid</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Multiple. One row per Synapse Link sync cycle.</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Exactly one — the row with the highest versionnumber.</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Rationale</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Preserves change history.</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trusted current state per record.</w:t>
            </w:r>
          </w:p>
        </w:tc>
      </w:tr>
    </w:tbl>
    <w:p>
      <w:pPr>
        <w:pStyle w:val="Heading3"/>
        <w:spacing w:after="100" w:before="260"/>
      </w:pPr>
      <w:r>
        <w:rPr>
          <w:rFonts w:ascii="Calibri" w:cs="Calibri" w:eastAsia="Calibri" w:hAnsi="Calibri"/>
          <w:b/>
          <w:bCs/>
          <w:color w:val="2E7DAF"/>
          <w:sz w:val="24"/>
          <w:szCs w:val="24"/>
        </w:rPr>
        <w:t xml:space="preserve">7.3 Inherited tables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Physical structure</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Parent and each child are separate tables. Same recid across tables.</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unified table joined via LEFT OUTER JOIN on recid.</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Query complexity</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Every downstream consumer must repeat the join.</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Consumers see one clean table.</w:t>
            </w:r>
          </w:p>
        </w:tc>
      </w:tr>
    </w:tbl>
    <w:p>
      <w:pPr>
        <w:pStyle w:val="Heading3"/>
        <w:spacing w:after="100" w:before="260"/>
      </w:pPr>
      <w:r>
        <w:rPr>
          <w:rFonts w:ascii="Calibri" w:cs="Calibri" w:eastAsia="Calibri" w:hAnsi="Calibri"/>
          <w:b/>
          <w:bCs/>
          <w:color w:val="2E7DAF"/>
          <w:sz w:val="24"/>
          <w:szCs w:val="24"/>
        </w:rPr>
        <w:t xml:space="preserve">7.4 Enum values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Storage</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Integer only (e.g. blocked=2, creditrating=1).</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Integer retained plus a _label column (blocked_label='Invoice', creditrating_label='Excellent').</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Source</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n/a</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srsanalysisenums lookup.</w:t>
            </w:r>
          </w:p>
        </w:tc>
      </w:tr>
    </w:tbl>
    <w:p>
      <w:pPr>
        <w:pStyle w:val="Heading3"/>
        <w:spacing w:after="100" w:before="260"/>
      </w:pPr>
      <w:r>
        <w:rPr>
          <w:rFonts w:ascii="Calibri" w:cs="Calibri" w:eastAsia="Calibri" w:hAnsi="Calibri"/>
          <w:b/>
          <w:bCs/>
          <w:color w:val="2E7DAF"/>
          <w:sz w:val="24"/>
          <w:szCs w:val="24"/>
        </w:rPr>
        <w:t xml:space="preserve">7.5 Column names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Reserved-word columns</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LEVEL_, SIZE_, KEY_, COMMENT_ (underscore appended).</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level, size, key, comment (underscore stripped).</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Infrastructure columns</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Id, SinkCreatedOn, SinkModifiedOn, _SysRowId, LSN, $FileName retained.</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Dropped.</w:t>
            </w:r>
          </w:p>
        </w:tc>
      </w:tr>
    </w:tbl>
    <w:p>
      <w:pPr>
        <w:pStyle w:val="Heading3"/>
        <w:spacing w:after="100" w:before="260"/>
      </w:pPr>
      <w:r>
        <w:rPr>
          <w:rFonts w:ascii="Calibri" w:cs="Calibri" w:eastAsia="Calibri" w:hAnsi="Calibri"/>
          <w:b/>
          <w:bCs/>
          <w:color w:val="2E7DAF"/>
          <w:sz w:val="24"/>
          <w:szCs w:val="24"/>
        </w:rPr>
        <w:t xml:space="preserve">7.6 Data types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Datetime columns</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String (ISO 8601 formatted).</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TimestampType.</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Monetary columns</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String.</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DecimalType(18, 2).</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Enum columns</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String.</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IntegerType.</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Data area</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Lower case (e.g. 'usmf').</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Upper case (e.g. 'USMF') to match F&amp;O convention.</w:t>
            </w:r>
          </w:p>
        </w:tc>
      </w:tr>
    </w:tbl>
    <w:p>
      <w:pPr>
        <w:pStyle w:val="Heading3"/>
        <w:spacing w:after="100" w:before="260"/>
      </w:pPr>
      <w:r>
        <w:rPr>
          <w:rFonts w:ascii="Calibri" w:cs="Calibri" w:eastAsia="Calibri" w:hAnsi="Calibri"/>
          <w:b/>
          <w:bCs/>
          <w:color w:val="2E7DAF"/>
          <w:sz w:val="24"/>
          <w:szCs w:val="24"/>
        </w:rPr>
        <w:t xml:space="preserve">7.7 Financial dimensions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3700"/>
        <w:gridCol w:w="37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Aspect</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Raw</w:t>
            </w:r>
          </w:p>
        </w:tc>
        <w:tc>
          <w:tcPr>
            <w:tcW w:type="dxa" w:w="37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Silver</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Structure</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Foreign key to DimensionAttributeValueCombination. Named dimensions require a four-way join.</w:t>
            </w:r>
          </w:p>
        </w:tc>
        <w:tc>
          <w:tcPr>
            <w:tcW w:type="dxa" w:w="3700"/>
            <w:tcMar>
              <w:top w:type="dxa" w:w="100"/>
              <w:left w:type="dxa" w:w="140"/>
              <w:bottom w:type="dxa" w:w="100"/>
              <w:right w:type="dxa" w:w="140"/>
            </w:tcMar>
          </w:tcPr>
          <w:p>
            <w:pPr>
              <w:spacing w:line="280"/>
            </w:pPr>
            <w:r>
              <w:rPr>
                <w:rFonts w:ascii="Calibri" w:cs="Calibri" w:eastAsia="Calibri" w:hAnsi="Calibri"/>
                <w:color w:val="111827"/>
                <w:sz w:val="20"/>
                <w:szCs w:val="20"/>
              </w:rPr>
              <w:t xml:space="preserve">Named columns per dimension (cost_center, department, business_unit) pre-computed at load time.</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Consumer impact</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Analysts and BI tools must construct the join themselves.</w:t>
            </w:r>
          </w:p>
        </w:tc>
        <w:tc>
          <w:tcPr>
            <w:tcW w:type="dxa" w:w="37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Slicing by dimension is a single-column filter.</w:t>
            </w:r>
          </w:p>
        </w:tc>
      </w:tr>
    </w:tbl>
    <w:p>
      <w:pPr>
        <w:spacing w:after="200" w:before="200"/>
      </w:pPr>
      <w: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shd w:fill="E5EBF2" w:color="auto" w:val="clear"/>
            <w:tcMar>
              <w:top w:type="dxa" w:w="200"/>
              <w:left w:type="dxa" w:w="240"/>
              <w:bottom w:type="dxa" w:w="200"/>
              <w:right w:type="dxa" w:w="240"/>
            </w:tcMar>
          </w:tcPr>
          <w:p>
            <w:pPr>
              <w:spacing w:after="100"/>
            </w:pPr>
            <w:r>
              <w:rPr>
                <w:rFonts w:ascii="Calibri" w:cs="Calibri" w:eastAsia="Calibri" w:hAnsi="Calibri"/>
                <w:b/>
                <w:bCs/>
                <w:color w:val="1F3A5F"/>
                <w:sz w:val="22"/>
                <w:szCs w:val="22"/>
              </w:rPr>
              <w:t xml:space="preserve">One-line summary</w:t>
            </w:r>
          </w:p>
          <w:p>
            <w:pPr>
              <w:spacing w:line="300"/>
            </w:pPr>
            <w:r>
              <w:rPr>
                <w:rFonts w:ascii="Calibri" w:cs="Calibri" w:eastAsia="Calibri" w:hAnsi="Calibri"/>
                <w:color w:val="111827"/>
                <w:sz w:val="22"/>
                <w:szCs w:val="22"/>
              </w:rPr>
              <w:t xml:space="preserve">Raw is what Synapse Link gives you, untouched — a data engineer's reprocessing safety net. Silver is what a D365 functional consultant would expect to see — clean, complete, human-readable tables ready to feed star-schema modelling in Gold.</w:t>
            </w:r>
          </w:p>
        </w:tc>
      </w:tr>
    </w:tbl>
    <w:p>
      <w:r>
        <w:br w:type="page"/>
      </w:r>
    </w:p>
    <w:p>
      <w:pPr>
        <w:pStyle w:val="Heading1"/>
        <w:spacing w:after="200" w:before="480"/>
      </w:pPr>
      <w:r>
        <w:rPr>
          <w:rFonts w:ascii="Calibri" w:cs="Calibri" w:eastAsia="Calibri" w:hAnsi="Calibri"/>
          <w:b/>
          <w:bCs/>
          <w:color w:val="1F3A5F"/>
          <w:sz w:val="36"/>
          <w:szCs w:val="36"/>
        </w:rPr>
        <w:t xml:space="preserve">8. Implementation guidance</w:t>
      </w:r>
    </w:p>
    <w:p>
      <w:pPr>
        <w:pStyle w:val="Heading2"/>
        <w:spacing w:after="140" w:before="320"/>
      </w:pPr>
      <w:r>
        <w:rPr>
          <w:rFonts w:ascii="Calibri" w:cs="Calibri" w:eastAsia="Calibri" w:hAnsi="Calibri"/>
          <w:b/>
          <w:bCs/>
          <w:color w:val="1F3A5F"/>
          <w:sz w:val="28"/>
          <w:szCs w:val="28"/>
        </w:rPr>
        <w:t xml:space="preserve">8.1 Recommended pipeline for a lakehouse team</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1600"/>
        <w:gridCol w:w="4500"/>
        <w:gridCol w:w="2900"/>
      </w:tblGrid>
      <w:tr>
        <w:trPr>
          <w:tblHeader/>
        </w:trPr>
        <w:tc>
          <w:tcPr>
            <w:tcW w:type="dxa" w:w="1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Phase</w:t>
            </w:r>
          </w:p>
        </w:tc>
        <w:tc>
          <w:tcPr>
            <w:tcW w:type="dxa" w:w="45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Activity</w:t>
            </w:r>
          </w:p>
        </w:tc>
        <w:tc>
          <w:tcPr>
            <w:tcW w:type="dxa" w:w="29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Deliverable</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Discovery</w:t>
            </w:r>
          </w:p>
        </w:tc>
        <w:tc>
          <w:tcPr>
            <w:tcW w:type="dxa" w:w="4500"/>
            <w:tcMar>
              <w:top w:type="dxa" w:w="100"/>
              <w:left w:type="dxa" w:w="140"/>
              <w:bottom w:type="dxa" w:w="100"/>
              <w:right w:type="dxa" w:w="140"/>
            </w:tcMar>
          </w:tcPr>
          <w:p>
            <w:pPr>
              <w:spacing w:line="280"/>
            </w:pPr>
            <w:r>
              <w:rPr>
                <w:rFonts w:ascii="Calibri" w:cs="Calibri" w:eastAsia="Calibri" w:hAnsi="Calibri"/>
                <w:color w:val="111827"/>
                <w:sz w:val="20"/>
                <w:szCs w:val="20"/>
              </w:rPr>
              <w:t xml:space="preserve">Run get_derivetables.sql against sandbox. Review inheritance hierarchy.</w:t>
            </w:r>
          </w:p>
        </w:tc>
        <w:tc>
          <w:tcPr>
            <w:tcW w:type="dxa" w:w="2900"/>
            <w:tcMar>
              <w:top w:type="dxa" w:w="100"/>
              <w:left w:type="dxa" w:w="140"/>
              <w:bottom w:type="dxa" w:w="100"/>
              <w:right w:type="dxa" w:w="140"/>
            </w:tcMar>
          </w:tcPr>
          <w:p>
            <w:pPr>
              <w:spacing w:line="280"/>
            </w:pPr>
            <w:r>
              <w:rPr>
                <w:rFonts w:ascii="Calibri" w:cs="Calibri" w:eastAsia="Calibri" w:hAnsi="Calibri"/>
                <w:color w:val="111827"/>
                <w:sz w:val="20"/>
                <w:szCs w:val="20"/>
              </w:rPr>
              <w:t xml:space="preserve">List of tables to add to Synapse Link profile; documented join blueprints.</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Discovery</w:t>
            </w:r>
          </w:p>
        </w:tc>
        <w:tc>
          <w:tcPr>
            <w:tcW w:type="dxa" w:w="4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Optionally run Step 1 (GenerateEntityDependency.ps1) for legacy entity list.</w:t>
            </w:r>
          </w:p>
        </w:tc>
        <w:tc>
          <w:tcPr>
            <w:tcW w:type="dxa" w:w="29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dependencies.json used as reference material for Silver → Gold joins.</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Provisioning</w:t>
            </w:r>
          </w:p>
        </w:tc>
        <w:tc>
          <w:tcPr>
            <w:tcW w:type="dxa" w:w="4500"/>
            <w:tcMar>
              <w:top w:type="dxa" w:w="100"/>
              <w:left w:type="dxa" w:w="140"/>
              <w:bottom w:type="dxa" w:w="100"/>
              <w:right w:type="dxa" w:w="140"/>
            </w:tcMar>
          </w:tcPr>
          <w:p>
            <w:pPr>
              <w:spacing w:line="280"/>
            </w:pPr>
            <w:r>
              <w:rPr>
                <w:rFonts w:ascii="Calibri" w:cs="Calibri" w:eastAsia="Calibri" w:hAnsi="Calibri"/>
                <w:color w:val="111827"/>
                <w:sz w:val="20"/>
                <w:szCs w:val="20"/>
              </w:rPr>
              <w:t xml:space="preserve">Configure Synapse Link with all base + child tables identified in Discovery.</w:t>
            </w:r>
          </w:p>
        </w:tc>
        <w:tc>
          <w:tcPr>
            <w:tcW w:type="dxa" w:w="2900"/>
            <w:tcMar>
              <w:top w:type="dxa" w:w="100"/>
              <w:left w:type="dxa" w:w="140"/>
              <w:bottom w:type="dxa" w:w="100"/>
              <w:right w:type="dxa" w:w="140"/>
            </w:tcMar>
          </w:tcPr>
          <w:p>
            <w:pPr>
              <w:spacing w:line="280"/>
            </w:pPr>
            <w:r>
              <w:rPr>
                <w:rFonts w:ascii="Calibri" w:cs="Calibri" w:eastAsia="Calibri" w:hAnsi="Calibri"/>
                <w:color w:val="111827"/>
                <w:sz w:val="20"/>
                <w:szCs w:val="20"/>
              </w:rPr>
              <w:t xml:space="preserve">Delta / CSV output landing in ADLS.</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Bronze / Raw</w:t>
            </w:r>
          </w:p>
        </w:tc>
        <w:tc>
          <w:tcPr>
            <w:tcW w:type="dxa" w:w="4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Autoloader ingests Synapse Link output into Delta tables in the raw catalog. No transformation.</w:t>
            </w:r>
          </w:p>
        </w:tc>
        <w:tc>
          <w:tcPr>
            <w:tcW w:type="dxa" w:w="29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Raw Delta tables, one per source table.</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w:t>
            </w:r>
          </w:p>
        </w:tc>
        <w:tc>
          <w:tcPr>
            <w:tcW w:type="dxa" w:w="4500"/>
            <w:tcMar>
              <w:top w:type="dxa" w:w="100"/>
              <w:left w:type="dxa" w:w="140"/>
              <w:bottom w:type="dxa" w:w="100"/>
              <w:right w:type="dxa" w:w="140"/>
            </w:tcMar>
          </w:tcPr>
          <w:p>
            <w:pPr>
              <w:spacing w:line="280"/>
            </w:pPr>
            <w:r>
              <w:rPr>
                <w:rFonts w:ascii="Calibri" w:cs="Calibri" w:eastAsia="Calibri" w:hAnsi="Calibri"/>
                <w:color w:val="111827"/>
                <w:sz w:val="20"/>
                <w:szCs w:val="20"/>
              </w:rPr>
              <w:t xml:space="preserve">Notebook per domain performs the seven Silver transformations (Section 6.3).</w:t>
            </w:r>
          </w:p>
        </w:tc>
        <w:tc>
          <w:tcPr>
            <w:tcW w:type="dxa" w:w="2900"/>
            <w:tcMar>
              <w:top w:type="dxa" w:w="100"/>
              <w:left w:type="dxa" w:w="140"/>
              <w:bottom w:type="dxa" w:w="100"/>
              <w:right w:type="dxa" w:w="140"/>
            </w:tcMar>
          </w:tcPr>
          <w:p>
            <w:pPr>
              <w:spacing w:line="280"/>
            </w:pPr>
            <w:r>
              <w:rPr>
                <w:rFonts w:ascii="Calibri" w:cs="Calibri" w:eastAsia="Calibri" w:hAnsi="Calibri"/>
                <w:color w:val="111827"/>
                <w:sz w:val="20"/>
                <w:szCs w:val="20"/>
              </w:rPr>
              <w:t xml:space="preserve">silver_* Delta tables, one per D365 table.</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Gold — Dimensions</w:t>
            </w:r>
          </w:p>
        </w:tc>
        <w:tc>
          <w:tcPr>
            <w:tcW w:type="dxa" w:w="4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Notebook per dimension. Applies surrogate keys and SCD2 where relevant.</w:t>
            </w:r>
          </w:p>
        </w:tc>
        <w:tc>
          <w:tcPr>
            <w:tcW w:type="dxa" w:w="29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dim_* Delta tables.</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Gold — Facts</w:t>
            </w:r>
          </w:p>
        </w:tc>
        <w:tc>
          <w:tcPr>
            <w:tcW w:type="dxa" w:w="4500"/>
            <w:tcMar>
              <w:top w:type="dxa" w:w="100"/>
              <w:left w:type="dxa" w:w="140"/>
              <w:bottom w:type="dxa" w:w="100"/>
              <w:right w:type="dxa" w:w="140"/>
            </w:tcMar>
          </w:tcPr>
          <w:p>
            <w:pPr>
              <w:spacing w:line="280"/>
            </w:pPr>
            <w:r>
              <w:rPr>
                <w:rFonts w:ascii="Calibri" w:cs="Calibri" w:eastAsia="Calibri" w:hAnsi="Calibri"/>
                <w:color w:val="111827"/>
                <w:sz w:val="20"/>
                <w:szCs w:val="20"/>
              </w:rPr>
              <w:t xml:space="preserve">Notebook per fact. Applies FK lookups and measure calculations.</w:t>
            </w:r>
          </w:p>
        </w:tc>
        <w:tc>
          <w:tcPr>
            <w:tcW w:type="dxa" w:w="2900"/>
            <w:tcMar>
              <w:top w:type="dxa" w:w="100"/>
              <w:left w:type="dxa" w:w="140"/>
              <w:bottom w:type="dxa" w:w="100"/>
              <w:right w:type="dxa" w:w="140"/>
            </w:tcMar>
          </w:tcPr>
          <w:p>
            <w:pPr>
              <w:spacing w:line="280"/>
            </w:pPr>
            <w:r>
              <w:rPr>
                <w:rFonts w:ascii="Calibri" w:cs="Calibri" w:eastAsia="Calibri" w:hAnsi="Calibri"/>
                <w:color w:val="111827"/>
                <w:sz w:val="20"/>
                <w:szCs w:val="20"/>
              </w:rPr>
              <w:t xml:space="preserve">fact_* Delta tables.</w:t>
            </w:r>
          </w:p>
        </w:tc>
      </w:tr>
      <w:tr>
        <w:tc>
          <w:tcPr>
            <w:tcW w:type="dxa" w:w="1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OBT</w:t>
            </w:r>
          </w:p>
        </w:tc>
        <w:tc>
          <w:tcPr>
            <w:tcW w:type="dxa" w:w="4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notebook per business domain. Materialises the wide table with Z-ORDER on high-selectivity columns.</w:t>
            </w:r>
          </w:p>
        </w:tc>
        <w:tc>
          <w:tcPr>
            <w:tcW w:type="dxa" w:w="29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obt_* Delta tables.</w:t>
            </w:r>
          </w:p>
        </w:tc>
      </w:tr>
      <w:tr>
        <w:tc>
          <w:tcPr>
            <w:tcW w:type="dxa" w:w="16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Insights</w:t>
            </w:r>
          </w:p>
        </w:tc>
        <w:tc>
          <w:tcPr>
            <w:tcW w:type="dxa" w:w="4500"/>
            <w:tcMar>
              <w:top w:type="dxa" w:w="100"/>
              <w:left w:type="dxa" w:w="140"/>
              <w:bottom w:type="dxa" w:w="100"/>
              <w:right w:type="dxa" w:w="140"/>
            </w:tcMar>
          </w:tcPr>
          <w:p>
            <w:pPr>
              <w:spacing w:line="280"/>
            </w:pPr>
            <w:r>
              <w:rPr>
                <w:rFonts w:ascii="Calibri" w:cs="Calibri" w:eastAsia="Calibri" w:hAnsi="Calibri"/>
                <w:color w:val="111827"/>
                <w:sz w:val="20"/>
                <w:szCs w:val="20"/>
              </w:rPr>
              <w:t xml:space="preserve">Power BI datasets connected to OBTs; ML pipelines read from Gold; alerts subscribe to Silver change streams.</w:t>
            </w:r>
          </w:p>
        </w:tc>
        <w:tc>
          <w:tcPr>
            <w:tcW w:type="dxa" w:w="29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Reports, models, alerts.</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8.2 Governance considerations</w:t>
      </w:r>
    </w:p>
    <w:p>
      <w:pPr>
        <w:pStyle w:val="ListParagraph"/>
        <w:numPr>
          <w:ilvl w:val="0"/>
          <w:numId w:val="2"/>
        </w:numPr>
        <w:spacing w:after="40" w:before="40" w:line="280"/>
      </w:pPr>
      <w:r>
        <w:rPr>
          <w:rFonts w:ascii="Calibri" w:cs="Calibri" w:eastAsia="Calibri" w:hAnsi="Calibri"/>
          <w:color w:val="111827"/>
          <w:sz w:val="22"/>
          <w:szCs w:val="22"/>
        </w:rPr>
        <w:t xml:space="preserve">Sandbox access: JIT credentials expire; document how to request new access and who is authorised to do so.</w:t>
      </w:r>
    </w:p>
    <w:p>
      <w:pPr>
        <w:pStyle w:val="ListParagraph"/>
        <w:numPr>
          <w:ilvl w:val="0"/>
          <w:numId w:val="2"/>
        </w:numPr>
        <w:spacing w:after="40" w:before="40" w:line="280"/>
      </w:pPr>
      <w:r>
        <w:rPr>
          <w:rFonts w:ascii="Calibri" w:cs="Calibri" w:eastAsia="Calibri" w:hAnsi="Calibri"/>
          <w:color w:val="111827"/>
          <w:sz w:val="22"/>
          <w:szCs w:val="22"/>
        </w:rPr>
        <w:t xml:space="preserve">Delta retention: Bronze should retain full history (VACUUM interval measured in weeks). Silver may retain 7-14 days depending on reprocessing SLA.</w:t>
      </w:r>
    </w:p>
    <w:p>
      <w:pPr>
        <w:pStyle w:val="ListParagraph"/>
        <w:numPr>
          <w:ilvl w:val="0"/>
          <w:numId w:val="2"/>
        </w:numPr>
        <w:spacing w:after="40" w:before="40" w:line="280"/>
      </w:pPr>
      <w:r>
        <w:rPr>
          <w:rFonts w:ascii="Calibri" w:cs="Calibri" w:eastAsia="Calibri" w:hAnsi="Calibri"/>
          <w:color w:val="111827"/>
          <w:sz w:val="22"/>
          <w:szCs w:val="22"/>
        </w:rPr>
        <w:t xml:space="preserve">Data lineage: register Unity Catalog lineage for every Silver → Gold → OBT step; the entity-shape decisions in Gold are business-visible and must be traceable.</w:t>
      </w:r>
    </w:p>
    <w:p>
      <w:pPr>
        <w:pStyle w:val="ListParagraph"/>
        <w:numPr>
          <w:ilvl w:val="0"/>
          <w:numId w:val="2"/>
        </w:numPr>
        <w:spacing w:after="40" w:before="40" w:line="280"/>
      </w:pPr>
      <w:r>
        <w:rPr>
          <w:rFonts w:ascii="Calibri" w:cs="Calibri" w:eastAsia="Calibri" w:hAnsi="Calibri"/>
          <w:color w:val="111827"/>
          <w:sz w:val="22"/>
          <w:szCs w:val="22"/>
        </w:rPr>
        <w:t xml:space="preserve">Currency conversion: perform in Silver (using exchrates) or in Gold (using dim_date + rate snapshot) — decide once, apply consistently.</w:t>
      </w:r>
    </w:p>
    <w:p>
      <w:pPr>
        <w:pStyle w:val="ListParagraph"/>
        <w:numPr>
          <w:ilvl w:val="0"/>
          <w:numId w:val="2"/>
        </w:numPr>
        <w:spacing w:after="40" w:before="40" w:line="280"/>
      </w:pPr>
      <w:r>
        <w:rPr>
          <w:rFonts w:ascii="Calibri" w:cs="Calibri" w:eastAsia="Calibri" w:hAnsi="Calibri"/>
          <w:color w:val="111827"/>
          <w:sz w:val="22"/>
          <w:szCs w:val="22"/>
        </w:rPr>
        <w:t xml:space="preserve">Late-arriving dimensions: define behaviour explicitly in Gold; the D365 posting sequence may cause fact rows to arrive before their dimension parents.</w:t>
      </w:r>
    </w:p>
    <w:p>
      <w:pPr>
        <w:pStyle w:val="Heading2"/>
        <w:spacing w:after="140" w:before="320"/>
      </w:pPr>
      <w:r>
        <w:rPr>
          <w:rFonts w:ascii="Calibri" w:cs="Calibri" w:eastAsia="Calibri" w:hAnsi="Calibri"/>
          <w:b/>
          <w:bCs/>
          <w:color w:val="1F3A5F"/>
          <w:sz w:val="28"/>
          <w:szCs w:val="28"/>
        </w:rPr>
        <w:t xml:space="preserve">8.3 What NOT to do</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3500"/>
        <w:gridCol w:w="5500"/>
      </w:tblGrid>
      <w:tr>
        <w:trPr>
          <w:tblHeader/>
        </w:trPr>
        <w:tc>
          <w:tcPr>
            <w:tcW w:type="dxa" w:w="35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Anti-pattern</w:t>
            </w:r>
          </w:p>
        </w:tc>
        <w:tc>
          <w:tcPr>
            <w:tcW w:type="dxa" w:w="55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Why it fails</w:t>
            </w:r>
          </w:p>
        </w:tc>
      </w:tr>
      <w:tr>
        <w:tc>
          <w:tcPr>
            <w:tcW w:type="dxa" w:w="35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Recreating BYOD entities as Silver tables.</w:t>
            </w:r>
          </w:p>
        </w:tc>
        <w:tc>
          <w:tcPr>
            <w:tcW w:type="dxa" w:w="5500"/>
            <w:tcMar>
              <w:top w:type="dxa" w:w="100"/>
              <w:left w:type="dxa" w:w="140"/>
              <w:bottom w:type="dxa" w:w="100"/>
              <w:right w:type="dxa" w:w="140"/>
            </w:tcMar>
          </w:tcPr>
          <w:p>
            <w:pPr>
              <w:spacing w:line="280"/>
            </w:pPr>
            <w:r>
              <w:rPr>
                <w:rFonts w:ascii="Calibri" w:cs="Calibri" w:eastAsia="Calibri" w:hAnsi="Calibri"/>
                <w:color w:val="111827"/>
                <w:sz w:val="20"/>
                <w:szCs w:val="20"/>
              </w:rPr>
              <w:t xml:space="preserve">Duplicates join logic across many tables; violates the granular-table principle of Silver; couples Silver to legacy report structure.</w:t>
            </w:r>
          </w:p>
        </w:tc>
      </w:tr>
      <w:tr>
        <w:tc>
          <w:tcPr>
            <w:tcW w:type="dxa" w:w="3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Running the .ps1 scripts as a scheduled Databricks job.</w:t>
            </w:r>
          </w:p>
        </w:tc>
        <w:tc>
          <w:tcPr>
            <w:tcW w:type="dxa" w:w="5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The scripts target Synapse or Fabric SQL, not Delta Lake. They do not produce Delta tables.</w:t>
            </w:r>
          </w:p>
        </w:tc>
      </w:tr>
      <w:tr>
        <w:tc>
          <w:tcPr>
            <w:tcW w:type="dxa" w:w="3500"/>
            <w:tcMar>
              <w:top w:type="dxa" w:w="100"/>
              <w:left w:type="dxa" w:w="140"/>
              <w:bottom w:type="dxa" w:w="100"/>
              <w:right w:type="dxa" w:w="140"/>
            </w:tcMar>
          </w:tcPr>
          <w:p>
            <w:pPr>
              <w:spacing w:line="280"/>
            </w:pPr>
            <w:r>
              <w:rPr>
                <w:rFonts w:ascii="Calibri" w:cs="Calibri" w:eastAsia="Calibri" w:hAnsi="Calibri"/>
                <w:color w:val="111827"/>
                <w:sz w:val="20"/>
                <w:szCs w:val="20"/>
              </w:rPr>
              <w:t xml:space="preserve">Skipping get_derivetables.sql.</w:t>
            </w:r>
          </w:p>
        </w:tc>
        <w:tc>
          <w:tcPr>
            <w:tcW w:type="dxa" w:w="5500"/>
            <w:tcMar>
              <w:top w:type="dxa" w:w="100"/>
              <w:left w:type="dxa" w:w="140"/>
              <w:bottom w:type="dxa" w:w="100"/>
              <w:right w:type="dxa" w:w="140"/>
            </w:tcMar>
          </w:tcPr>
          <w:p>
            <w:pPr>
              <w:spacing w:line="280"/>
            </w:pPr>
            <w:r>
              <w:rPr>
                <w:rFonts w:ascii="Calibri" w:cs="Calibri" w:eastAsia="Calibri" w:hAnsi="Calibri"/>
                <w:color w:val="111827"/>
                <w:sz w:val="20"/>
                <w:szCs w:val="20"/>
              </w:rPr>
              <w:t xml:space="preserve">Leads to silently missing child tables in Synapse Link and hidden data gaps in every downstream layer.</w:t>
            </w:r>
          </w:p>
        </w:tc>
      </w:tr>
      <w:tr>
        <w:tc>
          <w:tcPr>
            <w:tcW w:type="dxa" w:w="3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Filtering IsDelete in Raw.</w:t>
            </w:r>
          </w:p>
        </w:tc>
        <w:tc>
          <w:tcPr>
            <w:tcW w:type="dxa" w:w="55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Destroys the audit trail. Reprocessing after a discovery of business-rule error becomes impossible.</w:t>
            </w:r>
          </w:p>
        </w:tc>
      </w:tr>
      <w:tr>
        <w:tc>
          <w:tcPr>
            <w:tcW w:type="dxa" w:w="3500"/>
            <w:tcMar>
              <w:top w:type="dxa" w:w="100"/>
              <w:left w:type="dxa" w:w="140"/>
              <w:bottom w:type="dxa" w:w="100"/>
              <w:right w:type="dxa" w:w="140"/>
            </w:tcMar>
          </w:tcPr>
          <w:p>
            <w:pPr>
              <w:spacing w:line="280"/>
            </w:pPr>
            <w:r>
              <w:rPr>
                <w:rFonts w:ascii="Calibri" w:cs="Calibri" w:eastAsia="Calibri" w:hAnsi="Calibri"/>
                <w:color w:val="111827"/>
                <w:sz w:val="20"/>
                <w:szCs w:val="20"/>
              </w:rPr>
              <w:t xml:space="preserve">Building Power BI directly on Silver.</w:t>
            </w:r>
          </w:p>
        </w:tc>
        <w:tc>
          <w:tcPr>
            <w:tcW w:type="dxa" w:w="5500"/>
            <w:tcMar>
              <w:top w:type="dxa" w:w="100"/>
              <w:left w:type="dxa" w:w="140"/>
              <w:bottom w:type="dxa" w:w="100"/>
              <w:right w:type="dxa" w:w="140"/>
            </w:tcMar>
          </w:tcPr>
          <w:p>
            <w:pPr>
              <w:spacing w:line="280"/>
            </w:pPr>
            <w:r>
              <w:rPr>
                <w:rFonts w:ascii="Calibri" w:cs="Calibri" w:eastAsia="Calibri" w:hAnsi="Calibri"/>
                <w:color w:val="111827"/>
                <w:sz w:val="20"/>
                <w:szCs w:val="20"/>
              </w:rPr>
              <w:t xml:space="preserve">Report users end up performing entity-style joins in DAX. Push the joins into Gold or OBT instead.</w:t>
            </w:r>
          </w:p>
        </w:tc>
      </w:tr>
    </w:tbl>
    <w:p>
      <w:r>
        <w:br w:type="page"/>
      </w:r>
    </w:p>
    <w:p>
      <w:pPr>
        <w:pStyle w:val="Heading1"/>
        <w:spacing w:after="200" w:before="480"/>
      </w:pPr>
      <w:r>
        <w:rPr>
          <w:rFonts w:ascii="Calibri" w:cs="Calibri" w:eastAsia="Calibri" w:hAnsi="Calibri"/>
          <w:b/>
          <w:bCs/>
          <w:color w:val="1F3A5F"/>
          <w:sz w:val="36"/>
          <w:szCs w:val="36"/>
        </w:rPr>
        <w:t xml:space="preserve">9. Configuration reference</w:t>
      </w:r>
    </w:p>
    <w:p>
      <w:pPr>
        <w:pStyle w:val="Heading2"/>
        <w:spacing w:after="140" w:before="320"/>
      </w:pPr>
      <w:r>
        <w:rPr>
          <w:rFonts w:ascii="Calibri" w:cs="Calibri" w:eastAsia="Calibri" w:hAnsi="Calibri"/>
          <w:b/>
          <w:bCs/>
          <w:color w:val="1F3A5F"/>
          <w:sz w:val="28"/>
          <w:szCs w:val="28"/>
        </w:rPr>
        <w:t xml:space="preserve">9.1 config.json fields</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6400"/>
      </w:tblGrid>
      <w:tr>
        <w:trPr>
          <w:tblHeader/>
        </w:trPr>
        <w:tc>
          <w:tcPr>
            <w:tcW w:type="dxa" w:w="26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Field</w:t>
            </w:r>
          </w:p>
        </w:tc>
        <w:tc>
          <w:tcPr>
            <w:tcW w:type="dxa" w:w="64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Description</w:t>
            </w:r>
          </w:p>
        </w:tc>
      </w:tr>
      <w:tr>
        <w:tc>
          <w:tcPr>
            <w:tcW w:type="dxa" w:w="2600"/>
            <w:tcMar>
              <w:top w:type="dxa" w:w="100"/>
              <w:left w:type="dxa" w:w="140"/>
              <w:bottom w:type="dxa" w:w="100"/>
              <w:right w:type="dxa" w:w="140"/>
            </w:tcMar>
          </w:tcPr>
          <w:p>
            <w:pPr>
              <w:spacing w:line="280"/>
            </w:pPr>
            <w:r>
              <w:rPr>
                <w:rFonts w:ascii="Calibri" w:cs="Calibri" w:eastAsia="Calibri" w:hAnsi="Calibri"/>
                <w:color w:val="111827"/>
                <w:sz w:val="20"/>
                <w:szCs w:val="20"/>
              </w:rPr>
              <w:t xml:space="preserve">sandboxServerName</w:t>
            </w:r>
          </w:p>
        </w:tc>
        <w:tc>
          <w:tcPr>
            <w:tcW w:type="dxa" w:w="6400"/>
            <w:tcMar>
              <w:top w:type="dxa" w:w="100"/>
              <w:left w:type="dxa" w:w="140"/>
              <w:bottom w:type="dxa" w:w="100"/>
              <w:right w:type="dxa" w:w="140"/>
            </w:tcMar>
          </w:tcPr>
          <w:p>
            <w:pPr>
              <w:spacing w:line="280"/>
            </w:pPr>
            <w:r>
              <w:rPr>
                <w:rFonts w:ascii="Calibri" w:cs="Calibri" w:eastAsia="Calibri" w:hAnsi="Calibri"/>
                <w:color w:val="111827"/>
                <w:sz w:val="20"/>
                <w:szCs w:val="20"/>
              </w:rPr>
              <w:t xml:space="preserve">Sandbox SQL server hostname from LCS JIT access.</w:t>
            </w:r>
          </w:p>
        </w:tc>
      </w:tr>
      <w:tr>
        <w:tc>
          <w:tcPr>
            <w:tcW w:type="dxa" w:w="2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sandboxDatabaseName</w:t>
            </w:r>
          </w:p>
        </w:tc>
        <w:tc>
          <w:tcPr>
            <w:tcW w:type="dxa" w:w="6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Sandbox database name (typically axdb_&lt;env&gt;).</w:t>
            </w:r>
          </w:p>
        </w:tc>
      </w:tr>
      <w:tr>
        <w:tc>
          <w:tcPr>
            <w:tcW w:type="dxa" w:w="2600"/>
            <w:tcMar>
              <w:top w:type="dxa" w:w="100"/>
              <w:left w:type="dxa" w:w="140"/>
              <w:bottom w:type="dxa" w:w="100"/>
              <w:right w:type="dxa" w:w="140"/>
            </w:tcMar>
          </w:tcPr>
          <w:p>
            <w:pPr>
              <w:spacing w:line="280"/>
            </w:pPr>
            <w:r>
              <w:rPr>
                <w:rFonts w:ascii="Calibri" w:cs="Calibri" w:eastAsia="Calibri" w:hAnsi="Calibri"/>
                <w:color w:val="111827"/>
                <w:sz w:val="20"/>
                <w:szCs w:val="20"/>
              </w:rPr>
              <w:t xml:space="preserve">sandboxuid / sandboxPwd</w:t>
            </w:r>
          </w:p>
        </w:tc>
        <w:tc>
          <w:tcPr>
            <w:tcW w:type="dxa" w:w="6400"/>
            <w:tcMar>
              <w:top w:type="dxa" w:w="100"/>
              <w:left w:type="dxa" w:w="140"/>
              <w:bottom w:type="dxa" w:w="100"/>
              <w:right w:type="dxa" w:w="140"/>
            </w:tcMar>
          </w:tcPr>
          <w:p>
            <w:pPr>
              <w:spacing w:line="280"/>
            </w:pPr>
            <w:r>
              <w:rPr>
                <w:rFonts w:ascii="Calibri" w:cs="Calibri" w:eastAsia="Calibri" w:hAnsi="Calibri"/>
                <w:color w:val="111827"/>
                <w:sz w:val="20"/>
                <w:szCs w:val="20"/>
              </w:rPr>
              <w:t xml:space="preserve">JIT-issued credentials, valid for a limited window.</w:t>
            </w:r>
          </w:p>
        </w:tc>
      </w:tr>
      <w:tr>
        <w:tc>
          <w:tcPr>
            <w:tcW w:type="dxa" w:w="2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sourceServerName / sourceDatabaseName</w:t>
            </w:r>
          </w:p>
        </w:tc>
        <w:tc>
          <w:tcPr>
            <w:tcW w:type="dxa" w:w="6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Synapse serverless database on top of the data lake.</w:t>
            </w:r>
          </w:p>
        </w:tc>
      </w:tr>
      <w:tr>
        <w:tc>
          <w:tcPr>
            <w:tcW w:type="dxa" w:w="26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targetServerName / targetDatabaseName</w:t>
            </w:r>
          </w:p>
        </w:tc>
        <w:tc>
          <w:tcPr>
            <w:tcW w:type="dxa" w:w="6400"/>
            <w:tcMar>
              <w:top w:type="dxa" w:w="100"/>
              <w:left w:type="dxa" w:w="140"/>
              <w:bottom w:type="dxa" w:w="100"/>
              <w:right w:type="dxa" w:w="140"/>
            </w:tcMar>
          </w:tcPr>
          <w:p>
            <w:pPr>
              <w:spacing w:line="280"/>
            </w:pPr>
            <w:r>
              <w:rPr>
                <w:rFonts w:ascii="Calibri" w:cs="Calibri" w:eastAsia="Calibri" w:hAnsi="Calibri"/>
                <w:color w:val="111827"/>
                <w:sz w:val="20"/>
                <w:szCs w:val="20"/>
              </w:rPr>
              <w:t xml:space="preserve">Target database that will host the entity views (Synapse Serverless, Dedicated, Fabric, or Azure SQL).</w:t>
            </w:r>
          </w:p>
        </w:tc>
      </w:tr>
      <w:tr>
        <w:tc>
          <w:tcPr>
            <w:tcW w:type="dxa" w:w="2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tenantId</w:t>
            </w:r>
          </w:p>
        </w:tc>
        <w:tc>
          <w:tcPr>
            <w:tcW w:type="dxa" w:w="6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Azure AD tenant ID for interactive authentication.</w:t>
            </w:r>
          </w:p>
        </w:tc>
      </w:tr>
      <w:tr>
        <w:tc>
          <w:tcPr>
            <w:tcW w:type="dxa" w:w="2600"/>
            <w:tcMar>
              <w:top w:type="dxa" w:w="100"/>
              <w:left w:type="dxa" w:w="140"/>
              <w:bottom w:type="dxa" w:w="100"/>
              <w:right w:type="dxa" w:w="140"/>
            </w:tcMar>
          </w:tcPr>
          <w:p>
            <w:pPr>
              <w:spacing w:line="280"/>
            </w:pPr>
            <w:r>
              <w:rPr>
                <w:rFonts w:ascii="Calibri" w:cs="Calibri" w:eastAsia="Calibri" w:hAnsi="Calibri"/>
                <w:color w:val="111827"/>
                <w:sz w:val="20"/>
                <w:szCs w:val="20"/>
              </w:rPr>
              <w:t xml:space="preserve">dbSchema</w:t>
            </w:r>
          </w:p>
        </w:tc>
        <w:tc>
          <w:tcPr>
            <w:tcW w:type="dxa" w:w="6400"/>
            <w:tcMar>
              <w:top w:type="dxa" w:w="100"/>
              <w:left w:type="dxa" w:w="140"/>
              <w:bottom w:type="dxa" w:w="100"/>
              <w:right w:type="dxa" w:w="140"/>
            </w:tcMar>
          </w:tcPr>
          <w:p>
            <w:pPr>
              <w:spacing w:line="280"/>
            </w:pPr>
            <w:r>
              <w:rPr>
                <w:rFonts w:ascii="Calibri" w:cs="Calibri" w:eastAsia="Calibri" w:hAnsi="Calibri"/>
                <w:color w:val="111827"/>
                <w:sz w:val="20"/>
                <w:szCs w:val="20"/>
              </w:rPr>
              <w:t xml:space="preserve">Schema in which the entity views will be created (typically dbo or a dedicated schema).</w:t>
            </w:r>
          </w:p>
        </w:tc>
      </w:tr>
      <w:tr>
        <w:tc>
          <w:tcPr>
            <w:tcW w:type="dxa" w:w="2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dbSchemaTarget</w:t>
            </w:r>
          </w:p>
        </w:tc>
        <w:tc>
          <w:tcPr>
            <w:tcW w:type="dxa" w:w="6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Fabric-specific target schema when the source and target schemas differ.</w:t>
            </w:r>
          </w:p>
        </w:tc>
      </w:tr>
      <w:tr>
        <w:tc>
          <w:tcPr>
            <w:tcW w:type="dxa" w:w="2600"/>
            <w:tcMar>
              <w:top w:type="dxa" w:w="100"/>
              <w:left w:type="dxa" w:w="140"/>
              <w:bottom w:type="dxa" w:w="100"/>
              <w:right w:type="dxa" w:w="140"/>
            </w:tcMar>
          </w:tcPr>
          <w:p>
            <w:pPr>
              <w:spacing w:line="280"/>
            </w:pPr>
            <w:r>
              <w:rPr>
                <w:rFonts w:ascii="Calibri" w:cs="Calibri" w:eastAsia="Calibri" w:hAnsi="Calibri"/>
                <w:color w:val="111827"/>
                <w:sz w:val="20"/>
                <w:szCs w:val="20"/>
              </w:rPr>
              <w:t xml:space="preserve">dbSchemaForControlTable</w:t>
            </w:r>
          </w:p>
        </w:tc>
        <w:tc>
          <w:tcPr>
            <w:tcW w:type="dxa" w:w="6400"/>
            <w:tcMar>
              <w:top w:type="dxa" w:w="100"/>
              <w:left w:type="dxa" w:w="140"/>
              <w:bottom w:type="dxa" w:w="100"/>
              <w:right w:type="dxa" w:w="140"/>
            </w:tcMar>
          </w:tcPr>
          <w:p>
            <w:pPr>
              <w:spacing w:line="280"/>
            </w:pPr>
            <w:r>
              <w:rPr>
                <w:rFonts w:ascii="Calibri" w:cs="Calibri" w:eastAsia="Calibri" w:hAnsi="Calibri"/>
                <w:color w:val="111827"/>
                <w:sz w:val="20"/>
                <w:szCs w:val="20"/>
              </w:rPr>
              <w:t xml:space="preserve">Schema for control/lookup tables such as srsanalysisenums.</w:t>
            </w:r>
          </w:p>
        </w:tc>
      </w:tr>
      <w:tr>
        <w:tc>
          <w:tcPr>
            <w:tcW w:type="dxa" w:w="2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entityList</w:t>
            </w:r>
          </w:p>
        </w:tc>
        <w:tc>
          <w:tcPr>
            <w:tcW w:type="dxa" w:w="6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Comma-separated list of D365 entity names to reconstruct (e.g. CustCustomerV3Entity,VendVendorV2Entity).</w:t>
            </w:r>
          </w:p>
        </w:tc>
      </w:tr>
      <w:tr>
        <w:tc>
          <w:tcPr>
            <w:tcW w:type="dxa" w:w="2600"/>
            <w:tcMar>
              <w:top w:type="dxa" w:w="100"/>
              <w:left w:type="dxa" w:w="140"/>
              <w:bottom w:type="dxa" w:w="100"/>
              <w:right w:type="dxa" w:w="140"/>
            </w:tcMar>
          </w:tcPr>
          <w:p>
            <w:pPr>
              <w:spacing w:line="280"/>
            </w:pPr>
            <w:r>
              <w:rPr>
                <w:rFonts w:ascii="Calibri" w:cs="Calibri" w:eastAsia="Calibri" w:hAnsi="Calibri"/>
                <w:color w:val="111827"/>
                <w:sz w:val="20"/>
                <w:szCs w:val="20"/>
              </w:rPr>
              <w:t xml:space="preserve">createMissingTables</w:t>
            </w:r>
          </w:p>
        </w:tc>
        <w:tc>
          <w:tcPr>
            <w:tcW w:type="dxa" w:w="6400"/>
            <w:tcMar>
              <w:top w:type="dxa" w:w="100"/>
              <w:left w:type="dxa" w:w="140"/>
              <w:bottom w:type="dxa" w:w="100"/>
              <w:right w:type="dxa" w:w="140"/>
            </w:tcMar>
          </w:tcPr>
          <w:p>
            <w:pPr>
              <w:spacing w:line="280"/>
            </w:pPr>
            <w:r>
              <w:rPr>
                <w:rFonts w:ascii="Calibri" w:cs="Calibri" w:eastAsia="Calibri" w:hAnsi="Calibri"/>
                <w:color w:val="111827"/>
                <w:sz w:val="20"/>
                <w:szCs w:val="20"/>
              </w:rPr>
              <w:t xml:space="preserve">Boolean. When true, Step 2 will create empty tables for any referenced base tables not present in the target.</w:t>
            </w:r>
          </w:p>
        </w:tc>
      </w:tr>
      <w:tr>
        <w:tc>
          <w:tcPr>
            <w:tcW w:type="dxa" w:w="26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inheritedTablesToBeCreated</w:t>
            </w:r>
          </w:p>
        </w:tc>
        <w:tc>
          <w:tcPr>
            <w:tcW w:type="dxa" w:w="64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Array of inherited-table parents Step 5 should process. Populate from get_derivetables.sql output.</w:t>
            </w:r>
          </w:p>
        </w:tc>
      </w:tr>
    </w:tbl>
    <w:p>
      <w:pPr>
        <w:spacing w:after="200" w:before="200"/>
      </w:pPr>
      <w:r>
        <w:t xml:space="preserve"/>
      </w:r>
    </w:p>
    <w:p>
      <w:pPr>
        <w:pStyle w:val="Heading2"/>
        <w:spacing w:after="140" w:before="320"/>
      </w:pPr>
      <w:r>
        <w:rPr>
          <w:rFonts w:ascii="Calibri" w:cs="Calibri" w:eastAsia="Calibri" w:hAnsi="Calibri"/>
          <w:b/>
          <w:bCs/>
          <w:color w:val="1F3A5F"/>
          <w:sz w:val="28"/>
          <w:szCs w:val="28"/>
        </w:rPr>
        <w:t xml:space="preserve">9.2 ReplaceViewSyntax.json</w:t>
      </w:r>
    </w:p>
    <w:p>
      <w:pPr>
        <w:spacing w:after="80" w:before="80" w:line="300"/>
      </w:pPr>
      <w:r>
        <w:rPr>
          <w:rFonts w:ascii="Calibri" w:cs="Calibri" w:eastAsia="Calibri" w:hAnsi="Calibri"/>
          <w:b w:val="false"/>
          <w:bCs w:val="false"/>
          <w:i w:val="false"/>
          <w:iCs w:val="false"/>
          <w:color w:val="111827"/>
          <w:sz w:val="22"/>
          <w:szCs w:val="22"/>
        </w:rPr>
        <w:t xml:space="preserve">Provides find-and-replace rules that translate D365 sandbox SQL dialect into syntax compatible with Synapse Serverless. Common substitutions include FOR XML PATH → STRING_AGG, GetValidFromInContextInfo() → GETUTCDATE(), and reserved-word column name corrections. Rules can be scoped globally or to a specific view via the ViewName property.</w:t>
      </w:r>
    </w:p>
    <w:p>
      <w:pPr>
        <w:pStyle w:val="Heading2"/>
        <w:spacing w:after="140" w:before="320"/>
      </w:pPr>
      <w:r>
        <w:rPr>
          <w:rFonts w:ascii="Calibri" w:cs="Calibri" w:eastAsia="Calibri" w:hAnsi="Calibri"/>
          <w:b/>
          <w:bCs/>
          <w:color w:val="1F3A5F"/>
          <w:sz w:val="28"/>
          <w:szCs w:val="28"/>
        </w:rPr>
        <w:t xml:space="preserve">9.3 ReplaceFabricViewSyntax.json</w:t>
      </w:r>
    </w:p>
    <w:p>
      <w:pPr>
        <w:spacing w:after="80" w:before="80" w:line="300"/>
      </w:pPr>
      <w:r>
        <w:rPr>
          <w:rFonts w:ascii="Calibri" w:cs="Calibri" w:eastAsia="Calibri" w:hAnsi="Calibri"/>
          <w:b w:val="false"/>
          <w:bCs w:val="false"/>
          <w:i w:val="false"/>
          <w:iCs w:val="false"/>
          <w:color w:val="111827"/>
          <w:sz w:val="22"/>
          <w:szCs w:val="22"/>
        </w:rPr>
        <w:t xml:space="preserve">Fabric-specific case-sensitivity fixes. Fabric's Lakehouse SQL endpoint is case-sensitive unlike Synapse Serverless; this file corrects casing on string literals and identifiers where the sandbox DDL is inconsistent.</w:t>
      </w:r>
    </w:p>
    <w:p>
      <w:pPr>
        <w:pStyle w:val="Heading2"/>
        <w:spacing w:after="140" w:before="320"/>
      </w:pPr>
      <w:r>
        <w:rPr>
          <w:rFonts w:ascii="Calibri" w:cs="Calibri" w:eastAsia="Calibri" w:hAnsi="Calibri"/>
          <w:b/>
          <w:bCs/>
          <w:color w:val="1F3A5F"/>
          <w:sz w:val="28"/>
          <w:szCs w:val="28"/>
        </w:rPr>
        <w:t xml:space="preserve">9.4 tableinheritance.json</w:t>
      </w:r>
    </w:p>
    <w:p>
      <w:pPr>
        <w:spacing w:after="80" w:before="80" w:line="300"/>
      </w:pPr>
      <w:r>
        <w:rPr>
          <w:rFonts w:ascii="Calibri" w:cs="Calibri" w:eastAsia="Calibri" w:hAnsi="Calibri"/>
          <w:b w:val="false"/>
          <w:bCs w:val="false"/>
          <w:i w:val="false"/>
          <w:iCs w:val="false"/>
          <w:color w:val="111827"/>
          <w:sz w:val="22"/>
          <w:szCs w:val="22"/>
        </w:rPr>
        <w:t xml:space="preserve">A hand-maintained mapping of parent tables to their inheritance children. Consumed by Step 5. Populate this file from the childtables column output of get_derivetables.sql before running Step 5.</w:t>
      </w:r>
    </w:p>
    <w:p>
      <w:r>
        <w:br w:type="page"/>
      </w:r>
    </w:p>
    <w:p>
      <w:pPr>
        <w:pStyle w:val="Heading1"/>
        <w:spacing w:after="200" w:before="480"/>
      </w:pPr>
      <w:r>
        <w:rPr>
          <w:rFonts w:ascii="Calibri" w:cs="Calibri" w:eastAsia="Calibri" w:hAnsi="Calibri"/>
          <w:b/>
          <w:bCs/>
          <w:color w:val="1F3A5F"/>
          <w:sz w:val="36"/>
          <w:szCs w:val="36"/>
        </w:rPr>
        <w:t xml:space="preserve">10. Glossary</w:t>
      </w:r>
    </w:p>
    <w:tbl>
      <w:tblPr>
        <w:tblW w:type="dxa" w:w="900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6800"/>
      </w:tblGrid>
      <w:tr>
        <w:trPr>
          <w:tblHeader/>
        </w:trPr>
        <w:tc>
          <w:tcPr>
            <w:tcW w:type="dxa" w:w="22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Term</w:t>
            </w:r>
          </w:p>
        </w:tc>
        <w:tc>
          <w:tcPr>
            <w:tcW w:type="dxa" w:w="6800"/>
            <w:shd w:fill="1F3A5F" w:color="auto" w:val="clear"/>
            <w:tcMar>
              <w:top w:type="dxa" w:w="120"/>
              <w:left w:type="dxa" w:w="140"/>
              <w:bottom w:type="dxa" w:w="120"/>
              <w:right w:type="dxa" w:w="140"/>
            </w:tcMar>
          </w:tcPr>
          <w:p>
            <w:r>
              <w:rPr>
                <w:rFonts w:ascii="Calibri" w:cs="Calibri" w:eastAsia="Calibri" w:hAnsi="Calibri"/>
                <w:b/>
                <w:bCs/>
                <w:color w:val="FFFFFF"/>
                <w:sz w:val="20"/>
                <w:szCs w:val="20"/>
              </w:rPr>
              <w:t xml:space="preserve">Definition</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AxDB</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The D365 F&amp;O application database. Historically SQL Server; now a managed Azure SQL Database in Tier-2+ sandboxes.</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BYOD</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Bring Your Own Database. Legacy F&amp;O feature that exports pre-joined data entities to a customer-managed Azure SQL Database on a schedule.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Data entity</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A D365 concept: a SQL view inside F&amp;O that joins several base tables into a business-oriented flat shape (e.g. CustCustomerV3Entity).</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Dataverse</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Microsoft's low-code data platform. Synapse Link for Dataverse exports Dataverse tables (including finance/operations tables) to ADLS.</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Dependencies.json</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Output of Step 1. Contains DDL and dependency order for each entity.</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Fabric Link</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Successor to Synapse Link, integrating directly with Microsoft Fabric OneLake.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Inherited table</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A D365 pattern where one logical table (e.g. DirPartyTable) is stored across several physical child tables (CompanyInfo, DirPerson, DirOrganization). All rows share the same recid.</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JIT access</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Just-In-Time access. Time-limited credentials issued via LCS for a Tier-2+ sandbox database.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LCS</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Lifecycle Services. Microsoft's F&amp;O environment management portal.</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Medallion architecture</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Databricks pattern for organising data pipelines into progressively refined layers: Bronze (Raw), Silver, Gold.</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OBT</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One Big Table. A denormalised, pre-joined wide table optimised for BI query performance.</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recid</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The 64-bit integer primary key used across all D365 tables.</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SCD2</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Slowly Changing Dimension Type 2. A pattern that retains historical versions of dimension attributes.</w:t>
            </w:r>
          </w:p>
        </w:tc>
      </w:tr>
      <w:tr>
        <w:tc>
          <w:tcPr>
            <w:tcW w:type="dxa" w:w="22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Synapse Link</w:t>
            </w:r>
          </w:p>
        </w:tc>
        <w:tc>
          <w:tcPr>
            <w:tcW w:type="dxa" w:w="6800"/>
            <w:shd w:fill="F9FAFB" w:color="auto" w:val="clear"/>
            <w:tcMar>
              <w:top w:type="dxa" w:w="100"/>
              <w:left w:type="dxa" w:w="140"/>
              <w:bottom w:type="dxa" w:w="100"/>
              <w:right w:type="dxa" w:w="140"/>
            </w:tcMar>
          </w:tcPr>
          <w:p>
            <w:pPr>
              <w:spacing w:line="280"/>
            </w:pPr>
            <w:r>
              <w:rPr>
                <w:rFonts w:ascii="Calibri" w:cs="Calibri" w:eastAsia="Calibri" w:hAnsi="Calibri"/>
                <w:color w:val="111827"/>
                <w:sz w:val="20"/>
                <w:szCs w:val="20"/>
              </w:rPr>
              <w:t xml:space="preserve">Change-tracked replication from Dataverse tables to Azure Data Lake Storage.</w:t>
            </w:r>
          </w:p>
        </w:tc>
      </w:tr>
      <w:tr>
        <w:tc>
          <w:tcPr>
            <w:tcW w:type="dxa" w:w="2200"/>
            <w:tcMar>
              <w:top w:type="dxa" w:w="100"/>
              <w:left w:type="dxa" w:w="140"/>
              <w:bottom w:type="dxa" w:w="100"/>
              <w:right w:type="dxa" w:w="140"/>
            </w:tcMar>
          </w:tcPr>
          <w:p>
            <w:pPr>
              <w:spacing w:line="280"/>
            </w:pPr>
            <w:r>
              <w:rPr>
                <w:rFonts w:ascii="Calibri" w:cs="Calibri" w:eastAsia="Calibri" w:hAnsi="Calibri"/>
                <w:color w:val="111827"/>
                <w:sz w:val="20"/>
                <w:szCs w:val="20"/>
              </w:rPr>
              <w:t xml:space="preserve">srsanalysisenums</w:t>
            </w:r>
          </w:p>
        </w:tc>
        <w:tc>
          <w:tcPr>
            <w:tcW w:type="dxa" w:w="6800"/>
            <w:tcMar>
              <w:top w:type="dxa" w:w="100"/>
              <w:left w:type="dxa" w:w="140"/>
              <w:bottom w:type="dxa" w:w="100"/>
              <w:right w:type="dxa" w:w="140"/>
            </w:tcMar>
          </w:tcPr>
          <w:p>
            <w:pPr>
              <w:spacing w:line="280"/>
            </w:pPr>
            <w:r>
              <w:rPr>
                <w:rFonts w:ascii="Calibri" w:cs="Calibri" w:eastAsia="Calibri" w:hAnsi="Calibri"/>
                <w:color w:val="111827"/>
                <w:sz w:val="20"/>
                <w:szCs w:val="20"/>
              </w:rPr>
              <w:t xml:space="preserve">D365 metadata table mapping enum integer values to their human-readable labels.</w:t>
            </w:r>
          </w:p>
        </w:tc>
      </w:tr>
    </w:tbl>
    <w:p>
      <w:pPr>
        <w:spacing w:after="400" w:before="400"/>
      </w:pPr>
      <w:r>
        <w:t xml:space="preserve"/>
      </w:r>
    </w:p>
    <w:p>
      <w:pPr>
        <w:jc w:val="center"/>
      </w:pPr>
      <w:r>
        <w:rPr>
          <w:rFonts w:ascii="Calibri" w:cs="Calibri" w:eastAsia="Calibri" w:hAnsi="Calibri"/>
          <w:i/>
          <w:iCs/>
          <w:color w:val="4B5563"/>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8"/>
        <w:szCs w:val="18"/>
      </w:rPr>
      <w:t xml:space="preserve">D365 F&amp;O Analytics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Dynamics 365 F&amp;O Analytics — Technical Reference</dc:title>
  <dc:creator>Data Architecture Team</dc:creator>
  <dc:description>EntityUtil scripts and Databricks medallion architecture</dc:description>
  <cp:lastModifiedBy>Un-named</cp:lastModifiedBy>
  <cp:revision>1</cp:revision>
  <dcterms:created xsi:type="dcterms:W3CDTF">2026-07-13T13:56:13.094Z</dcterms:created>
  <dcterms:modified xsi:type="dcterms:W3CDTF">2026-07-13T13:56:13.109Z</dcterms:modified>
</cp:coreProperties>
</file>

<file path=docProps/custom.xml><?xml version="1.0" encoding="utf-8"?>
<Properties xmlns="http://schemas.openxmlformats.org/officeDocument/2006/custom-properties" xmlns:vt="http://schemas.openxmlformats.org/officeDocument/2006/docPropsVTypes"/>
</file>