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Мы создали каталог для выполнения лабораторной работы №9, перешли в него и добавили файл lab9-1.asm.</w:t>
      </w:r>
    </w:p>
    <w:p>
      <w:pPr>
        <w:pStyle w:val="BodyText"/>
      </w:pPr>
      <w:r>
        <w:t xml:space="preserve">В качестве примера рассмотрена программа для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Ввод значения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осуществляется с клавиатуры, а вычисление производится в подпрограмме.</w:t>
      </w:r>
    </w:p>
    <w:p>
      <w:pPr>
        <w:pStyle w:val="CaptionedFigure"/>
      </w:pPr>
      <w:r>
        <w:drawing>
          <wp:inline>
            <wp:extent cx="5334000" cy="6735767"/>
            <wp:effectExtent b="0" l="0" r="0" t="0"/>
            <wp:docPr descr="Программа для вычисления f(x)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для вычисления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</w:p>
    <w:p>
      <w:pPr>
        <w:pStyle w:val="CaptionedFigure"/>
      </w:pPr>
      <w:r>
        <w:drawing>
          <wp:inline>
            <wp:extent cx="5334000" cy="1199718"/>
            <wp:effectExtent b="0" l="0" r="0" t="0"/>
            <wp:docPr descr="Результаты выполнения программы для f(x)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Результаты выполнения программы для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</w:p>
    <w:p>
      <w:pPr>
        <w:pStyle w:val="BodyText"/>
      </w:pPr>
      <w:r>
        <w:t xml:space="preserve">Изменили текст программы, добавив подпрограмму subcalcul в calcul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, 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</w:t>
      </w:r>
    </w:p>
    <w:p>
      <w:pPr>
        <w:pStyle w:val="CaptionedFigure"/>
      </w:pPr>
      <w:r>
        <w:drawing>
          <wp:inline>
            <wp:extent cx="5334000" cy="6809739"/>
            <wp:effectExtent b="0" l="0" r="0" t="0"/>
            <wp:docPr descr="Программа для вычисления f(g(x))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для вычисления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</w:p>
    <w:p>
      <w:pPr>
        <w:pStyle w:val="CaptionedFigure"/>
      </w:pPr>
      <w:r>
        <w:drawing>
          <wp:inline>
            <wp:extent cx="5334000" cy="1118839"/>
            <wp:effectExtent b="0" l="0" r="0" t="0"/>
            <wp:docPr descr="Результаты выполнения программы для f(g(x))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Результаты выполнения программы для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</w:p>
    <w:bookmarkEnd w:id="33"/>
    <w:bookmarkStart w:id="67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Мы создали файл lab9-2.asm, содержащий текст программы из листинга 9.2 (программа для вывода сообщения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). Добавили отладочную информацию для работы с GDB, указав флаг -g при трансляции. Программа была протестирована в GDB.</w:t>
      </w:r>
    </w:p>
    <w:p>
      <w:pPr>
        <w:pStyle w:val="CaptionedFigure"/>
      </w:pPr>
      <w:r>
        <w:drawing>
          <wp:inline>
            <wp:extent cx="5053263" cy="5832909"/>
            <wp:effectExtent b="0" l="0" r="0" t="0"/>
            <wp:docPr descr="Программа вывода сообщения “Hello, world!”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583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вывода сообщения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</w:p>
    <w:p>
      <w:pPr>
        <w:pStyle w:val="CaptionedFigure"/>
      </w:pPr>
      <w:r>
        <w:drawing>
          <wp:inline>
            <wp:extent cx="5334000" cy="3989599"/>
            <wp:effectExtent b="0" l="0" r="0" t="0"/>
            <wp:docPr descr="Запуск программы в GDB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в GDB</w:t>
      </w:r>
    </w:p>
    <w:p>
      <w:pPr>
        <w:pStyle w:val="BodyText"/>
      </w:pPr>
      <w:r>
        <w:t xml:space="preserve">Установили брейкпоинт на метке _start, запустили программу и просмотрели дизассемблированный код в различных режимах.</w:t>
      </w:r>
    </w:p>
    <w:p>
      <w:pPr>
        <w:pStyle w:val="CaptionedFigure"/>
      </w:pPr>
      <w:r>
        <w:drawing>
          <wp:inline>
            <wp:extent cx="5334000" cy="4959550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982475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Определили адрес предпоследней инструкции и установили точку останова. Проверили изменения значений регистров с помощью команды stepi.</w:t>
      </w:r>
    </w:p>
    <w:p>
      <w:pPr>
        <w:pStyle w:val="CaptionedFigure"/>
      </w:pPr>
      <w:r>
        <w:drawing>
          <wp:inline>
            <wp:extent cx="5334000" cy="4633286"/>
            <wp:effectExtent b="0" l="0" r="0" t="0"/>
            <wp:docPr descr="Установка точки останова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точки останова</w:t>
      </w:r>
    </w:p>
    <w:p>
      <w:pPr>
        <w:pStyle w:val="CaptionedFigure"/>
      </w:pPr>
      <w:r>
        <w:drawing>
          <wp:inline>
            <wp:extent cx="5334000" cy="4694207"/>
            <wp:effectExtent b="0" l="0" r="0" t="0"/>
            <wp:docPr descr="Просмотр изменений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изменений регистров</w:t>
      </w:r>
    </w:p>
    <w:p>
      <w:pPr>
        <w:pStyle w:val="CaptionedFigure"/>
      </w:pPr>
      <w:r>
        <w:drawing>
          <wp:inline>
            <wp:extent cx="5334000" cy="4687669"/>
            <wp:effectExtent b="0" l="0" r="0" t="0"/>
            <wp:docPr descr="Дальнейшие изменения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Дальнейшие изменения регистров</w:t>
      </w:r>
    </w:p>
    <w:p>
      <w:pPr>
        <w:pStyle w:val="BodyText"/>
      </w:pPr>
      <w:r>
        <w:t xml:space="preserve">Посмотрели значения переменных msg1 и msg2 по имени и адресу соответственно. Изменили значение первого символа переменной msg1.</w:t>
      </w:r>
    </w:p>
    <w:p>
      <w:pPr>
        <w:pStyle w:val="CaptionedFigure"/>
      </w:pPr>
      <w:r>
        <w:drawing>
          <wp:inline>
            <wp:extent cx="5334000" cy="4658264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Вывели значение регистра edx в различных форматах (шестнадцатеричном, двоичном, символьном) и изменили его значение.</w:t>
      </w:r>
    </w:p>
    <w:p>
      <w:pPr>
        <w:pStyle w:val="CaptionedFigure"/>
      </w:pPr>
      <w:r>
        <w:drawing>
          <wp:inline>
            <wp:extent cx="5334000" cy="4631403"/>
            <wp:effectExtent b="0" l="0" r="0" t="0"/>
            <wp:docPr descr="Вывод значения регистра edx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 edx</w:t>
      </w:r>
    </w:p>
    <w:p>
      <w:pPr>
        <w:pStyle w:val="CaptionedFigure"/>
      </w:pPr>
      <w:r>
        <w:drawing>
          <wp:inline>
            <wp:extent cx="5334000" cy="4681588"/>
            <wp:effectExtent b="0" l="0" r="0" t="0"/>
            <wp:docPr descr="Изменение регистра ebx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регистра ebx</w:t>
      </w:r>
    </w:p>
    <w:p>
      <w:pPr>
        <w:pStyle w:val="BodyText"/>
      </w:pPr>
      <w:r>
        <w:t xml:space="preserve">Скопировали файл lab8-2.asm из предыдущей работы, создали исполняемый файл и запустили его с аргументами в GDB, установив точку останова перед началом программы. Исследовали адреса, связанные с аргументами командной строки.</w:t>
      </w:r>
    </w:p>
    <w:p>
      <w:pPr>
        <w:pStyle w:val="CaptionedFigure"/>
      </w:pPr>
      <w:r>
        <w:drawing>
          <wp:inline>
            <wp:extent cx="5334000" cy="4678062"/>
            <wp:effectExtent b="0" l="0" r="0" t="0"/>
            <wp:docPr descr="Исследование стека и аргумент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Исследование стека и аргументов</w:t>
      </w:r>
    </w:p>
    <w:bookmarkEnd w:id="67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Преобразовали программу из лабораторной работы №8 (задание №1) для вычисления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4533498" cy="6978315"/>
            <wp:effectExtent b="0" l="0" r="0" t="0"/>
            <wp:docPr descr="Программа с подпрограммой для вычисления f(x)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69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с подпрограммой для вычисления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</w:p>
    <w:p>
      <w:pPr>
        <w:pStyle w:val="CaptionedFigure"/>
      </w:pPr>
      <w:r>
        <w:drawing>
          <wp:inline>
            <wp:extent cx="5334000" cy="1645313"/>
            <wp:effectExtent b="0" l="0" r="0" t="0"/>
            <wp:docPr descr="Результаты выполнения программы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Результаты выполнения программы</w:t>
      </w:r>
    </w:p>
    <w:p>
      <w:pPr>
        <w:pStyle w:val="BodyText"/>
      </w:pPr>
      <w:r>
        <w:t xml:space="preserve">Проанализировали и исправили ошибку в программе для вычисления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 </w:t>
      </w:r>
      <w:r>
        <w:t xml:space="preserve">с помощью отладчика GDB. Ошибка заключалась в неправильном порядке аргументов инструкции add и некорректном завершении программы (использование ebx вместо eax).</w:t>
      </w:r>
    </w:p>
    <w:p>
      <w:pPr>
        <w:pStyle w:val="CaptionedFigure"/>
      </w:pPr>
      <w:r>
        <w:drawing>
          <wp:inline>
            <wp:extent cx="5334000" cy="4350137"/>
            <wp:effectExtent b="0" l="0" r="0" t="0"/>
            <wp:docPr descr="Код с ошибкой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679830"/>
            <wp:effectExtent b="0" l="0" r="0" t="0"/>
            <wp:docPr descr="Процесс отладки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Процесс отладки</w:t>
      </w:r>
    </w:p>
    <w:p>
      <w:pPr>
        <w:pStyle w:val="CaptionedFigure"/>
      </w:pPr>
      <w:r>
        <w:drawing>
          <wp:inline>
            <wp:extent cx="5334000" cy="4332823"/>
            <wp:effectExtent b="0" l="0" r="0" t="0"/>
            <wp:docPr descr="Исправленный код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Исправленный код</w:t>
      </w:r>
    </w:p>
    <w:p>
      <w:pPr>
        <w:pStyle w:val="CaptionedFigure"/>
      </w:pPr>
      <w:r>
        <w:drawing>
          <wp:inline>
            <wp:extent cx="5334000" cy="4690487"/>
            <wp:effectExtent b="0" l="0" r="0" t="0"/>
            <wp:docPr descr="Проверка исправленного код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исправленного кода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работу с подпрограммами и отладчиком GDB, а также изучили методы анализа и исправления ошибок в ассемблерных программах.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Скобеева Алиса Алексеевна</dc:creator>
  <dc:language>ru-RU</dc:language>
  <cp:keywords/>
  <dcterms:created xsi:type="dcterms:W3CDTF">2024-11-29T17:31:34Z</dcterms:created>
  <dcterms:modified xsi:type="dcterms:W3CDTF">2024-11-29T17:31:34Z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