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Customer Churn Prediction</w:t>
      </w:r>
    </w:p>
    <w:p>
      <w:pPr>
        <w:jc w:val="center"/>
      </w:pPr>
      <w:r>
        <w:rPr>
          <w:color w:val="4B5563"/>
          <w:sz w:val="26"/>
        </w:rPr>
        <w:t>Business / Marketing / Supply Chain Lab Project Report</w:t>
      </w:r>
    </w:p>
    <w:tbl>
      <w:tblPr>
        <w:tblW w:type="auto" w:w="0"/>
        <w:jc w:val="center"/>
        <w:tblLook w:firstColumn="1" w:firstRow="1" w:lastColumn="0" w:lastRow="0" w:noHBand="0" w:noVBand="1" w:val="04A0"/>
      </w:tblPr>
      <w:tblGrid>
        <w:gridCol w:w="10166"/>
      </w:tblGrid>
      <w:tr>
        <w:tc>
          <w:tcPr>
            <w:tcW w:type="dxa" w:w="10166"/>
            <w:shd w:fill="EAF3F2"/>
            <w:tcBorders>
              <w:top w:val="single" w:sz="8" w:space="0" w:color="B8D8D4"/>
              <w:left w:val="single" w:sz="8" w:space="0" w:color="B8D8D4"/>
              <w:bottom w:val="single" w:sz="8" w:space="0" w:color="B8D8D4"/>
              <w:right w:val="single" w:sz="8" w:space="0" w:color="B8D8D4"/>
              <w:insideH w:val="single" w:sz="8" w:space="0" w:color="B8D8D4"/>
              <w:insideV w:val="single" w:sz="8" w:space="0" w:color="B8D8D4"/>
            </w:tcBorders>
          </w:tcPr>
          <w:p>
            <w:pPr>
              <w:spacing w:after="60"/>
            </w:pPr>
            <w:r>
              <w:rPr>
                <w:b/>
                <w:color w:val="2F6F73"/>
                <w:sz w:val="20"/>
              </w:rPr>
              <w:t>Project overview</w:t>
            </w:r>
          </w:p>
          <w:p>
            <w:pPr>
              <w:spacing w:after="0" w:line="264" w:lineRule="auto"/>
            </w:pPr>
            <w:r>
              <w:rPr>
                <w:sz w:val="19"/>
              </w:rPr>
              <w:t>This report summarizes a supervised machine learning project for predicting customer churn. The project compares Random Forest, Logistic Regression, and SVM using one shared preprocessing pipeline, cross-validation based hyperparameter tuning, and a common unseen test set.</w:t>
            </w:r>
          </w:p>
        </w:tc>
      </w:tr>
    </w:tbl>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448"/>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8"/>
              </w:rPr>
              <w:t>Item</w:t>
            </w:r>
          </w:p>
        </w:tc>
        <w:tc>
          <w:tcPr>
            <w:tcW w:type="dxa" w:w="6480"/>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8"/>
              </w:rPr>
              <w:t>Value</w:t>
            </w:r>
          </w:p>
        </w:tc>
      </w:tr>
      <w:tr>
        <w:tc>
          <w:tcPr>
            <w:tcW w:type="dxa" w:w="244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Dataset rows</w:t>
            </w:r>
          </w:p>
        </w:tc>
        <w:tc>
          <w:tcPr>
            <w:tcW w:type="dxa" w:w="648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440,832</w:t>
            </w:r>
          </w:p>
        </w:tc>
      </w:tr>
      <w:tr>
        <w:tc>
          <w:tcPr>
            <w:tcW w:type="dxa" w:w="244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Modeling sample</w:t>
            </w:r>
          </w:p>
        </w:tc>
        <w:tc>
          <w:tcPr>
            <w:tcW w:type="dxa" w:w="6480"/>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25,000</w:t>
            </w:r>
          </w:p>
        </w:tc>
      </w:tr>
      <w:tr>
        <w:tc>
          <w:tcPr>
            <w:tcW w:type="dxa" w:w="244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Selected model</w:t>
            </w:r>
          </w:p>
        </w:tc>
        <w:tc>
          <w:tcPr>
            <w:tcW w:type="dxa" w:w="648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Random Forest</w:t>
            </w:r>
          </w:p>
        </w:tc>
      </w:tr>
      <w:tr>
        <w:tc>
          <w:tcPr>
            <w:tcW w:type="dxa" w:w="244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Domain</w:t>
            </w:r>
          </w:p>
        </w:tc>
        <w:tc>
          <w:tcPr>
            <w:tcW w:type="dxa" w:w="6480"/>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Business / Marketing / Supply Chain</w:t>
            </w:r>
          </w:p>
        </w:tc>
      </w:tr>
      <w:tr>
        <w:tc>
          <w:tcPr>
            <w:tcW w:type="dxa" w:w="244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Target</w:t>
            </w:r>
          </w:p>
        </w:tc>
        <w:tc>
          <w:tcPr>
            <w:tcW w:type="dxa" w:w="648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8"/>
              </w:rPr>
              <w:t>Churn</w:t>
            </w:r>
          </w:p>
        </w:tc>
      </w:tr>
    </w:tbl>
    <w:p/>
    <w:p>
      <w:r>
        <w:br w:type="page"/>
      </w:r>
    </w:p>
    <w:p>
      <w:pPr>
        <w:pStyle w:val="Heading1"/>
      </w:pPr>
      <w:r>
        <w:t>1. Introduction</w:t>
      </w:r>
    </w:p>
    <w:p>
      <w:r>
        <w:t>Customer churn is a central business problem because losing active customers reduces revenue and increases the cost of growth. In marketing and customer success teams, a churn model can support retention campaigns by ranking customers according to churn risk.</w:t>
      </w:r>
    </w:p>
    <w:p>
      <w:r>
        <w:t>The objective is to predict the binary target Churn, where 1 means the customer churned and 0 means the customer stayed. This is a supervised classification task with measurable outcomes.</w:t>
      </w:r>
    </w:p>
    <w:p>
      <w:pPr>
        <w:jc w:val="center"/>
      </w:pPr>
      <w:r>
        <w:drawing>
          <wp:inline xmlns:a="http://schemas.openxmlformats.org/drawingml/2006/main" xmlns:pic="http://schemas.openxmlformats.org/drawingml/2006/picture">
            <wp:extent cx="4389120" cy="2870168"/>
            <wp:docPr id="1" name="Picture 1"/>
            <wp:cNvGraphicFramePr>
              <a:graphicFrameLocks noChangeAspect="1"/>
            </wp:cNvGraphicFramePr>
            <a:graphic>
              <a:graphicData uri="http://schemas.openxmlformats.org/drawingml/2006/picture">
                <pic:pic>
                  <pic:nvPicPr>
                    <pic:cNvPr id="0" name="target_distribution.png"/>
                    <pic:cNvPicPr/>
                  </pic:nvPicPr>
                  <pic:blipFill>
                    <a:blip r:embed="rId10"/>
                    <a:stretch>
                      <a:fillRect/>
                    </a:stretch>
                  </pic:blipFill>
                  <pic:spPr>
                    <a:xfrm>
                      <a:off x="0" y="0"/>
                      <a:ext cx="4389120" cy="2870168"/>
                    </a:xfrm>
                    <a:prstGeom prst="rect"/>
                  </pic:spPr>
                </pic:pic>
              </a:graphicData>
            </a:graphic>
          </wp:inline>
        </w:drawing>
      </w:r>
    </w:p>
    <w:p>
      <w:pPr>
        <w:pStyle w:val="Caption"/>
        <w:spacing w:after="160"/>
        <w:jc w:val="center"/>
      </w:pPr>
      <w:r>
        <w:t>Figure 1. Churn target distribution.</w:t>
      </w:r>
    </w:p>
    <w:p>
      <w:pPr>
        <w:pStyle w:val="Heading1"/>
      </w:pPr>
      <w:r>
        <w:t>2. Background</w:t>
      </w:r>
    </w:p>
    <w:p>
      <w:r>
        <w:t>The dataset contains demographic, behavioral, contract, spending, and interaction variables. These variables are relevant because churn is often influenced by customer age, tenure, product usage, support burden, payment delay, contract length, subscription type, spending, and recency.</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2448"/>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Feature group</w:t>
            </w:r>
          </w:p>
        </w:tc>
        <w:tc>
          <w:tcPr>
            <w:tcW w:type="dxa" w:w="6768"/>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Columns</w:t>
            </w:r>
          </w:p>
        </w:tc>
      </w:tr>
      <w:tr>
        <w:tc>
          <w:tcPr>
            <w:tcW w:type="dxa" w:w="244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Numeric</w:t>
            </w:r>
          </w:p>
        </w:tc>
        <w:tc>
          <w:tcPr>
            <w:tcW w:type="dxa" w:w="676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Age, Tenure, Usage Frequency, Support Calls, Payment Delay, Total Spend, Last Interaction</w:t>
            </w:r>
          </w:p>
        </w:tc>
      </w:tr>
      <w:tr>
        <w:tc>
          <w:tcPr>
            <w:tcW w:type="dxa" w:w="244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Categorical</w:t>
            </w:r>
          </w:p>
        </w:tc>
        <w:tc>
          <w:tcPr>
            <w:tcW w:type="dxa" w:w="676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Gender, Subscription Type, Contract Length</w:t>
            </w:r>
          </w:p>
        </w:tc>
      </w:tr>
      <w:tr>
        <w:tc>
          <w:tcPr>
            <w:tcW w:type="dxa" w:w="244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Removed identifier</w:t>
            </w:r>
          </w:p>
        </w:tc>
        <w:tc>
          <w:tcPr>
            <w:tcW w:type="dxa" w:w="676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CustomerID</w:t>
            </w:r>
          </w:p>
        </w:tc>
      </w:tr>
      <w:tr>
        <w:tc>
          <w:tcPr>
            <w:tcW w:type="dxa" w:w="244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Target</w:t>
            </w:r>
          </w:p>
        </w:tc>
        <w:tc>
          <w:tcPr>
            <w:tcW w:type="dxa" w:w="676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Churn</w:t>
            </w:r>
          </w:p>
        </w:tc>
      </w:tr>
    </w:tbl>
    <w:p/>
    <w:p>
      <w:r>
        <w:br w:type="page"/>
      </w:r>
    </w:p>
    <w:p>
      <w:pPr>
        <w:pStyle w:val="Heading1"/>
      </w:pPr>
      <w:r>
        <w:t>3. Methodology</w:t>
      </w:r>
    </w:p>
    <w:p>
      <w:r>
        <w:t>Rows with missing values were removed because the file only contained one incomplete row. CustomerID was excluded because it is an identifier rather than a meaningful predictor. Numeric features were median-imputed and scaled. Categorical features were mode-imputed and one-hot encoded.</w:t>
      </w:r>
    </w:p>
    <w:p>
      <w:r>
        <w:t>A stratified sample was used for modeling so that the notebook remains practical to rerun while preserving the target distribution. The sampled data was split into 80 percent training and 20 percent testing. All three models used the same split and preprocessing pipeline.</w:t>
      </w:r>
    </w:p>
    <w:p>
      <w:pPr>
        <w:pStyle w:val="Heading2"/>
      </w:pPr>
      <w:r>
        <w:t>Hyperparameter Tuning Summary</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1728"/>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4"/>
              </w:rPr>
              <w:t>Model</w:t>
            </w:r>
          </w:p>
        </w:tc>
        <w:tc>
          <w:tcPr>
            <w:tcW w:type="dxa" w:w="1584"/>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4"/>
              </w:rPr>
              <w:t>Best CV F1</w:t>
            </w:r>
          </w:p>
        </w:tc>
        <w:tc>
          <w:tcPr>
            <w:tcW w:type="dxa" w:w="6336"/>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4"/>
              </w:rPr>
              <w:t>Best parameters</w:t>
            </w:r>
          </w:p>
        </w:tc>
      </w:tr>
      <w:tr>
        <w:tc>
          <w:tcPr>
            <w:tcW w:type="dxa" w:w="172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Random Forest</w:t>
            </w:r>
          </w:p>
        </w:tc>
        <w:tc>
          <w:tcPr>
            <w:tcW w:type="dxa" w:w="158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0.9922</w:t>
            </w:r>
          </w:p>
        </w:tc>
        <w:tc>
          <w:tcPr>
            <w:tcW w:type="dxa" w:w="633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{"classifier__max_depth": null, "classifier__n_estimators": 150}</w:t>
            </w:r>
          </w:p>
        </w:tc>
      </w:tr>
      <w:tr>
        <w:tc>
          <w:tcPr>
            <w:tcW w:type="dxa" w:w="172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Logistic Regression</w:t>
            </w:r>
          </w:p>
        </w:tc>
        <w:tc>
          <w:tcPr>
            <w:tcW w:type="dxa" w:w="1584"/>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0.9027</w:t>
            </w:r>
          </w:p>
        </w:tc>
        <w:tc>
          <w:tcPr>
            <w:tcW w:type="dxa" w:w="6336"/>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{"classifier__C": 10.0}</w:t>
            </w:r>
          </w:p>
        </w:tc>
      </w:tr>
      <w:tr>
        <w:tc>
          <w:tcPr>
            <w:tcW w:type="dxa" w:w="172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SVM</w:t>
            </w:r>
          </w:p>
        </w:tc>
        <w:tc>
          <w:tcPr>
            <w:tcW w:type="dxa" w:w="158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0.9014</w:t>
            </w:r>
          </w:p>
        </w:tc>
        <w:tc>
          <w:tcPr>
            <w:tcW w:type="dxa" w:w="633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4"/>
              </w:rPr>
              <w:t>{"classifier__estimator__C": 1.0}</w:t>
            </w:r>
          </w:p>
        </w:tc>
      </w:tr>
    </w:tbl>
    <w:p/>
    <w:p>
      <w:pPr>
        <w:pStyle w:val="Heading1"/>
      </w:pPr>
      <w:r>
        <w:t>4. Algorithms</w:t>
      </w:r>
    </w:p>
    <w:p>
      <w:r>
        <w:t>Random Forest is an ensemble of decision trees. It reduces overfitting by averaging many trees trained on randomized subsets of the data and features. Important hyperparameters include the number of trees and maximum tree depth.</w:t>
      </w:r>
    </w:p>
    <w:p>
      <w:r>
        <w:t>Logistic Regression is a linear classification model. It estimates the probability of churn by combining feature values with learned coefficients. Important hyperparameters include the regularization strength C and the class weighting strategy.</w:t>
      </w:r>
    </w:p>
    <w:p>
      <w:r>
        <w:t>SVM searches for a separating boundary with a maximum margin. A linear SVM was used for speed and interpretability on the large tabular dataset, with probability calibration for fair ROC-AUC comparison.</w:t>
      </w:r>
    </w:p>
    <w:p>
      <w:r>
        <w:br w:type="page"/>
      </w:r>
    </w:p>
    <w:p>
      <w:pPr>
        <w:pStyle w:val="Heading1"/>
      </w:pPr>
      <w:r>
        <w:t>5. Results and Interpretation</w:t>
      </w:r>
    </w:p>
    <w:p>
      <w:r>
        <w:t>The comparison uses accuracy, precision, recall, F1-score, and ROC-AUC. F1-score is emphasized because churn prediction requires a balance between finding true churners and limiting false retention alarms.</w:t>
      </w:r>
    </w:p>
    <w:tbl>
      <w:tblPr>
        <w:tblStyle w:val="TableGrid"/>
        <w:tblW w:type="auto" w:w="0"/>
        <w:jc w:val="center"/>
        <w:tblLayout w:type="autofit"/>
        <w:tblLook w:firstColumn="1" w:firstRow="1" w:lastColumn="0" w:lastRow="0" w:noHBand="0" w:noVBand="1" w:val="04A0"/>
      </w:tblPr>
      <w:tblGrid>
        <w:gridCol w:w="1694"/>
        <w:gridCol w:w="1694"/>
        <w:gridCol w:w="1694"/>
        <w:gridCol w:w="1694"/>
        <w:gridCol w:w="1694"/>
        <w:gridCol w:w="1694"/>
      </w:tblGrid>
      <w:tr>
        <w:trPr>
          <w:tblHeader w:val="true"/>
        </w:trPr>
        <w:tc>
          <w:tcPr>
            <w:tcW w:type="dxa" w:w="1872"/>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Model</w:t>
            </w:r>
          </w:p>
        </w:tc>
        <w:tc>
          <w:tcPr>
            <w:tcW w:type="dxa" w:w="1224"/>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Accuracy</w:t>
            </w:r>
          </w:p>
        </w:tc>
        <w:tc>
          <w:tcPr>
            <w:tcW w:type="dxa" w:w="1296"/>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Precision</w:t>
            </w:r>
          </w:p>
        </w:tc>
        <w:tc>
          <w:tcPr>
            <w:tcW w:type="dxa" w:w="1080"/>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Recall</w:t>
            </w:r>
          </w:p>
        </w:tc>
        <w:tc>
          <w:tcPr>
            <w:tcW w:type="dxa" w:w="936"/>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F1</w:t>
            </w:r>
          </w:p>
        </w:tc>
        <w:tc>
          <w:tcPr>
            <w:tcW w:type="dxa" w:w="1224"/>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ROC-AUC</w:t>
            </w:r>
          </w:p>
        </w:tc>
      </w:tr>
      <w:tr>
        <w:tc>
          <w:tcPr>
            <w:tcW w:type="dxa" w:w="1872"/>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Random Forest</w:t>
            </w:r>
          </w:p>
        </w:tc>
        <w:tc>
          <w:tcPr>
            <w:tcW w:type="dxa" w:w="122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0.9902</w:t>
            </w:r>
          </w:p>
        </w:tc>
        <w:tc>
          <w:tcPr>
            <w:tcW w:type="dxa" w:w="129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0.9986</w:t>
            </w:r>
          </w:p>
        </w:tc>
        <w:tc>
          <w:tcPr>
            <w:tcW w:type="dxa" w:w="108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0.9841</w:t>
            </w:r>
          </w:p>
        </w:tc>
        <w:tc>
          <w:tcPr>
            <w:tcW w:type="dxa" w:w="93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0.9913</w:t>
            </w:r>
          </w:p>
        </w:tc>
        <w:tc>
          <w:tcPr>
            <w:tcW w:type="dxa" w:w="122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0.9999</w:t>
            </w:r>
          </w:p>
        </w:tc>
      </w:tr>
      <w:tr>
        <w:tc>
          <w:tcPr>
            <w:tcW w:type="dxa" w:w="1872"/>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SVM</w:t>
            </w:r>
          </w:p>
        </w:tc>
        <w:tc>
          <w:tcPr>
            <w:tcW w:type="dxa" w:w="1224"/>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0.8922</w:t>
            </w:r>
          </w:p>
        </w:tc>
        <w:tc>
          <w:tcPr>
            <w:tcW w:type="dxa" w:w="1296"/>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0.9262</w:t>
            </w:r>
          </w:p>
        </w:tc>
        <w:tc>
          <w:tcPr>
            <w:tcW w:type="dxa" w:w="1080"/>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0.8801</w:t>
            </w:r>
          </w:p>
        </w:tc>
        <w:tc>
          <w:tcPr>
            <w:tcW w:type="dxa" w:w="936"/>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0.9025</w:t>
            </w:r>
          </w:p>
        </w:tc>
        <w:tc>
          <w:tcPr>
            <w:tcW w:type="dxa" w:w="1224"/>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0.9566</w:t>
            </w:r>
          </w:p>
        </w:tc>
      </w:tr>
      <w:tr>
        <w:tc>
          <w:tcPr>
            <w:tcW w:type="dxa" w:w="1872"/>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Logistic Regression</w:t>
            </w:r>
          </w:p>
        </w:tc>
        <w:tc>
          <w:tcPr>
            <w:tcW w:type="dxa" w:w="122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0.8920</w:t>
            </w:r>
          </w:p>
        </w:tc>
        <w:tc>
          <w:tcPr>
            <w:tcW w:type="dxa" w:w="129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0.9419</w:t>
            </w:r>
          </w:p>
        </w:tc>
        <w:tc>
          <w:tcPr>
            <w:tcW w:type="dxa" w:w="108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0.8628</w:t>
            </w:r>
          </w:p>
        </w:tc>
        <w:tc>
          <w:tcPr>
            <w:tcW w:type="dxa" w:w="936"/>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0.9006</w:t>
            </w:r>
          </w:p>
        </w:tc>
        <w:tc>
          <w:tcPr>
            <w:tcW w:type="dxa" w:w="122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0.9566</w:t>
            </w:r>
          </w:p>
        </w:tc>
      </w:tr>
    </w:tbl>
    <w:p/>
    <w:p>
      <w:pPr>
        <w:jc w:val="center"/>
      </w:pPr>
      <w:r>
        <w:drawing>
          <wp:inline xmlns:a="http://schemas.openxmlformats.org/drawingml/2006/main" xmlns:pic="http://schemas.openxmlformats.org/drawingml/2006/picture">
            <wp:extent cx="5577840" cy="3046027"/>
            <wp:docPr id="2" name="Picture 2"/>
            <wp:cNvGraphicFramePr>
              <a:graphicFrameLocks noChangeAspect="1"/>
            </wp:cNvGraphicFramePr>
            <a:graphic>
              <a:graphicData uri="http://schemas.openxmlformats.org/drawingml/2006/picture">
                <pic:pic>
                  <pic:nvPicPr>
                    <pic:cNvPr id="0" name="model_comparison.png"/>
                    <pic:cNvPicPr/>
                  </pic:nvPicPr>
                  <pic:blipFill>
                    <a:blip r:embed="rId11"/>
                    <a:stretch>
                      <a:fillRect/>
                    </a:stretch>
                  </pic:blipFill>
                  <pic:spPr>
                    <a:xfrm>
                      <a:off x="0" y="0"/>
                      <a:ext cx="5577840" cy="3046027"/>
                    </a:xfrm>
                    <a:prstGeom prst="rect"/>
                  </pic:spPr>
                </pic:pic>
              </a:graphicData>
            </a:graphic>
          </wp:inline>
        </w:drawing>
      </w:r>
    </w:p>
    <w:p>
      <w:pPr>
        <w:pStyle w:val="Caption"/>
        <w:spacing w:after="160"/>
        <w:jc w:val="center"/>
      </w:pPr>
      <w:r>
        <w:t>Figure 2. Model comparison across evaluation metrics.</w:t>
      </w:r>
    </w:p>
    <w:p>
      <w:pPr>
        <w:pStyle w:val="Heading1"/>
      </w:pPr>
      <w:r>
        <w:t>6. Model Selection and Inference</w:t>
      </w:r>
    </w:p>
    <w:p>
      <w:r>
        <w:t>The selected model is Random Forest because it achieved the strongest F1-score on the unseen test data. The ROC and confusion matrix plots support this choice by showing strong class separation and a low number of mistakes.</w:t>
      </w:r>
    </w:p>
    <w:p>
      <w:pPr>
        <w:jc w:val="center"/>
      </w:pPr>
      <w:r>
        <w:drawing>
          <wp:inline xmlns:a="http://schemas.openxmlformats.org/drawingml/2006/main" xmlns:pic="http://schemas.openxmlformats.org/drawingml/2006/picture">
            <wp:extent cx="4937760" cy="3480201"/>
            <wp:docPr id="3" name="Picture 3"/>
            <wp:cNvGraphicFramePr>
              <a:graphicFrameLocks noChangeAspect="1"/>
            </wp:cNvGraphicFramePr>
            <a:graphic>
              <a:graphicData uri="http://schemas.openxmlformats.org/drawingml/2006/picture">
                <pic:pic>
                  <pic:nvPicPr>
                    <pic:cNvPr id="0" name="roc_curves.png"/>
                    <pic:cNvPicPr/>
                  </pic:nvPicPr>
                  <pic:blipFill>
                    <a:blip r:embed="rId12"/>
                    <a:stretch>
                      <a:fillRect/>
                    </a:stretch>
                  </pic:blipFill>
                  <pic:spPr>
                    <a:xfrm>
                      <a:off x="0" y="0"/>
                      <a:ext cx="4937760" cy="3480201"/>
                    </a:xfrm>
                    <a:prstGeom prst="rect"/>
                  </pic:spPr>
                </pic:pic>
              </a:graphicData>
            </a:graphic>
          </wp:inline>
        </w:drawing>
      </w:r>
    </w:p>
    <w:p>
      <w:pPr>
        <w:pStyle w:val="Caption"/>
        <w:spacing w:after="160"/>
        <w:jc w:val="center"/>
      </w:pPr>
      <w:r>
        <w:t>Figure 3. ROC curve comparison.</w:t>
      </w:r>
    </w:p>
    <w:p>
      <w:pPr>
        <w:jc w:val="center"/>
      </w:pPr>
      <w:r>
        <w:drawing>
          <wp:inline xmlns:a="http://schemas.openxmlformats.org/drawingml/2006/main" xmlns:pic="http://schemas.openxmlformats.org/drawingml/2006/picture">
            <wp:extent cx="5486400" cy="1687234"/>
            <wp:docPr id="4" name="Picture 4"/>
            <wp:cNvGraphicFramePr>
              <a:graphicFrameLocks noChangeAspect="1"/>
            </wp:cNvGraphicFramePr>
            <a:graphic>
              <a:graphicData uri="http://schemas.openxmlformats.org/drawingml/2006/picture">
                <pic:pic>
                  <pic:nvPicPr>
                    <pic:cNvPr id="0" name="confusion_matrices.png"/>
                    <pic:cNvPicPr/>
                  </pic:nvPicPr>
                  <pic:blipFill>
                    <a:blip r:embed="rId13"/>
                    <a:stretch>
                      <a:fillRect/>
                    </a:stretch>
                  </pic:blipFill>
                  <pic:spPr>
                    <a:xfrm>
                      <a:off x="0" y="0"/>
                      <a:ext cx="5486400" cy="1687234"/>
                    </a:xfrm>
                    <a:prstGeom prst="rect"/>
                  </pic:spPr>
                </pic:pic>
              </a:graphicData>
            </a:graphic>
          </wp:inline>
        </w:drawing>
      </w:r>
    </w:p>
    <w:p>
      <w:pPr>
        <w:pStyle w:val="Caption"/>
        <w:spacing w:after="160"/>
        <w:jc w:val="center"/>
      </w:pPr>
      <w:r>
        <w:t>Figure 4. Confusion matrices on the unseen test set.</w:t>
      </w:r>
    </w:p>
    <w:p>
      <w:r>
        <w:br w:type="page"/>
      </w:r>
    </w:p>
    <w:p>
      <w:pPr>
        <w:pStyle w:val="Heading1"/>
      </w:pPr>
      <w:r>
        <w:t>7. Explainability and Conclusion</w:t>
      </w:r>
    </w:p>
    <w:p>
      <w:r>
        <w:t>The top feature chart helps explain which customer attributes influenced the selected model most. This is useful for a business audience because it connects prediction quality to actionable churn drivers.</w:t>
      </w:r>
    </w:p>
    <w:p>
      <w:pPr>
        <w:jc w:val="center"/>
      </w:pPr>
      <w:r>
        <w:drawing>
          <wp:inline xmlns:a="http://schemas.openxmlformats.org/drawingml/2006/main" xmlns:pic="http://schemas.openxmlformats.org/drawingml/2006/picture">
            <wp:extent cx="5212080" cy="3199821"/>
            <wp:docPr id="5" name="Picture 5"/>
            <wp:cNvGraphicFramePr>
              <a:graphicFrameLocks noChangeAspect="1"/>
            </wp:cNvGraphicFramePr>
            <a:graphic>
              <a:graphicData uri="http://schemas.openxmlformats.org/drawingml/2006/picture">
                <pic:pic>
                  <pic:nvPicPr>
                    <pic:cNvPr id="0" name="feature_importance.png"/>
                    <pic:cNvPicPr/>
                  </pic:nvPicPr>
                  <pic:blipFill>
                    <a:blip r:embed="rId14"/>
                    <a:stretch>
                      <a:fillRect/>
                    </a:stretch>
                  </pic:blipFill>
                  <pic:spPr>
                    <a:xfrm>
                      <a:off x="0" y="0"/>
                      <a:ext cx="5212080" cy="3199821"/>
                    </a:xfrm>
                    <a:prstGeom prst="rect"/>
                  </pic:spPr>
                </pic:pic>
              </a:graphicData>
            </a:graphic>
          </wp:inline>
        </w:drawing>
      </w:r>
    </w:p>
    <w:p>
      <w:pPr>
        <w:pStyle w:val="Caption"/>
        <w:spacing w:after="160"/>
        <w:jc w:val="center"/>
      </w:pPr>
      <w:r>
        <w:t>Figure 5. Top features used by Random Forest.</w:t>
      </w:r>
    </w:p>
    <w:p>
      <w:pPr>
        <w:pStyle w:val="Heading2"/>
      </w:pPr>
      <w:r>
        <w:t>Top Feature Table</w:t>
      </w:r>
    </w:p>
    <w:tbl>
      <w:tblPr>
        <w:tblStyle w:val="TableGrid"/>
        <w:tblW w:type="auto" w:w="0"/>
        <w:jc w:val="center"/>
        <w:tblLayout w:type="autofit"/>
        <w:tblLook w:firstColumn="1" w:firstRow="1" w:lastColumn="0" w:lastRow="0" w:noHBand="0" w:noVBand="1" w:val="04A0"/>
      </w:tblPr>
      <w:tblGrid>
        <w:gridCol w:w="5083"/>
        <w:gridCol w:w="5083"/>
      </w:tblGrid>
      <w:tr>
        <w:trPr>
          <w:tblHeader w:val="true"/>
        </w:trPr>
        <w:tc>
          <w:tcPr>
            <w:tcW w:type="dxa" w:w="6912"/>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Feature</w:t>
            </w:r>
          </w:p>
        </w:tc>
        <w:tc>
          <w:tcPr>
            <w:tcW w:type="dxa" w:w="1728"/>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Importance</w:t>
            </w:r>
          </w:p>
        </w:tc>
      </w:tr>
      <w:tr>
        <w:tc>
          <w:tcPr>
            <w:tcW w:type="dxa" w:w="6912"/>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Support Calls</w:t>
            </w:r>
          </w:p>
        </w:tc>
        <w:tc>
          <w:tcPr>
            <w:tcW w:type="dxa" w:w="172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0.2916</w:t>
            </w:r>
          </w:p>
        </w:tc>
      </w:tr>
      <w:tr>
        <w:tc>
          <w:tcPr>
            <w:tcW w:type="dxa" w:w="6912"/>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Total Spend</w:t>
            </w:r>
          </w:p>
        </w:tc>
        <w:tc>
          <w:tcPr>
            <w:tcW w:type="dxa" w:w="172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0.2106</w:t>
            </w:r>
          </w:p>
        </w:tc>
      </w:tr>
      <w:tr>
        <w:tc>
          <w:tcPr>
            <w:tcW w:type="dxa" w:w="6912"/>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Payment Delay</w:t>
            </w:r>
          </w:p>
        </w:tc>
        <w:tc>
          <w:tcPr>
            <w:tcW w:type="dxa" w:w="172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0.1277</w:t>
            </w:r>
          </w:p>
        </w:tc>
      </w:tr>
      <w:tr>
        <w:tc>
          <w:tcPr>
            <w:tcW w:type="dxa" w:w="6912"/>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Age</w:t>
            </w:r>
          </w:p>
        </w:tc>
        <w:tc>
          <w:tcPr>
            <w:tcW w:type="dxa" w:w="172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0.1260</w:t>
            </w:r>
          </w:p>
        </w:tc>
      </w:tr>
      <w:tr>
        <w:tc>
          <w:tcPr>
            <w:tcW w:type="dxa" w:w="6912"/>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Contract Length Monthly</w:t>
            </w:r>
          </w:p>
        </w:tc>
        <w:tc>
          <w:tcPr>
            <w:tcW w:type="dxa" w:w="172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0.1027</w:t>
            </w:r>
          </w:p>
        </w:tc>
      </w:tr>
      <w:tr>
        <w:tc>
          <w:tcPr>
            <w:tcW w:type="dxa" w:w="6912"/>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Last Interaction</w:t>
            </w:r>
          </w:p>
        </w:tc>
        <w:tc>
          <w:tcPr>
            <w:tcW w:type="dxa" w:w="172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0.0476</w:t>
            </w:r>
          </w:p>
        </w:tc>
      </w:tr>
      <w:tr>
        <w:tc>
          <w:tcPr>
            <w:tcW w:type="dxa" w:w="6912"/>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Contract Length Annual</w:t>
            </w:r>
          </w:p>
        </w:tc>
        <w:tc>
          <w:tcPr>
            <w:tcW w:type="dxa" w:w="172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0.0215</w:t>
            </w:r>
          </w:p>
        </w:tc>
      </w:tr>
      <w:tr>
        <w:tc>
          <w:tcPr>
            <w:tcW w:type="dxa" w:w="6912"/>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Gender Female</w:t>
            </w:r>
          </w:p>
        </w:tc>
        <w:tc>
          <w:tcPr>
            <w:tcW w:type="dxa" w:w="172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0.0179</w:t>
            </w:r>
          </w:p>
        </w:tc>
      </w:tr>
      <w:tr>
        <w:tc>
          <w:tcPr>
            <w:tcW w:type="dxa" w:w="6912"/>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Contract Length Quarterly</w:t>
            </w:r>
          </w:p>
        </w:tc>
        <w:tc>
          <w:tcPr>
            <w:tcW w:type="dxa" w:w="1728"/>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0.0169</w:t>
            </w:r>
          </w:p>
        </w:tc>
      </w:tr>
      <w:tr>
        <w:tc>
          <w:tcPr>
            <w:tcW w:type="dxa" w:w="6912"/>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Gender Male</w:t>
            </w:r>
          </w:p>
        </w:tc>
        <w:tc>
          <w:tcPr>
            <w:tcW w:type="dxa" w:w="1728"/>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0.0166</w:t>
            </w:r>
          </w:p>
        </w:tc>
      </w:tr>
    </w:tbl>
    <w:p/>
    <w:p>
      <w:r>
        <w:br w:type="page"/>
      </w:r>
    </w:p>
    <w:p>
      <w:pPr>
        <w:pStyle w:val="Heading2"/>
      </w:pPr>
      <w:r>
        <w:t>Example Inference Output</w:t>
      </w:r>
    </w:p>
    <w:tbl>
      <w:tblPr>
        <w:tblStyle w:val="TableGrid"/>
        <w:tblW w:type="auto" w:w="0"/>
        <w:jc w:val="center"/>
        <w:tblLayout w:type="autofit"/>
        <w:tblLook w:firstColumn="1" w:firstRow="1" w:lastColumn="0" w:lastRow="0" w:noHBand="0" w:noVBand="1" w:val="04A0"/>
      </w:tblPr>
      <w:tblGrid>
        <w:gridCol w:w="3389"/>
        <w:gridCol w:w="3389"/>
        <w:gridCol w:w="3389"/>
      </w:tblGrid>
      <w:tr>
        <w:trPr>
          <w:tblHeader w:val="true"/>
        </w:trPr>
        <w:tc>
          <w:tcPr>
            <w:tcW w:type="dxa" w:w="2160"/>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Actual Churn</w:t>
            </w:r>
          </w:p>
        </w:tc>
        <w:tc>
          <w:tcPr>
            <w:tcW w:type="dxa" w:w="2304"/>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Predicted Churn</w:t>
            </w:r>
          </w:p>
        </w:tc>
        <w:tc>
          <w:tcPr>
            <w:tcW w:type="dxa" w:w="2304"/>
            <w:shd w:fill="2F6F73"/>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color w:val="FFFFFF"/>
                <w:sz w:val="16"/>
              </w:rPr>
              <w:t>Churn Probability</w:t>
            </w:r>
          </w:p>
        </w:tc>
      </w:tr>
      <w:tr>
        <w:tc>
          <w:tcPr>
            <w:tcW w:type="dxa" w:w="216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w:t>
            </w:r>
          </w:p>
        </w:tc>
        <w:tc>
          <w:tcPr>
            <w:tcW w:type="dxa" w:w="230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w:t>
            </w:r>
          </w:p>
        </w:tc>
        <w:tc>
          <w:tcPr>
            <w:tcW w:type="dxa" w:w="230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3.33%</w:t>
            </w:r>
          </w:p>
        </w:tc>
      </w:tr>
      <w:tr>
        <w:tc>
          <w:tcPr>
            <w:tcW w:type="dxa" w:w="2160"/>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w:t>
            </w:r>
          </w:p>
        </w:tc>
        <w:tc>
          <w:tcPr>
            <w:tcW w:type="dxa" w:w="2304"/>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w:t>
            </w:r>
          </w:p>
        </w:tc>
        <w:tc>
          <w:tcPr>
            <w:tcW w:type="dxa" w:w="2304"/>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99.33%</w:t>
            </w:r>
          </w:p>
        </w:tc>
      </w:tr>
      <w:tr>
        <w:tc>
          <w:tcPr>
            <w:tcW w:type="dxa" w:w="216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w:t>
            </w:r>
          </w:p>
        </w:tc>
        <w:tc>
          <w:tcPr>
            <w:tcW w:type="dxa" w:w="230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0</w:t>
            </w:r>
          </w:p>
        </w:tc>
        <w:tc>
          <w:tcPr>
            <w:tcW w:type="dxa" w:w="230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11.33%</w:t>
            </w:r>
          </w:p>
        </w:tc>
      </w:tr>
      <w:tr>
        <w:tc>
          <w:tcPr>
            <w:tcW w:type="dxa" w:w="2160"/>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w:t>
            </w:r>
          </w:p>
        </w:tc>
        <w:tc>
          <w:tcPr>
            <w:tcW w:type="dxa" w:w="2304"/>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w:t>
            </w:r>
          </w:p>
        </w:tc>
        <w:tc>
          <w:tcPr>
            <w:tcW w:type="dxa" w:w="2304"/>
            <w:shd w:fill="F6F8FA"/>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99.33%</w:t>
            </w:r>
          </w:p>
        </w:tc>
      </w:tr>
      <w:tr>
        <w:tc>
          <w:tcPr>
            <w:tcW w:type="dxa" w:w="2160"/>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w:t>
            </w:r>
          </w:p>
        </w:tc>
        <w:tc>
          <w:tcPr>
            <w:tcW w:type="dxa" w:w="230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1</w:t>
            </w:r>
          </w:p>
        </w:tc>
        <w:tc>
          <w:tcPr>
            <w:tcW w:type="dxa" w:w="2304"/>
            <w:tcBorders>
              <w:top w:val="single" w:sz="6" w:space="0" w:color="D0D7DE"/>
              <w:left w:val="single" w:sz="6" w:space="0" w:color="D0D7DE"/>
              <w:bottom w:val="single" w:sz="6" w:space="0" w:color="D0D7DE"/>
              <w:right w:val="single" w:sz="6" w:space="0" w:color="D0D7DE"/>
              <w:insideH w:val="single" w:sz="6" w:space="0" w:color="D0D7DE"/>
              <w:insideV w:val="single" w:sz="6" w:space="0" w:color="D0D7DE"/>
            </w:tcBorders>
            <w:vAlign w:val="center"/>
          </w:tcPr>
          <w:p>
            <w:pPr>
              <w:spacing w:after="0" w:line="252" w:lineRule="auto"/>
            </w:pPr>
            <w:r>
              <w:rPr>
                <w:rFonts w:ascii="Calibri" w:hAnsi="Calibri"/>
                <w:b w:val="0"/>
                <w:sz w:val="16"/>
              </w:rPr>
              <w:t>99.33%</w:t>
            </w:r>
          </w:p>
        </w:tc>
      </w:tr>
    </w:tbl>
    <w:p/>
    <w:p>
      <w:r>
        <w:t>In conclusion, the project satisfies the core machine learning workflow: clear objective, dataset preparation, preprocessing, model tuning, fair comparison, final model selection, and inference on unseen data. The notebook provides the executable workflow, while the Streamlit dashboard presents the results interactively.</w:t>
      </w:r>
    </w:p>
    <w:sectPr w:rsidR="00FC693F" w:rsidRPr="0006063C" w:rsidSect="00034616">
      <w:footerReference w:type="default" r:id="rId9"/>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Customer Churn Prediction Lab Project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after="140"/>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Calibri" w:hAnsi="Calibri"/>
      <w:b/>
      <w:bCs/>
      <w:color w:val="2F6F73"/>
      <w:sz w:val="30"/>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Calibri" w:hAnsi="Calibri"/>
      <w:b/>
      <w:bCs/>
      <w:color w:val="2F6F73"/>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b/>
      <w:color w:val="2F6F73"/>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5A5A5A"/>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