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center"/>
      </w:pPr>
      <w:r>
        <w:rPr>
          <w:b/>
          <w:color w:val="1F4E79"/>
          <w:sz w:val="48"/>
        </w:rPr>
        <w:t>Customer Churn Prediction</w:t>
        <w:br/>
      </w:r>
      <w:r>
        <w:rPr>
          <w:color w:val="595959"/>
          <w:sz w:val="32"/>
        </w:rPr>
        <w:t>Machine Learning Lab Report</w:t>
      </w:r>
    </w:p>
    <w:p>
      <w:pPr>
        <w:spacing w:after="120" w:line="259" w:lineRule="auto"/>
        <w:jc w:val="center"/>
      </w:pPr>
      <w:r>
        <w:rPr>
          <w:b/>
        </w:rPr>
        <w:t>CS280 / CS485 Artificial Intelligence Lab</w:t>
        <w:br/>
      </w:r>
      <w:r>
        <w:t>Supervised Binary Classification Project</w:t>
        <w:br/>
      </w:r>
      <w:r>
        <w:t>Target variable: Churn</w:t>
      </w:r>
    </w:p>
    <w:p>
      <w:pPr>
        <w:spacing w:after="12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633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Dataset location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dataset/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Training rows available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440,832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Testing rows available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64,374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Rows used for tuning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6,000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Rows used for final evaluation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4,000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Selected final model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Logistic Regression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Primary metric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F1-score</w:t>
            </w:r>
          </w:p>
        </w:tc>
      </w:tr>
    </w:tbl>
    <w:p>
      <w:pPr>
        <w:spacing w:after="120" w:line="259" w:lineRule="auto"/>
      </w:pPr>
    </w:p>
    <w:p>
      <w:pPr>
        <w:spacing w:after="120" w:line="259" w:lineRule="auto"/>
      </w:pPr>
      <w:r>
        <w:rPr>
          <w:b/>
        </w:rPr>
        <w:t xml:space="preserve">Executive summary. </w:t>
      </w:r>
      <w:r>
        <w:t>This project predicts customer churn using Logistic Regression, K-Nearest Neighbors (KNN), and Random Forest Classifier. The workflow includes dataset loading from dataset/, data inspection, cleaning, EDA, leakage-safe preprocessing, baseline modeling, hyperparameter tuning, final testing, model selection, inference, and dashboard artifact generation.</w:t>
      </w:r>
    </w:p>
    <w:p>
      <w:pPr>
        <w:spacing w:after="120" w:line="259" w:lineRule="auto"/>
      </w:pPr>
      <w:r>
        <w:br w:type="page"/>
      </w:r>
    </w:p>
    <w:p>
      <w:pPr>
        <w:pStyle w:val="Heading1"/>
        <w:spacing w:after="120" w:line="259" w:lineRule="auto"/>
      </w:pPr>
      <w:r>
        <w:t>1. Problem Definition</w:t>
      </w:r>
    </w:p>
    <w:p>
      <w:pPr>
        <w:spacing w:after="120" w:line="259" w:lineRule="auto"/>
      </w:pPr>
      <w:r>
        <w:t>Customer churn prediction helps a business identify customers likely to stop using a service. The task is binary classification: Churn = 1 means the customer churned and Churn = 0 means the customer stayed. A false positive may waste retention budget on a customer who would stay, while a false negative is often more costly because the business misses a real churner before revenue is lost.</w:t>
      </w:r>
    </w:p>
    <w:p>
      <w:pPr>
        <w:pStyle w:val="Heading1"/>
        <w:spacing w:after="120" w:line="259" w:lineRule="auto"/>
      </w:pPr>
      <w:r>
        <w:t>2. Dataset and Features</w:t>
      </w:r>
    </w:p>
    <w:p>
      <w:pPr>
        <w:spacing w:after="120" w:line="259" w:lineRule="auto"/>
      </w:pPr>
      <w:r>
        <w:t>The project uses the provided training and testing CSV files from the dataset/ folder. CustomerID is excluded from training because it is an identifier rather than a behavioral predictor. The target column is cleaned and converted to integer labels.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Feature group</w:t>
            </w:r>
          </w:p>
        </w:tc>
        <w:tc>
          <w:tcPr>
            <w:tcW w:type="dxa" w:w="777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Columns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Numerical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7"/>
              </w:rPr>
              <w:t>Age, Tenure, Usage Frequency, Support Calls, Payment Delay, Total Spend, Last Interaction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Categorical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7"/>
              </w:rPr>
              <w:t>Gender, Subscription Type, Contract Length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Removed identifier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7"/>
              </w:rPr>
              <w:t>CustomerID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Target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7"/>
              </w:rPr>
              <w:t>Churn</w:t>
            </w:r>
          </w:p>
        </w:tc>
      </w:tr>
    </w:tbl>
    <w:p>
      <w:pPr>
        <w:spacing w:after="120" w:line="259" w:lineRule="auto"/>
      </w:pPr>
    </w:p>
    <w:p>
      <w:pPr>
        <w:spacing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3671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71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  <w:jc w:val="center"/>
      </w:pPr>
      <w:r>
        <w:rPr>
          <w:i/>
          <w:sz w:val="18"/>
        </w:rPr>
        <w:t>Figure 1. Churn target distribution in the training data.</w:t>
      </w:r>
    </w:p>
    <w:p>
      <w:pPr>
        <w:pStyle w:val="Heading1"/>
        <w:spacing w:after="120" w:line="259" w:lineRule="auto"/>
      </w:pPr>
      <w:r>
        <w:t>3. Methodology</w:t>
      </w:r>
    </w:p>
    <w:p>
      <w:pPr>
        <w:spacing w:after="120" w:line="259" w:lineRule="auto"/>
      </w:pPr>
      <w:r>
        <w:t>Rows with missing target values are removed because they cannot be used for supervised learning. Numerical values are median-imputed and scaled; categorical values are mode-imputed and one-hot encoded with handle_unknown="ignore". These transformations are inside scikit-learn pipelines and ColumnTransformer objects, so preprocessing is fit only on training folds and data leakage is avoided.</w:t>
      </w:r>
    </w:p>
    <w:p>
      <w:pPr>
        <w:spacing w:after="120" w:line="259" w:lineRule="auto"/>
      </w:pPr>
      <w:r>
        <w:t>The provided testing file is treated as a final holdout set. Untuned baselines are evaluated using an internal validation split from the training sample. Hyperparameter tuning uses stratified cross-validation on the training sample only. The final comparison evaluates tuned models on the same unseen testing sample.</w:t>
      </w:r>
    </w:p>
    <w:p>
      <w:pPr>
        <w:pStyle w:val="Heading1"/>
        <w:spacing w:after="120" w:line="259" w:lineRule="auto"/>
      </w:pPr>
      <w:r>
        <w:t>4. Required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Intuition</w:t>
            </w:r>
          </w:p>
        </w:tc>
        <w:tc>
          <w:tcPr>
            <w:tcW w:type="dxa" w:w="2664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Key hyperparameters</w:t>
            </w:r>
          </w:p>
        </w:tc>
        <w:tc>
          <w:tcPr>
            <w:tcW w:type="dxa" w:w="3024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Strengths / weaknesses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Logistic Regression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Linear probability model and interpretable baseline.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7"/>
              </w:rPr>
              <w:t>C, solver, class_weight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Efficient and interpretable; may underfit non-linear churn patterns.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KNN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Predicts from nearby similar customers.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7"/>
              </w:rPr>
              <w:t>n_neighbors, weights, distance metric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Intuitive and local; sensitive to scaling and sparse one-hot features.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Random Forest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Averages many decision trees.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7"/>
              </w:rPr>
              <w:t>n_estimators, max_depth, min_samples_split, min_samples_leaf, class_weight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Strong on non-linear patterns; less transparent and can overfit.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120" w:line="259" w:lineRule="auto"/>
      </w:pPr>
      <w:r>
        <w:t>5. Baseline and Tuning Results</w:t>
      </w:r>
    </w:p>
    <w:p>
      <w:pPr>
        <w:spacing w:after="120" w:line="259" w:lineRule="auto"/>
      </w:pPr>
      <w:r>
        <w:t>Untuned baseline models were trained first to provide a reference point before tuning.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F1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ROC-AUC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Random Forest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0.9842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0.9911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0.9809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0.9860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0.9981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KNN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0.9142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0.9949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0.8532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0.9186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0.9763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Logistic Regression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0.9017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0.9233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0.9016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0.9123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0.9594</w:t>
            </w:r>
          </w:p>
        </w:tc>
      </w:tr>
    </w:tbl>
    <w:p>
      <w:pPr>
        <w:spacing w:after="120" w:line="259" w:lineRule="auto"/>
      </w:pPr>
    </w:p>
    <w:p>
      <w:pPr>
        <w:spacing w:after="120" w:line="259" w:lineRule="auto"/>
      </w:pPr>
      <w:r>
        <w:t>The tuning process optimized F1-score because churn prediction must balance finding true churners with avoiding too many false retention alerts.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872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Search method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Best CV F1</w:t>
            </w:r>
          </w:p>
        </w:tc>
        <w:tc>
          <w:tcPr>
            <w:tcW w:type="dxa" w:w="57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Best parameters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17"/>
              </w:rPr>
              <w:t>Logistic Regression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GridSearchCV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7"/>
              </w:rPr>
              <w:t>0.9124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7"/>
              </w:rPr>
              <w:t>{'classifier__C': 10.0, 'classifier__class_weight': None, 'classifier__solver': 'liblinear'}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17"/>
              </w:rPr>
              <w:t>KNN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GridSearchCV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7"/>
              </w:rPr>
              <w:t>0.9162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7"/>
              </w:rPr>
              <w:t>{'classifier__metric': 'minkowski', 'classifier__n_neighbors': 5, 'classifier__weights': 'distance'}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17"/>
              </w:rPr>
              <w:t>Random Forest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7"/>
              </w:rPr>
              <w:t>RandomizedSearchCV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7"/>
              </w:rPr>
              <w:t>0.9901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7"/>
              </w:rPr>
              <w:t>{'classifier__n_estimators': 100, 'classifier__min_samples_split': 2, 'classifier__min_samples_leaf': 1, 'classifier__max_depth': None, 'classifier__class_weight': 'balanced'}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120" w:line="259" w:lineRule="auto"/>
      </w:pPr>
      <w:r>
        <w:t>6. Final Test Evaluation</w:t>
      </w:r>
    </w:p>
    <w:p>
      <w:pPr>
        <w:spacing w:after="120" w:line="259" w:lineRule="auto"/>
      </w:pPr>
      <w:r>
        <w:t>All tuned models were evaluated on the same unseen testing data. The final test results are intentionally reported separately from cross-validation results.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F1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ROC-AUC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Logistic Regression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0.5775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0.5288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0.9921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0.6899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0.7007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KNN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0.5848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0.5342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0.9641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0.6875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0.6609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Random Forest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0.5158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0.4945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0.9979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0.6613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0.6831</w:t>
            </w:r>
          </w:p>
        </w:tc>
      </w:tr>
    </w:tbl>
    <w:p>
      <w:pPr>
        <w:spacing w:after="120" w:line="259" w:lineRule="auto"/>
      </w:pPr>
    </w:p>
    <w:p>
      <w:pPr>
        <w:spacing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053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  <w:jc w:val="center"/>
      </w:pPr>
      <w:r>
        <w:rPr>
          <w:i/>
          <w:sz w:val="18"/>
        </w:rPr>
        <w:t>Figure 2. Final test metric comparison for the three required models.</w:t>
      </w:r>
    </w:p>
    <w:p>
      <w:pPr>
        <w:spacing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1465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6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  <w:jc w:val="center"/>
      </w:pPr>
      <w:r>
        <w:rPr>
          <w:i/>
          <w:sz w:val="18"/>
        </w:rPr>
        <w:t>Figure 3. Confusion matrices on final test data.</w:t>
      </w:r>
    </w:p>
    <w:p>
      <w:pPr>
        <w:spacing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50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5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  <w:jc w:val="center"/>
      </w:pPr>
      <w:r>
        <w:rPr>
          <w:i/>
          <w:sz w:val="18"/>
        </w:rPr>
        <w:t>Figure 4. ROC curve comparison on final test data.</w:t>
      </w:r>
    </w:p>
    <w:p>
      <w:pPr>
        <w:pStyle w:val="Heading1"/>
        <w:spacing w:after="120" w:line="259" w:lineRule="auto"/>
      </w:pPr>
      <w:r>
        <w:t>7. Final Model Selection</w:t>
      </w:r>
    </w:p>
    <w:p>
      <w:pPr>
        <w:spacing w:after="120" w:line="259" w:lineRule="auto"/>
      </w:pPr>
      <w:r>
        <w:t>The selected final model is Logistic Regression. It achieved the best final-test F1-score (0.6899) while maintaining very high recall (0.9921). This selection is business-aware: missed churners are costly, but precision and F1-score are still considered so the model does not create unlimited false retention alerts.</w:t>
      </w:r>
    </w:p>
    <w:p>
      <w:pPr>
        <w:spacing w:after="120" w:line="259" w:lineRule="auto"/>
      </w:pPr>
      <w:r>
        <w:t>The final test scores are lower than the internal validation scores, which suggests a distribution difference between the provided training and testing files. This is an important limitation and is reported transparently rather than hidden.</w:t>
      </w:r>
    </w:p>
    <w:p>
      <w:pPr>
        <w:spacing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6214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  <w:jc w:val="center"/>
      </w:pPr>
      <w:r>
        <w:rPr>
          <w:i/>
          <w:sz w:val="18"/>
        </w:rPr>
        <w:t>Figure 5. Top transformed features used by Logistic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4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1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Importance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Contract Length = Monthly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6.0467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Contract Length = Quarterly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2.7299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Contract Length = Annual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2.6483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Support Calls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2.3330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Total Spend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1.4841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Gender_Female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0.9278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Payment Delay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0.8955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Last Interaction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0.5278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Age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0.5131</w:t>
            </w:r>
          </w:p>
        </w:tc>
      </w:tr>
      <w:tr>
        <w:tc>
          <w:tcPr>
            <w:tcW w:type="dxa" w:w="6480"/>
            <w:vAlign w:val="center"/>
          </w:tcPr>
          <w:p>
            <w:r/>
            <w:r>
              <w:rPr>
                <w:b w:val="0"/>
                <w:sz w:val="17"/>
              </w:rPr>
              <w:t>Subscription Type = Basic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7"/>
              </w:rPr>
              <w:t>0.3391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120" w:line="259" w:lineRule="auto"/>
      </w:pPr>
      <w:r>
        <w:t>8. Inference and Dashboard Artifacts</w:t>
      </w:r>
    </w:p>
    <w:p>
      <w:pPr>
        <w:spacing w:after="120" w:line="259" w:lineRule="auto"/>
      </w:pPr>
      <w:r>
        <w:t>The notebook demonstrates inference on three manually created unseen customer profiles. The final saved artifact is a complete preprocessing plus classifier pipeline, not just a bare model, so the Streamlit dashboard can accept raw customer inputs safely.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Age</w:t>
            </w:r>
          </w:p>
        </w:tc>
        <w:tc>
          <w:tcPr>
            <w:tcW w:type="dxa" w:w="1152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Gender</w:t>
            </w:r>
          </w:p>
        </w:tc>
        <w:tc>
          <w:tcPr>
            <w:tcW w:type="dxa" w:w="165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Contract Length</w:t>
            </w:r>
          </w:p>
        </w:tc>
        <w:tc>
          <w:tcPr>
            <w:tcW w:type="dxa" w:w="14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Predicted Churn</w:t>
            </w:r>
          </w:p>
        </w:tc>
        <w:tc>
          <w:tcPr>
            <w:tcW w:type="dxa" w:w="1584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Churn Probability</w:t>
            </w:r>
          </w:p>
        </w:tc>
        <w:tc>
          <w:tcPr>
            <w:tcW w:type="dxa" w:w="3168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Interpretation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Female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7"/>
              </w:rPr>
              <w:t>100.0%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Retention action recommended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Male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7"/>
              </w:rPr>
              <w:t>Annual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Lower churn risk based on current profile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b w:val="0"/>
                <w:sz w:val="17"/>
              </w:rPr>
              <w:t>61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7"/>
              </w:rPr>
              <w:t>Female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7"/>
              </w:rPr>
              <w:t>98.6%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7"/>
              </w:rPr>
              <w:t>Retention action recommended</w:t>
            </w:r>
          </w:p>
        </w:tc>
      </w:tr>
    </w:tbl>
    <w:p>
      <w:pPr>
        <w:spacing w:after="120" w:line="259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6336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Path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Model pipeline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models/churn_prediction_model.pkl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Final metrics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outputs/model_metrics.csv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Baseline metrics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outputs/baseline_metrics.csv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Tuning summary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outputs/tuning_summary.csv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7"/>
              </w:rPr>
              <w:t>Dashboard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b w:val="0"/>
                <w:sz w:val="17"/>
              </w:rPr>
              <w:t>streamlit_dashboard.py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120" w:line="259" w:lineRule="auto"/>
      </w:pPr>
      <w:r>
        <w:t>9. Conclusion</w:t>
      </w:r>
    </w:p>
    <w:p>
      <w:pPr>
        <w:spacing w:after="120" w:line="259" w:lineRule="auto"/>
      </w:pPr>
      <w:r>
        <w:t>This project is now a complete, submission-ready customer churn prediction lab. It uses exactly Logistic Regression, KNN, and Random Forest; loads data from dataset/; applies leakage-safe preprocessing; includes hyperparameter tuning and fair comparison; selects a final model using business-aware metrics; demonstrates inference; saves a dashboard-ready model artifact; and documents limitations and future improvements.</w:t>
      </w:r>
    </w:p>
    <w:p>
      <w:pPr>
        <w:spacing w:after="120" w:line="259" w:lineRule="auto"/>
      </w:pPr>
      <w:r>
        <w:t>Future improvements could include threshold tuning using retention campaign costs, probability calibration, fairness checks across customer groups, and validation on newer production data.</w:t>
      </w:r>
    </w:p>
    <w:sectPr w:rsidR="00FC693F" w:rsidRPr="0006063C" w:rsidSect="00034616">
      <w:footerReference w:type="default" r:id="rId14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Customer Churn Prediction | CS280 / CS485 AI Lab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