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40"/>
      </w:pPr>
      <w:r>
        <w:rPr>
          <w:rFonts w:ascii="Calibri" w:hAnsi="Calibri"/>
          <w:b/>
          <w:i w:val="0"/>
          <w:color w:val="2563EB"/>
          <w:sz w:val="19"/>
        </w:rPr>
        <w:t>TECHNICAL SYSTEM WHITE PAPER &amp; ARCHITECTURAL MANIFESTO</w:t>
      </w:r>
    </w:p>
    <w:p>
      <w:pPr>
        <w:spacing w:before="40" w:after="80"/>
      </w:pPr>
      <w:r>
        <w:rPr>
          <w:rFonts w:ascii="Calibri" w:hAnsi="Calibri"/>
          <w:b/>
          <w:i w:val="0"/>
          <w:color w:val="1E3A8A"/>
          <w:sz w:val="52"/>
        </w:rPr>
        <w:t>BeatAhead: Ischemic Stress Index (ISI)</w:t>
      </w:r>
    </w:p>
    <w:p>
      <w:pPr>
        <w:spacing w:before="0" w:after="240"/>
      </w:pPr>
      <w:r>
        <w:rPr>
          <w:rFonts w:ascii="Calibri" w:hAnsi="Calibri"/>
          <w:b w:val="0"/>
          <w:i/>
          <w:color w:val="334155"/>
          <w:sz w:val="25"/>
        </w:rPr>
        <w:t>An AI Framework for Continuous Early Cardiac Risk Assessment via Multimodal Sensor Fusion, Frozen XGBoost Inference, and Personalized Baseline Calibration</w:t>
      </w:r>
    </w:p>
    <w:tbl>
      <w:tblPr>
        <w:tblW w:type="auto" w:w="0"/>
        <w:jc w:val="center"/>
        <w:tblLayout w:type="fixed"/>
        <w:tblLook w:firstColumn="1" w:firstRow="1" w:lastColumn="0" w:lastRow="0" w:noHBand="0" w:noVBand="1" w:val="04A0"/>
      </w:tblPr>
      <w:tblGrid>
        <w:gridCol w:w="5040"/>
        <w:gridCol w:w="5040"/>
      </w:tblGrid>
      <w:tr>
        <w:tc>
          <w:tcPr>
            <w:tcW w:type="dxa" w:w="3168"/>
            <w:tcMar>
              <w:top w:w="120" w:type="dxa"/>
              <w:bottom w:w="120" w:type="dxa"/>
              <w:left w:w="100" w:type="dxa"/>
              <w:right w:w="100" w:type="dxa"/>
            </w:tcMar>
            <w:shd w:fill="1E3A8A"/>
            <w:tcBorders>
              <w:top w:val="single" w:sz="8" w:space="0" w:color="1E3A8A"/>
              <w:bottom w:val="single" w:sz="16" w:space="0" w:color="CBD5E1"/>
              <w:left w:val="none" w:sz="0" w:space="0" w:color="auto"/>
              <w:right w:val="none" w:sz="0" w:space="0" w:color="auto"/>
            </w:tcBorders>
          </w:tcPr>
          <w:p>
            <w:pPr>
              <w:spacing w:before="0" w:after="0"/>
              <w:jc w:val="left"/>
            </w:pPr>
            <w:r>
              <w:rPr>
                <w:rFonts w:ascii="Calibri" w:hAnsi="Calibri"/>
                <w:b/>
                <w:i w:val="0"/>
                <w:color w:val="FFFFFF"/>
                <w:sz w:val="19"/>
              </w:rPr>
              <w:t>Project Attribute</w:t>
            </w:r>
          </w:p>
        </w:tc>
        <w:tc>
          <w:tcPr>
            <w:tcW w:type="dxa" w:w="6912"/>
            <w:tcMar>
              <w:top w:w="120" w:type="dxa"/>
              <w:bottom w:w="120" w:type="dxa"/>
              <w:left w:w="100" w:type="dxa"/>
              <w:right w:w="100" w:type="dxa"/>
            </w:tcMar>
            <w:shd w:fill="1E3A8A"/>
            <w:tcBorders>
              <w:top w:val="single" w:sz="8" w:space="0" w:color="1E3A8A"/>
              <w:bottom w:val="single" w:sz="16" w:space="0" w:color="CBD5E1"/>
              <w:left w:val="none" w:sz="0" w:space="0" w:color="auto"/>
              <w:right w:val="none" w:sz="0" w:space="0" w:color="auto"/>
            </w:tcBorders>
          </w:tcPr>
          <w:p>
            <w:pPr>
              <w:spacing w:before="0" w:after="0"/>
              <w:jc w:val="left"/>
            </w:pPr>
            <w:r>
              <w:rPr>
                <w:rFonts w:ascii="Calibri" w:hAnsi="Calibri"/>
                <w:b/>
                <w:i w:val="0"/>
                <w:color w:val="FFFFFF"/>
                <w:sz w:val="19"/>
              </w:rPr>
              <w:t>Specification &amp; Contact Details</w:t>
            </w:r>
          </w:p>
        </w:tc>
      </w:tr>
      <w:tr>
        <w:tc>
          <w:tcPr>
            <w:tcW w:type="dxa" w:w="3168"/>
            <w:tcMar>
              <w:top w:w="80" w:type="dxa"/>
              <w:bottom w:w="80" w:type="dxa"/>
              <w:left w:w="100" w:type="dxa"/>
              <w:right w:w="100" w:type="dxa"/>
            </w:tcMar>
            <w:shd w:fill="FFFFFF"/>
            <w:tcBorders>
              <w:top w:val="single" w:sz="4" w:space="0" w:color="CBD5E1"/>
              <w:bottom w:val="single" w:sz="4" w:space="0" w:color="CBD5E1"/>
              <w:left w:val="none" w:sz="0" w:space="0" w:color="auto"/>
              <w:right w:val="none" w:sz="0" w:space="0" w:color="auto"/>
            </w:tcBorders>
          </w:tcPr>
          <w:p>
            <w:pPr>
              <w:spacing w:before="0" w:after="0" w:line="252" w:lineRule="auto"/>
              <w:jc w:val="left"/>
            </w:pPr>
            <w:r>
              <w:rPr>
                <w:rFonts w:ascii="Calibri" w:hAnsi="Calibri"/>
                <w:b w:val="0"/>
                <w:i w:val="0"/>
                <w:color w:val="334155"/>
                <w:sz w:val="18"/>
              </w:rPr>
              <w:t>Project Title</w:t>
            </w:r>
          </w:p>
        </w:tc>
        <w:tc>
          <w:tcPr>
            <w:tcW w:type="dxa" w:w="6912"/>
            <w:tcMar>
              <w:top w:w="80" w:type="dxa"/>
              <w:bottom w:w="80" w:type="dxa"/>
              <w:left w:w="100" w:type="dxa"/>
              <w:right w:w="100" w:type="dxa"/>
            </w:tcMar>
            <w:shd w:fill="FFFFFF"/>
            <w:tcBorders>
              <w:top w:val="single" w:sz="4" w:space="0" w:color="CBD5E1"/>
              <w:bottom w:val="single" w:sz="4" w:space="0" w:color="CBD5E1"/>
              <w:left w:val="none" w:sz="0" w:space="0" w:color="auto"/>
              <w:right w:val="none" w:sz="0" w:space="0" w:color="auto"/>
            </w:tcBorders>
          </w:tcPr>
          <w:p>
            <w:pPr>
              <w:spacing w:before="0" w:after="0" w:line="252" w:lineRule="auto"/>
              <w:jc w:val="left"/>
            </w:pPr>
            <w:r>
              <w:rPr>
                <w:rFonts w:ascii="Calibri" w:hAnsi="Calibri"/>
                <w:b w:val="0"/>
                <w:i w:val="0"/>
                <w:color w:val="334155"/>
                <w:sz w:val="18"/>
              </w:rPr>
              <w:t>Ischemic Stress Index (ISI): An AI Framework for Early Cardiac Risk Assessment</w:t>
            </w:r>
          </w:p>
        </w:tc>
      </w:tr>
      <w:tr>
        <w:tc>
          <w:tcPr>
            <w:tcW w:type="dxa" w:w="3168"/>
            <w:tcMar>
              <w:top w:w="80" w:type="dxa"/>
              <w:bottom w:w="80" w:type="dxa"/>
              <w:left w:w="100" w:type="dxa"/>
              <w:right w:w="100" w:type="dxa"/>
            </w:tcMar>
            <w:shd w:fill="F8FAFC"/>
            <w:tcBorders>
              <w:top w:val="single" w:sz="4" w:space="0" w:color="CBD5E1"/>
              <w:bottom w:val="single" w:sz="4" w:space="0" w:color="CBD5E1"/>
              <w:left w:val="none" w:sz="0" w:space="0" w:color="auto"/>
              <w:right w:val="none" w:sz="0" w:space="0" w:color="auto"/>
            </w:tcBorders>
          </w:tcPr>
          <w:p>
            <w:pPr>
              <w:spacing w:before="0" w:after="0" w:line="252" w:lineRule="auto"/>
              <w:jc w:val="left"/>
            </w:pPr>
            <w:r>
              <w:rPr>
                <w:rFonts w:ascii="Calibri" w:hAnsi="Calibri"/>
                <w:b w:val="0"/>
                <w:i w:val="0"/>
                <w:color w:val="334155"/>
                <w:sz w:val="18"/>
              </w:rPr>
              <w:t>Project Lead</w:t>
            </w:r>
          </w:p>
        </w:tc>
        <w:tc>
          <w:tcPr>
            <w:tcW w:type="dxa" w:w="6912"/>
            <w:tcMar>
              <w:top w:w="80" w:type="dxa"/>
              <w:bottom w:w="80" w:type="dxa"/>
              <w:left w:w="100" w:type="dxa"/>
              <w:right w:w="100" w:type="dxa"/>
            </w:tcMar>
            <w:shd w:fill="F8FAFC"/>
            <w:tcBorders>
              <w:top w:val="single" w:sz="4" w:space="0" w:color="CBD5E1"/>
              <w:bottom w:val="single" w:sz="4" w:space="0" w:color="CBD5E1"/>
              <w:left w:val="none" w:sz="0" w:space="0" w:color="auto"/>
              <w:right w:val="none" w:sz="0" w:space="0" w:color="auto"/>
            </w:tcBorders>
          </w:tcPr>
          <w:p>
            <w:pPr>
              <w:spacing w:before="0" w:after="0" w:line="252" w:lineRule="auto"/>
              <w:jc w:val="left"/>
            </w:pPr>
            <w:r>
              <w:rPr>
                <w:rFonts w:ascii="Calibri" w:hAnsi="Calibri"/>
                <w:b w:val="0"/>
                <w:i w:val="0"/>
                <w:color w:val="334155"/>
                <w:sz w:val="18"/>
              </w:rPr>
              <w:t>Skanda K N (skandakn13@gmail.com | +91 8088347176)</w:t>
            </w:r>
          </w:p>
        </w:tc>
      </w:tr>
      <w:tr>
        <w:tc>
          <w:tcPr>
            <w:tcW w:type="dxa" w:w="3168"/>
            <w:tcMar>
              <w:top w:w="80" w:type="dxa"/>
              <w:bottom w:w="80" w:type="dxa"/>
              <w:left w:w="100" w:type="dxa"/>
              <w:right w:w="100" w:type="dxa"/>
            </w:tcMar>
            <w:shd w:fill="FFFFFF"/>
            <w:tcBorders>
              <w:top w:val="single" w:sz="4" w:space="0" w:color="CBD5E1"/>
              <w:bottom w:val="single" w:sz="4" w:space="0" w:color="CBD5E1"/>
              <w:left w:val="none" w:sz="0" w:space="0" w:color="auto"/>
              <w:right w:val="none" w:sz="0" w:space="0" w:color="auto"/>
            </w:tcBorders>
          </w:tcPr>
          <w:p>
            <w:pPr>
              <w:spacing w:before="0" w:after="0" w:line="252" w:lineRule="auto"/>
              <w:jc w:val="left"/>
            </w:pPr>
            <w:r>
              <w:rPr>
                <w:rFonts w:ascii="Calibri" w:hAnsi="Calibri"/>
                <w:b w:val="0"/>
                <w:i w:val="0"/>
                <w:color w:val="334155"/>
                <w:sz w:val="18"/>
              </w:rPr>
              <w:t>Co-Developer</w:t>
            </w:r>
          </w:p>
        </w:tc>
        <w:tc>
          <w:tcPr>
            <w:tcW w:type="dxa" w:w="6912"/>
            <w:tcMar>
              <w:top w:w="80" w:type="dxa"/>
              <w:bottom w:w="80" w:type="dxa"/>
              <w:left w:w="100" w:type="dxa"/>
              <w:right w:w="100" w:type="dxa"/>
            </w:tcMar>
            <w:shd w:fill="FFFFFF"/>
            <w:tcBorders>
              <w:top w:val="single" w:sz="4" w:space="0" w:color="CBD5E1"/>
              <w:bottom w:val="single" w:sz="4" w:space="0" w:color="CBD5E1"/>
              <w:left w:val="none" w:sz="0" w:space="0" w:color="auto"/>
              <w:right w:val="none" w:sz="0" w:space="0" w:color="auto"/>
            </w:tcBorders>
          </w:tcPr>
          <w:p>
            <w:pPr>
              <w:spacing w:before="0" w:after="0" w:line="252" w:lineRule="auto"/>
              <w:jc w:val="left"/>
            </w:pPr>
            <w:r>
              <w:rPr>
                <w:rFonts w:ascii="Calibri" w:hAnsi="Calibri"/>
                <w:b w:val="0"/>
                <w:i w:val="0"/>
                <w:color w:val="334155"/>
                <w:sz w:val="18"/>
              </w:rPr>
              <w:t>S Chiranjeevi</w:t>
            </w:r>
          </w:p>
        </w:tc>
      </w:tr>
      <w:tr>
        <w:tc>
          <w:tcPr>
            <w:tcW w:type="dxa" w:w="3168"/>
            <w:tcMar>
              <w:top w:w="80" w:type="dxa"/>
              <w:bottom w:w="80" w:type="dxa"/>
              <w:left w:w="100" w:type="dxa"/>
              <w:right w:w="100" w:type="dxa"/>
            </w:tcMar>
            <w:shd w:fill="F8FAFC"/>
            <w:tcBorders>
              <w:top w:val="single" w:sz="4" w:space="0" w:color="CBD5E1"/>
              <w:bottom w:val="single" w:sz="4" w:space="0" w:color="CBD5E1"/>
              <w:left w:val="none" w:sz="0" w:space="0" w:color="auto"/>
              <w:right w:val="none" w:sz="0" w:space="0" w:color="auto"/>
            </w:tcBorders>
          </w:tcPr>
          <w:p>
            <w:pPr>
              <w:spacing w:before="0" w:after="0" w:line="252" w:lineRule="auto"/>
              <w:jc w:val="left"/>
            </w:pPr>
            <w:r>
              <w:rPr>
                <w:rFonts w:ascii="Calibri" w:hAnsi="Calibri"/>
                <w:b w:val="0"/>
                <w:i w:val="0"/>
                <w:color w:val="334155"/>
                <w:sz w:val="18"/>
              </w:rPr>
              <w:t>Live Cloud Deployment</w:t>
            </w:r>
          </w:p>
        </w:tc>
        <w:tc>
          <w:tcPr>
            <w:tcW w:type="dxa" w:w="6912"/>
            <w:tcMar>
              <w:top w:w="80" w:type="dxa"/>
              <w:bottom w:w="80" w:type="dxa"/>
              <w:left w:w="100" w:type="dxa"/>
              <w:right w:w="100" w:type="dxa"/>
            </w:tcMar>
            <w:shd w:fill="F8FAFC"/>
            <w:tcBorders>
              <w:top w:val="single" w:sz="4" w:space="0" w:color="CBD5E1"/>
              <w:bottom w:val="single" w:sz="4" w:space="0" w:color="CBD5E1"/>
              <w:left w:val="none" w:sz="0" w:space="0" w:color="auto"/>
              <w:right w:val="none" w:sz="0" w:space="0" w:color="auto"/>
            </w:tcBorders>
          </w:tcPr>
          <w:p>
            <w:pPr>
              <w:spacing w:before="0" w:after="0" w:line="252" w:lineRule="auto"/>
              <w:jc w:val="left"/>
            </w:pPr>
            <w:r>
              <w:rPr>
                <w:rFonts w:ascii="Calibri" w:hAnsi="Calibri"/>
                <w:b w:val="0"/>
                <w:i w:val="0"/>
                <w:color w:val="334155"/>
                <w:sz w:val="18"/>
              </w:rPr>
              <w:t>https://beat-ahead.vercel.app/ (Multi-Service Production Vercel Cluster)</w:t>
            </w:r>
          </w:p>
        </w:tc>
      </w:tr>
      <w:tr>
        <w:tc>
          <w:tcPr>
            <w:tcW w:type="dxa" w:w="3168"/>
            <w:tcMar>
              <w:top w:w="80" w:type="dxa"/>
              <w:bottom w:w="80" w:type="dxa"/>
              <w:left w:w="100" w:type="dxa"/>
              <w:right w:w="100" w:type="dxa"/>
            </w:tcMar>
            <w:shd w:fill="FFFFFF"/>
            <w:tcBorders>
              <w:top w:val="single" w:sz="4" w:space="0" w:color="CBD5E1"/>
              <w:bottom w:val="single" w:sz="4" w:space="0" w:color="CBD5E1"/>
              <w:left w:val="none" w:sz="0" w:space="0" w:color="auto"/>
              <w:right w:val="none" w:sz="0" w:space="0" w:color="auto"/>
            </w:tcBorders>
          </w:tcPr>
          <w:p>
            <w:pPr>
              <w:spacing w:before="0" w:after="0" w:line="252" w:lineRule="auto"/>
              <w:jc w:val="left"/>
            </w:pPr>
            <w:r>
              <w:rPr>
                <w:rFonts w:ascii="Calibri" w:hAnsi="Calibri"/>
                <w:b w:val="0"/>
                <w:i w:val="0"/>
                <w:color w:val="334155"/>
                <w:sz w:val="18"/>
              </w:rPr>
              <w:t>GitHub Repository</w:t>
            </w:r>
          </w:p>
        </w:tc>
        <w:tc>
          <w:tcPr>
            <w:tcW w:type="dxa" w:w="6912"/>
            <w:tcMar>
              <w:top w:w="80" w:type="dxa"/>
              <w:bottom w:w="80" w:type="dxa"/>
              <w:left w:w="100" w:type="dxa"/>
              <w:right w:w="100" w:type="dxa"/>
            </w:tcMar>
            <w:shd w:fill="FFFFFF"/>
            <w:tcBorders>
              <w:top w:val="single" w:sz="4" w:space="0" w:color="CBD5E1"/>
              <w:bottom w:val="single" w:sz="4" w:space="0" w:color="CBD5E1"/>
              <w:left w:val="none" w:sz="0" w:space="0" w:color="auto"/>
              <w:right w:val="none" w:sz="0" w:space="0" w:color="auto"/>
            </w:tcBorders>
          </w:tcPr>
          <w:p>
            <w:pPr>
              <w:spacing w:before="0" w:after="0" w:line="252" w:lineRule="auto"/>
              <w:jc w:val="left"/>
            </w:pPr>
            <w:r>
              <w:rPr>
                <w:rFonts w:ascii="Calibri" w:hAnsi="Calibri"/>
                <w:b w:val="0"/>
                <w:i w:val="0"/>
                <w:color w:val="334155"/>
                <w:sz w:val="18"/>
              </w:rPr>
              <w:t>https://github.com/skandakn/beat_ahead &amp; https://github.com/skandakn/Beat_Ahead_Heart</w:t>
            </w:r>
          </w:p>
        </w:tc>
      </w:tr>
      <w:tr>
        <w:tc>
          <w:tcPr>
            <w:tcW w:type="dxa" w:w="3168"/>
            <w:tcMar>
              <w:top w:w="80" w:type="dxa"/>
              <w:bottom w:w="80" w:type="dxa"/>
              <w:left w:w="100" w:type="dxa"/>
              <w:right w:w="100" w:type="dxa"/>
            </w:tcMar>
            <w:shd w:fill="F8FAFC"/>
            <w:tcBorders>
              <w:top w:val="single" w:sz="4" w:space="0" w:color="CBD5E1"/>
              <w:bottom w:val="single" w:sz="4" w:space="0" w:color="CBD5E1"/>
              <w:left w:val="none" w:sz="0" w:space="0" w:color="auto"/>
              <w:right w:val="none" w:sz="0" w:space="0" w:color="auto"/>
            </w:tcBorders>
          </w:tcPr>
          <w:p>
            <w:pPr>
              <w:spacing w:before="0" w:after="0" w:line="252" w:lineRule="auto"/>
              <w:jc w:val="left"/>
            </w:pPr>
            <w:r>
              <w:rPr>
                <w:rFonts w:ascii="Calibri" w:hAnsi="Calibri"/>
                <w:b w:val="0"/>
                <w:i w:val="0"/>
                <w:color w:val="334155"/>
                <w:sz w:val="18"/>
              </w:rPr>
              <w:t>Target Clinical Problem</w:t>
            </w:r>
          </w:p>
        </w:tc>
        <w:tc>
          <w:tcPr>
            <w:tcW w:type="dxa" w:w="6912"/>
            <w:tcMar>
              <w:top w:w="80" w:type="dxa"/>
              <w:bottom w:w="80" w:type="dxa"/>
              <w:left w:w="100" w:type="dxa"/>
              <w:right w:w="100" w:type="dxa"/>
            </w:tcMar>
            <w:shd w:fill="F8FAFC"/>
            <w:tcBorders>
              <w:top w:val="single" w:sz="4" w:space="0" w:color="CBD5E1"/>
              <w:bottom w:val="single" w:sz="4" w:space="0" w:color="CBD5E1"/>
              <w:left w:val="none" w:sz="0" w:space="0" w:color="auto"/>
              <w:right w:val="none" w:sz="0" w:space="0" w:color="auto"/>
            </w:tcBorders>
          </w:tcPr>
          <w:p>
            <w:pPr>
              <w:spacing w:before="0" w:after="0" w:line="252" w:lineRule="auto"/>
              <w:jc w:val="left"/>
            </w:pPr>
            <w:r>
              <w:rPr>
                <w:rFonts w:ascii="Calibri" w:hAnsi="Calibri"/>
                <w:b w:val="0"/>
                <w:i w:val="0"/>
                <w:color w:val="334155"/>
                <w:sz w:val="18"/>
              </w:rPr>
              <w:t>Prospective Early Warning of Intraoperative &amp; Ambulatory Myocardial Ischemia (5-Min Lead Gap)</w:t>
            </w:r>
          </w:p>
        </w:tc>
      </w:tr>
      <w:tr>
        <w:tc>
          <w:tcPr>
            <w:tcW w:type="dxa" w:w="3168"/>
            <w:tcMar>
              <w:top w:w="80" w:type="dxa"/>
              <w:bottom w:w="80" w:type="dxa"/>
              <w:left w:w="100" w:type="dxa"/>
              <w:right w:w="100" w:type="dxa"/>
            </w:tcMar>
            <w:shd w:fill="FFFFFF"/>
            <w:tcBorders>
              <w:top w:val="single" w:sz="4" w:space="0" w:color="CBD5E1"/>
              <w:bottom w:val="single" w:sz="4" w:space="0" w:color="CBD5E1"/>
              <w:left w:val="none" w:sz="0" w:space="0" w:color="auto"/>
              <w:right w:val="none" w:sz="0" w:space="0" w:color="auto"/>
            </w:tcBorders>
          </w:tcPr>
          <w:p>
            <w:pPr>
              <w:spacing w:before="0" w:after="0" w:line="252" w:lineRule="auto"/>
              <w:jc w:val="left"/>
            </w:pPr>
            <w:r>
              <w:rPr>
                <w:rFonts w:ascii="Calibri" w:hAnsi="Calibri"/>
                <w:b w:val="0"/>
                <w:i w:val="0"/>
                <w:color w:val="334155"/>
                <w:sz w:val="18"/>
              </w:rPr>
              <w:t>Machine Learning Backbone</w:t>
            </w:r>
          </w:p>
        </w:tc>
        <w:tc>
          <w:tcPr>
            <w:tcW w:type="dxa" w:w="6912"/>
            <w:tcMar>
              <w:top w:w="80" w:type="dxa"/>
              <w:bottom w:w="80" w:type="dxa"/>
              <w:left w:w="100" w:type="dxa"/>
              <w:right w:w="100" w:type="dxa"/>
            </w:tcMar>
            <w:shd w:fill="FFFFFF"/>
            <w:tcBorders>
              <w:top w:val="single" w:sz="4" w:space="0" w:color="CBD5E1"/>
              <w:bottom w:val="single" w:sz="4" w:space="0" w:color="CBD5E1"/>
              <w:left w:val="none" w:sz="0" w:space="0" w:color="auto"/>
              <w:right w:val="none" w:sz="0" w:space="0" w:color="auto"/>
            </w:tcBorders>
          </w:tcPr>
          <w:p>
            <w:pPr>
              <w:spacing w:before="0" w:after="0" w:line="252" w:lineRule="auto"/>
              <w:jc w:val="left"/>
            </w:pPr>
            <w:r>
              <w:rPr>
                <w:rFonts w:ascii="Calibri" w:hAnsi="Calibri"/>
                <w:b w:val="0"/>
                <w:i w:val="0"/>
                <w:color w:val="334155"/>
                <w:sz w:val="18"/>
              </w:rPr>
              <w:t>Frozen 150-Tree XGBoost Model (scale_pos_weight=230.65, Threshold=0.156742, AUROC=0.8896)</w:t>
            </w:r>
          </w:p>
        </w:tc>
      </w:tr>
      <w:tr>
        <w:tc>
          <w:tcPr>
            <w:tcW w:type="dxa" w:w="3168"/>
            <w:tcMar>
              <w:top w:w="80" w:type="dxa"/>
              <w:bottom w:w="80" w:type="dxa"/>
              <w:left w:w="100" w:type="dxa"/>
              <w:right w:w="100" w:type="dxa"/>
            </w:tcMar>
            <w:shd w:fill="F8FAFC"/>
            <w:tcBorders>
              <w:top w:val="single" w:sz="4" w:space="0" w:color="CBD5E1"/>
              <w:bottom w:val="single" w:sz="4" w:space="0" w:color="CBD5E1"/>
              <w:left w:val="none" w:sz="0" w:space="0" w:color="auto"/>
              <w:right w:val="none" w:sz="0" w:space="0" w:color="auto"/>
            </w:tcBorders>
          </w:tcPr>
          <w:p>
            <w:pPr>
              <w:spacing w:before="0" w:after="0" w:line="252" w:lineRule="auto"/>
              <w:jc w:val="left"/>
            </w:pPr>
            <w:r>
              <w:rPr>
                <w:rFonts w:ascii="Calibri" w:hAnsi="Calibri"/>
                <w:b w:val="0"/>
                <w:i w:val="0"/>
                <w:color w:val="334155"/>
                <w:sz w:val="18"/>
              </w:rPr>
              <w:t>Clinical Cohort Basis</w:t>
            </w:r>
          </w:p>
        </w:tc>
        <w:tc>
          <w:tcPr>
            <w:tcW w:type="dxa" w:w="6912"/>
            <w:tcMar>
              <w:top w:w="80" w:type="dxa"/>
              <w:bottom w:w="80" w:type="dxa"/>
              <w:left w:w="100" w:type="dxa"/>
              <w:right w:w="100" w:type="dxa"/>
            </w:tcMar>
            <w:shd w:fill="F8FAFC"/>
            <w:tcBorders>
              <w:top w:val="single" w:sz="4" w:space="0" w:color="CBD5E1"/>
              <w:bottom w:val="single" w:sz="4" w:space="0" w:color="CBD5E1"/>
              <w:left w:val="none" w:sz="0" w:space="0" w:color="auto"/>
              <w:right w:val="none" w:sz="0" w:space="0" w:color="auto"/>
            </w:tcBorders>
          </w:tcPr>
          <w:p>
            <w:pPr>
              <w:spacing w:before="0" w:after="0" w:line="252" w:lineRule="auto"/>
              <w:jc w:val="left"/>
            </w:pPr>
            <w:r>
              <w:rPr>
                <w:rFonts w:ascii="Calibri" w:hAnsi="Calibri"/>
                <w:b w:val="0"/>
                <w:i w:val="0"/>
                <w:color w:val="334155"/>
                <w:sz w:val="18"/>
              </w:rPr>
              <w:t>VitalDB Surgical Benchmark (100 Selected Cases: 80 Development / 20 Locked Test)</w:t>
            </w:r>
          </w:p>
        </w:tc>
      </w:tr>
    </w:tbl>
    <w:p>
      <w:pPr>
        <w:spacing w:before="60" w:after="60"/>
      </w:pPr>
    </w:p>
    <w:p>
      <w:pPr>
        <w:keepNext/>
        <w:spacing w:before="160" w:after="80"/>
        <w:jc w:val="center"/>
      </w:pPr>
      <w:r>
        <w:drawing>
          <wp:inline xmlns:a="http://schemas.openxmlformats.org/drawingml/2006/main" xmlns:pic="http://schemas.openxmlformats.org/drawingml/2006/picture">
            <wp:extent cx="6217920" cy="3297198"/>
            <wp:docPr id="1" name="Picture 1"/>
            <wp:cNvGraphicFramePr>
              <a:graphicFrameLocks noChangeAspect="1"/>
            </wp:cNvGraphicFramePr>
            <a:graphic>
              <a:graphicData uri="http://schemas.openxmlformats.org/drawingml/2006/picture">
                <pic:pic>
                  <pic:nvPicPr>
                    <pic:cNvPr id="0" name="media_1792747498099_027af13c.png"/>
                    <pic:cNvPicPr/>
                  </pic:nvPicPr>
                  <pic:blipFill>
                    <a:blip r:embed="rId11"/>
                    <a:stretch>
                      <a:fillRect/>
                    </a:stretch>
                  </pic:blipFill>
                  <pic:spPr>
                    <a:xfrm>
                      <a:off x="0" y="0"/>
                      <a:ext cx="6217920" cy="3297198"/>
                    </a:xfrm>
                    <a:prstGeom prst="rect"/>
                  </pic:spPr>
                </pic:pic>
              </a:graphicData>
            </a:graphic>
          </wp:inline>
        </w:drawing>
      </w:r>
    </w:p>
    <w:p>
      <w:pPr>
        <w:spacing w:before="0" w:after="200"/>
        <w:jc w:val="center"/>
      </w:pPr>
      <w:r>
        <w:rPr>
          <w:rFonts w:ascii="Calibri" w:hAnsi="Calibri"/>
          <w:b/>
          <w:i w:val="0"/>
          <w:color w:val="1E3A8A"/>
          <w:sz w:val="19"/>
        </w:rPr>
        <w:t xml:space="preserve">System Overview Poster: </w:t>
      </w:r>
      <w:r>
        <w:rPr>
          <w:rFonts w:ascii="Calibri" w:hAnsi="Calibri"/>
          <w:b w:val="0"/>
          <w:i/>
          <w:color w:val="64748B"/>
          <w:sz w:val="19"/>
        </w:rPr>
        <w:t>Comprehensive presentation of the BeatAhead project: Clinical problem statement, multimodal data processing pipeline, XGBoost inference engine, personal baseline calibration, 0-100 ISI score, multi-agent intelligence, and ecosystem beneficiaries.</w:t>
      </w:r>
    </w:p>
    <w:p>
      <w:pPr>
        <w:keepNext/>
        <w:spacing w:before="320" w:after="120"/>
        <w:pBdr>
          <w:bottom w:val="single" w:sz="12" w:space="4" w:color="2563EB"/>
        </w:pBdr>
      </w:pPr>
      <w:r>
        <w:rPr>
          <w:rFonts w:ascii="Calibri" w:hAnsi="Calibri"/>
          <w:b/>
          <w:i w:val="0"/>
          <w:color w:val="1E3A8A"/>
          <w:sz w:val="36"/>
        </w:rPr>
        <w:t>1. Executive Summary &amp; Core Philosophy</w:t>
      </w:r>
    </w:p>
    <w:p>
      <w:pPr>
        <w:spacing w:before="0" w:after="100" w:line="276" w:lineRule="auto"/>
      </w:pPr>
      <w:r>
        <w:rPr>
          <w:rFonts w:ascii="Calibri" w:hAnsi="Calibri"/>
          <w:b w:val="0"/>
          <w:i w:val="0"/>
          <w:color w:val="334155"/>
          <w:sz w:val="21"/>
        </w:rPr>
        <w:t>Cardiovascular disease remains the leading cause of mortality worldwide, accounting for over 9.1 million deaths annually according to the World Health Organization. The vast majority of acute myocardial infarctions and ischemic emergencies stem from coronary hypoperfusion that evolves dynamically. Yet, contemporary medical practice remains tethered to snapshot diagnostic modalities—intermittent 12-lead electrocardiograms (ECGs), echocardiograms, and invasive coronary angiographies. These tests provide invaluable anatomical and electrophysiological detail, but only capture a single moment in time. Myocardial ischemia is predominantly transient, exertion-induced, and dynamically responsive to autonomic tone, meaning the critical warning signals frequently hide between scheduled clinical examinations.</w:t>
      </w:r>
    </w:p>
    <w:p>
      <w:pPr>
        <w:spacing w:before="0" w:after="100" w:line="276" w:lineRule="auto"/>
      </w:pPr>
      <w:r>
        <w:rPr>
          <w:rFonts w:ascii="Calibri" w:hAnsi="Calibri"/>
          <w:b w:val="0"/>
          <w:i w:val="0"/>
          <w:color w:val="334155"/>
          <w:sz w:val="21"/>
        </w:rPr>
        <w:t>BeatAhead fundamentally shifts the paradigm of cardiac monitoring from static snapshot evaluation to continuous, personalized, multimodal intelligence. Rather than relying on population-averaged thresholds that fail to detect subtle individual physiological degradation, BeatAhead establishes a rolling personal baseline for each individual user. By continuously evaluating multi-sensor physiological data—fusing Lead II electrocardiography (ECG), photoplethysmography (PPG), pulse oximetry (SpO2), and pulse arrival time (PAT)—BeatAhead extracts 26 rigorously engineered physiological biomarkers that quantify cardiac rhythm, autonomic balance, micro-vascular transit time, and ventricular repolarization strain.</w:t>
      </w:r>
    </w:p>
    <w:tbl>
      <w:tblPr>
        <w:tblW w:type="auto" w:w="0"/>
        <w:jc w:val="center"/>
        <w:tblLayout w:type="fixed"/>
        <w:tblLook w:firstColumn="1" w:firstRow="1" w:lastColumn="0" w:lastRow="0" w:noHBand="0" w:noVBand="1" w:val="04A0"/>
      </w:tblPr>
      <w:tblGrid>
        <w:gridCol w:w="10080"/>
      </w:tblGrid>
      <w:tr>
        <w:tc>
          <w:tcPr>
            <w:tcW w:type="dxa" w:w="10080"/>
            <w:tcMar>
              <w:top w:w="140" w:type="dxa"/>
              <w:bottom w:w="140" w:type="dxa"/>
              <w:left w:w="180" w:type="dxa"/>
              <w:right w:w="160" w:type="dxa"/>
            </w:tcMar>
            <w:shd w:fill="EFF6FF"/>
            <w:tcBorders>
              <w:top w:val="none" w:sz="0" w:space="0" w:color="auto"/>
              <w:bottom w:val="none" w:sz="0" w:space="0" w:color="auto"/>
              <w:left w:val="single" w:sz="36" w:space="0" w:color="2563EB"/>
              <w:right w:val="none" w:sz="0" w:space="0" w:color="auto"/>
            </w:tcBorders>
          </w:tcPr>
          <w:p>
            <w:pPr>
              <w:spacing w:before="0" w:after="60" w:line="276" w:lineRule="auto"/>
            </w:pPr>
            <w:r>
              <w:rPr>
                <w:rFonts w:ascii="Calibri" w:hAnsi="Calibri"/>
                <w:b/>
                <w:i w:val="0"/>
                <w:color w:val="2563EB"/>
                <w:sz w:val="22"/>
              </w:rPr>
              <w:t>✦ The BeatAhead Core Axiom</w:t>
              <w:br/>
            </w:r>
            <w:r>
              <w:rPr>
                <w:rFonts w:ascii="Calibri" w:hAnsi="Calibri"/>
                <w:b w:val="0"/>
                <w:i w:val="0"/>
                <w:color w:val="0F172A"/>
                <w:sz w:val="20"/>
              </w:rPr>
              <w:t>"Traditional medicine asks: Is this measurement within the broad population normal range?</w:t>
              <w:br/>
              <w:t>BeatAhead asks: What is changing from YOUR normal, how fast is it changing, and does the multi-sensor physiological pattern indicate impending myocardial ischemic strain?"</w:t>
            </w:r>
          </w:p>
        </w:tc>
      </w:tr>
    </w:tbl>
    <w:p>
      <w:pPr>
        <w:spacing w:before="40" w:after="40"/>
      </w:pPr>
    </w:p>
    <w:p>
      <w:pPr>
        <w:spacing w:before="0" w:after="100" w:line="276" w:lineRule="auto"/>
      </w:pPr>
      <w:r>
        <w:rPr>
          <w:rFonts w:ascii="Calibri" w:hAnsi="Calibri"/>
          <w:b w:val="0"/>
          <w:i w:val="0"/>
          <w:color w:val="334155"/>
          <w:sz w:val="21"/>
        </w:rPr>
        <w:t>These 26 physiological metrics are evaluated by a frozen, highly optimized Extreme Gradient Boosting (XGBoost) classifier trained on the rigorous VitalDB surgical research cohort. When evaluated under strict 15-minute sliding windows with an enforced 5-minute lead-time prediction gap, the model achieves an Area Under the Precision-Recall Curve (PR-AUC) of 0.3247 (a ~75-fold lift over the 0.0043 random chance baseline) and an Area Under the Receiver Operating Characteristic (AUROC) of 0.8896. This raw model evidence is then synthesized with baseline deviations, peripheral perfusion factors, and temporal trends to generate the Ischemic Stress Index (ISI: 0 to 100)—a calibrated, explainable, and actionable score designed for both patient peace of mind and proactive clinician intervention.</w:t>
      </w:r>
    </w:p>
    <w:p>
      <w:pPr>
        <w:keepNext/>
        <w:spacing w:before="320" w:after="120"/>
        <w:pBdr>
          <w:bottom w:val="single" w:sz="12" w:space="4" w:color="2563EB"/>
        </w:pBdr>
      </w:pPr>
      <w:r>
        <w:rPr>
          <w:rFonts w:ascii="Calibri" w:hAnsi="Calibri"/>
          <w:b/>
          <w:i w:val="0"/>
          <w:color w:val="1E3A8A"/>
          <w:sz w:val="36"/>
        </w:rPr>
        <w:t>2. Clinical Problem Statement &amp; Market Opportunity</w:t>
      </w:r>
    </w:p>
    <w:p>
      <w:pPr>
        <w:keepNext/>
        <w:spacing w:before="240" w:after="80"/>
      </w:pPr>
      <w:r>
        <w:rPr>
          <w:rFonts w:ascii="Calibri" w:hAnsi="Calibri"/>
          <w:b/>
          <w:i w:val="0"/>
          <w:color w:val="2563EB"/>
          <w:sz w:val="28"/>
        </w:rPr>
        <w:t>2.1 The Deadly Reality of Silent Ischemia</w:t>
      </w:r>
    </w:p>
    <w:p>
      <w:pPr>
        <w:spacing w:before="0" w:after="100" w:line="276" w:lineRule="auto"/>
      </w:pPr>
      <w:r>
        <w:rPr>
          <w:rFonts w:ascii="Calibri" w:hAnsi="Calibri"/>
          <w:b w:val="0"/>
          <w:i w:val="0"/>
          <w:color w:val="334155"/>
          <w:sz w:val="21"/>
        </w:rPr>
        <w:t>Clinical evidence demonstrates that up to 21% of all myocardial infarctions strike without classic angina pectoris or chest pressure. This phenomenon of 'silent myocardial ischemia' is disproportionately prevalent in individuals with type 2 diabetes mellitus (due to diabetic autonomic neuropathy), hypertensive patients, women, and the elderly. In these vulnerable populations, coronary arterial blood supply may drop below metabolic myocardial demand without eliciting somatic pain. By the time emergency medical services are summoned, irreversible transmural myocardial necrosis or lethal ventricular arrhythmias (e.g., ventricular fibrillation) have frequently occurred.</w:t>
      </w:r>
    </w:p>
    <w:p>
      <w:pPr>
        <w:keepNext/>
        <w:spacing w:before="240" w:after="80"/>
      </w:pPr>
      <w:r>
        <w:rPr>
          <w:rFonts w:ascii="Calibri" w:hAnsi="Calibri"/>
          <w:b/>
          <w:i w:val="0"/>
          <w:color w:val="2563EB"/>
          <w:sz w:val="28"/>
        </w:rPr>
        <w:t>2.2 Limitations of Existing Consumer Wearables</w:t>
      </w:r>
    </w:p>
    <w:p>
      <w:pPr>
        <w:spacing w:before="0" w:after="100" w:line="276" w:lineRule="auto"/>
      </w:pPr>
      <w:r>
        <w:rPr>
          <w:rFonts w:ascii="Calibri" w:hAnsi="Calibri"/>
          <w:b w:val="0"/>
          <w:i w:val="0"/>
          <w:color w:val="334155"/>
          <w:sz w:val="21"/>
        </w:rPr>
        <w:t>The proliferation of consumer smartwatches and fitness bands has democratized access to photoplethysmographic sensors and single-lead ECG recordings. However, modern commercial wearable devices exhibit critical architectural blindspots:</w:t>
      </w:r>
    </w:p>
    <w:p>
      <w:pPr>
        <w:pStyle w:val="ListBullet"/>
        <w:spacing w:before="20" w:after="60" w:line="276" w:lineRule="auto"/>
      </w:pPr>
      <w:r>
        <w:rPr>
          <w:rFonts w:ascii="Calibri" w:hAnsi="Calibri"/>
          <w:b/>
          <w:i w:val="0"/>
          <w:color w:val="0F172A"/>
          <w:sz w:val="21"/>
        </w:rPr>
        <w:t xml:space="preserve">Siloed, Disjointed Reporting: </w:t>
      </w:r>
      <w:r>
        <w:rPr>
          <w:rFonts w:ascii="Calibri" w:hAnsi="Calibri"/>
          <w:b w:val="0"/>
          <w:i w:val="0"/>
          <w:color w:val="334155"/>
          <w:sz w:val="21"/>
        </w:rPr>
        <w:t>Commercial devices report resting heart rate, oxygen saturation, and rhythm notifications (such as atrial fibrillation flags) as isolated telemetry streams. They lack an integrated mathematical framework that fuses multi-sensor interactions into an ischemic risk trajectory.</w:t>
      </w:r>
    </w:p>
    <w:p>
      <w:pPr>
        <w:pStyle w:val="ListBullet"/>
        <w:spacing w:before="20" w:after="60" w:line="276" w:lineRule="auto"/>
      </w:pPr>
      <w:r>
        <w:rPr>
          <w:rFonts w:ascii="Calibri" w:hAnsi="Calibri"/>
          <w:b/>
          <w:i w:val="0"/>
          <w:color w:val="0F172A"/>
          <w:sz w:val="21"/>
        </w:rPr>
        <w:t xml:space="preserve">Lack of Continuous Repolarization Surveillance: </w:t>
      </w:r>
      <w:r>
        <w:rPr>
          <w:rFonts w:ascii="Calibri" w:hAnsi="Calibri"/>
          <w:b w:val="0"/>
          <w:i w:val="0"/>
          <w:color w:val="334155"/>
          <w:sz w:val="21"/>
        </w:rPr>
        <w:t>Smartwatch ECG features require active user initiation—demanding that the wearer place a finger on the bezel while seated and resting for 30 seconds. Because exertional and silent ischemic episodes occur during normal activity or sleep, snapshot user-triggered ECGs miss over 95% of transient ischemic ST deviations.</w:t>
      </w:r>
    </w:p>
    <w:p>
      <w:pPr>
        <w:pStyle w:val="ListBullet"/>
        <w:spacing w:before="20" w:after="60" w:line="276" w:lineRule="auto"/>
      </w:pPr>
      <w:r>
        <w:rPr>
          <w:rFonts w:ascii="Calibri" w:hAnsi="Calibri"/>
          <w:b/>
          <w:i w:val="0"/>
          <w:color w:val="0F172A"/>
          <w:sz w:val="21"/>
        </w:rPr>
        <w:t xml:space="preserve">Static Population Cutoffs: </w:t>
      </w:r>
      <w:r>
        <w:rPr>
          <w:rFonts w:ascii="Calibri" w:hAnsi="Calibri"/>
          <w:b w:val="0"/>
          <w:i w:val="0"/>
          <w:color w:val="334155"/>
          <w:sz w:val="21"/>
        </w:rPr>
        <w:t>Wearables trigger alerts based on generic population heuristics (e.g., HR &gt; 100 bpm or SpO2 &lt; 90%). For an athlete or a beta-blocked cardiac patient, a heart rate of 92 bpm may represent severe sympathetic overactivation, while for another individual it represents baseline.</w:t>
      </w:r>
    </w:p>
    <w:p>
      <w:pPr>
        <w:keepNext/>
        <w:spacing w:before="240" w:after="80"/>
      </w:pPr>
      <w:r>
        <w:rPr>
          <w:rFonts w:ascii="Calibri" w:hAnsi="Calibri"/>
          <w:b/>
          <w:i w:val="0"/>
          <w:color w:val="2563EB"/>
          <w:sz w:val="28"/>
        </w:rPr>
        <w:t>2.3 The Prospective Lead-Time Imperative</w:t>
      </w:r>
    </w:p>
    <w:p>
      <w:pPr>
        <w:spacing w:before="0" w:after="100" w:line="276" w:lineRule="auto"/>
      </w:pPr>
      <w:r>
        <w:rPr>
          <w:rFonts w:ascii="Calibri" w:hAnsi="Calibri"/>
          <w:b w:val="0"/>
          <w:i w:val="0"/>
          <w:color w:val="334155"/>
          <w:sz w:val="21"/>
        </w:rPr>
        <w:t>In acute coronary syndromes, time is myocardium. The international clinical guideline benchmark is 'Door-to-Balloon in &lt; 90 minutes' for percutaneous coronary intervention (PCI). Providing even a 5-to-15 minute advance warning before overt, sustained ST depression manifests allows clinicians to administer sublingual nitrates, titrate supplemental oxygen, reduce physical exertion, or alert emergency cardiac triage before irreversible infarction occurs.</w:t>
      </w:r>
    </w:p>
    <w:p>
      <w:pPr>
        <w:keepNext/>
        <w:spacing w:before="320" w:after="120"/>
        <w:pBdr>
          <w:bottom w:val="single" w:sz="12" w:space="4" w:color="2563EB"/>
        </w:pBdr>
      </w:pPr>
      <w:r>
        <w:rPr>
          <w:rFonts w:ascii="Calibri" w:hAnsi="Calibri"/>
          <w:b/>
          <w:i w:val="0"/>
          <w:color w:val="1E3A8A"/>
          <w:sz w:val="36"/>
        </w:rPr>
        <w:t>3. Clinical Dataset &amp; Experimental Windowing Methodology</w:t>
      </w:r>
    </w:p>
    <w:p>
      <w:pPr>
        <w:spacing w:before="0" w:after="100" w:line="276" w:lineRule="auto"/>
      </w:pPr>
      <w:r>
        <w:rPr>
          <w:rFonts w:ascii="Calibri" w:hAnsi="Calibri"/>
          <w:b w:val="0"/>
          <w:i w:val="0"/>
          <w:color w:val="334155"/>
          <w:sz w:val="21"/>
        </w:rPr>
        <w:t>A foundational tenet of the BeatAhead research philosophy is absolute scientific reproducibility and clinical honesty. All model development, hyperparameter tuning, cross-validation, and locked test evaluation were conducted on the publicly accessible VitalDB surgical research repository—a comprehensive, high-resolution biosignal cohort recorded at Seoul National University Hospital under institutional review board approval.</w:t>
      </w:r>
    </w:p>
    <w:p>
      <w:pPr>
        <w:keepNext/>
        <w:spacing w:before="160" w:after="80"/>
        <w:jc w:val="center"/>
      </w:pPr>
      <w:r>
        <w:drawing>
          <wp:inline xmlns:a="http://schemas.openxmlformats.org/drawingml/2006/main" xmlns:pic="http://schemas.openxmlformats.org/drawingml/2006/picture">
            <wp:extent cx="5852160" cy="6339840"/>
            <wp:docPr id="2" name="Picture 2"/>
            <wp:cNvGraphicFramePr>
              <a:graphicFrameLocks noChangeAspect="1"/>
            </wp:cNvGraphicFramePr>
            <a:graphic>
              <a:graphicData uri="http://schemas.openxmlformats.org/drawingml/2006/picture">
                <pic:pic>
                  <pic:nvPicPr>
                    <pic:cNvPr id="0" name="fig1_study_design.png"/>
                    <pic:cNvPicPr/>
                  </pic:nvPicPr>
                  <pic:blipFill>
                    <a:blip r:embed="rId12"/>
                    <a:stretch>
                      <a:fillRect/>
                    </a:stretch>
                  </pic:blipFill>
                  <pic:spPr>
                    <a:xfrm>
                      <a:off x="0" y="0"/>
                      <a:ext cx="5852160" cy="6339840"/>
                    </a:xfrm>
                    <a:prstGeom prst="rect"/>
                  </pic:spPr>
                </pic:pic>
              </a:graphicData>
            </a:graphic>
          </wp:inline>
        </w:drawing>
      </w:r>
    </w:p>
    <w:p>
      <w:pPr>
        <w:spacing w:before="0" w:after="200"/>
        <w:jc w:val="center"/>
      </w:pPr>
      <w:r>
        <w:rPr>
          <w:rFonts w:ascii="Calibri" w:hAnsi="Calibri"/>
          <w:b/>
          <w:i w:val="0"/>
          <w:color w:val="1E3A8A"/>
          <w:sz w:val="19"/>
        </w:rPr>
        <w:t xml:space="preserve">Figure 1: </w:t>
      </w:r>
      <w:r>
        <w:rPr>
          <w:rFonts w:ascii="Calibri" w:hAnsi="Calibri"/>
          <w:b w:val="0"/>
          <w:i/>
          <w:color w:val="64748B"/>
          <w:sz w:val="19"/>
        </w:rPr>
        <w:t>Comprehensive BeatAhead study design: 100 VitalDB surgical cases partitioned via strict patient-level separation into 80 Development cases (5-fold stratified cross-validation) and 20 Locked Test cases. Waveforms are preprocessed, filtered for signal quality, and converted into Matrix A (26 features) vs Matrix B (19 features) across 10,817 total 15-minute sliding windows.</w:t>
      </w:r>
    </w:p>
    <w:p>
      <w:pPr>
        <w:keepNext/>
        <w:spacing w:before="240" w:after="80"/>
      </w:pPr>
      <w:r>
        <w:rPr>
          <w:rFonts w:ascii="Calibri" w:hAnsi="Calibri"/>
          <w:b/>
          <w:i w:val="0"/>
          <w:color w:val="2563EB"/>
          <w:sz w:val="28"/>
        </w:rPr>
        <w:t>3.1 Patient-Level Partitioning &amp; Cohort Integrity</w:t>
      </w:r>
    </w:p>
    <w:p>
      <w:pPr>
        <w:spacing w:before="0" w:after="100" w:line="276" w:lineRule="auto"/>
      </w:pPr>
      <w:r>
        <w:rPr>
          <w:rFonts w:ascii="Calibri" w:hAnsi="Calibri"/>
          <w:b w:val="0"/>
          <w:i w:val="0"/>
          <w:color w:val="334155"/>
          <w:sz w:val="21"/>
        </w:rPr>
        <w:t>To prevent intra-subject data leakage—a pervasive flaw in contemporary wearable machine learning literature where sliding windows from the same patient appear in both training and test sets—BeatAhead strictly enforces subject-level partitioning:</w:t>
      </w:r>
    </w:p>
    <w:p>
      <w:pPr>
        <w:pStyle w:val="ListBullet"/>
        <w:spacing w:before="20" w:after="60" w:line="276" w:lineRule="auto"/>
      </w:pPr>
      <w:r>
        <w:rPr>
          <w:rFonts w:ascii="Calibri" w:hAnsi="Calibri"/>
          <w:b/>
          <w:i w:val="0"/>
          <w:color w:val="0F172A"/>
          <w:sz w:val="21"/>
        </w:rPr>
        <w:t xml:space="preserve">Development Cohort (80 Cases): </w:t>
      </w:r>
      <w:r>
        <w:rPr>
          <w:rFonts w:ascii="Calibri" w:hAnsi="Calibri"/>
          <w:b w:val="0"/>
          <w:i w:val="0"/>
          <w:color w:val="334155"/>
          <w:sz w:val="21"/>
        </w:rPr>
        <w:t>8,571 valid 15-minute sliding windows utilized for feature distribution analysis, synthetic calibration, and 5-fold stratified cross-validation. This cohort contained exactly 37 positive ischemic target windows (prior prevalence: 0.4316%).</w:t>
      </w:r>
    </w:p>
    <w:p>
      <w:pPr>
        <w:pStyle w:val="ListBullet"/>
        <w:spacing w:before="20" w:after="60" w:line="276" w:lineRule="auto"/>
      </w:pPr>
      <w:r>
        <w:rPr>
          <w:rFonts w:ascii="Calibri" w:hAnsi="Calibri"/>
          <w:b/>
          <w:i w:val="0"/>
          <w:color w:val="0F172A"/>
          <w:sz w:val="21"/>
        </w:rPr>
        <w:t xml:space="preserve">Locked Test Cohort (20 Cases): </w:t>
      </w:r>
      <w:r>
        <w:rPr>
          <w:rFonts w:ascii="Calibri" w:hAnsi="Calibri"/>
          <w:b w:val="0"/>
          <w:i w:val="0"/>
          <w:color w:val="334155"/>
          <w:sz w:val="21"/>
        </w:rPr>
        <w:t>2,246 valid 15-minute sliding windows completely withheld from all training, feature selection, and threshold tuning steps, serving as an immutable prospective validation benchmark.</w:t>
      </w:r>
    </w:p>
    <w:p>
      <w:pPr>
        <w:keepNext/>
        <w:spacing w:before="240" w:after="80"/>
      </w:pPr>
      <w:r>
        <w:rPr>
          <w:rFonts w:ascii="Calibri" w:hAnsi="Calibri"/>
          <w:b/>
          <w:i w:val="0"/>
          <w:color w:val="2563EB"/>
          <w:sz w:val="28"/>
        </w:rPr>
        <w:t>3.2 Enforced 15-Minute Sliding Window Protocol</w:t>
      </w:r>
    </w:p>
    <w:p>
      <w:pPr>
        <w:spacing w:before="0" w:after="100" w:line="276" w:lineRule="auto"/>
      </w:pPr>
      <w:r>
        <w:rPr>
          <w:rFonts w:ascii="Calibri" w:hAnsi="Calibri"/>
          <w:b w:val="0"/>
          <w:i w:val="0"/>
          <w:color w:val="334155"/>
          <w:sz w:val="21"/>
        </w:rPr>
        <w:t>To evaluate early warning capability rather than contemporaneous event detection, each continuous biosignal stream is segmented into 15-minute (900 s) sliding windows with a 60-second forward stride. Each window is partitioned into three non-overlapping intervals (Figure 2):</w:t>
      </w:r>
    </w:p>
    <w:p>
      <w:pPr>
        <w:keepNext/>
        <w:spacing w:before="160" w:after="80"/>
        <w:jc w:val="center"/>
      </w:pPr>
      <w:r>
        <w:drawing>
          <wp:inline xmlns:a="http://schemas.openxmlformats.org/drawingml/2006/main" xmlns:pic="http://schemas.openxmlformats.org/drawingml/2006/picture">
            <wp:extent cx="5669280" cy="1607164"/>
            <wp:docPr id="3" name="Picture 3"/>
            <wp:cNvGraphicFramePr>
              <a:graphicFrameLocks noChangeAspect="1"/>
            </wp:cNvGraphicFramePr>
            <a:graphic>
              <a:graphicData uri="http://schemas.openxmlformats.org/drawingml/2006/picture">
                <pic:pic>
                  <pic:nvPicPr>
                    <pic:cNvPr id="0" name="fig8_timeline.png"/>
                    <pic:cNvPicPr/>
                  </pic:nvPicPr>
                  <pic:blipFill>
                    <a:blip r:embed="rId13"/>
                    <a:stretch>
                      <a:fillRect/>
                    </a:stretch>
                  </pic:blipFill>
                  <pic:spPr>
                    <a:xfrm>
                      <a:off x="0" y="0"/>
                      <a:ext cx="5669280" cy="1607164"/>
                    </a:xfrm>
                    <a:prstGeom prst="rect"/>
                  </pic:spPr>
                </pic:pic>
              </a:graphicData>
            </a:graphic>
          </wp:inline>
        </w:drawing>
      </w:r>
    </w:p>
    <w:p>
      <w:pPr>
        <w:spacing w:before="0" w:after="200"/>
        <w:jc w:val="center"/>
      </w:pPr>
      <w:r>
        <w:rPr>
          <w:rFonts w:ascii="Calibri" w:hAnsi="Calibri"/>
          <w:b/>
          <w:i w:val="0"/>
          <w:color w:val="1E3A8A"/>
          <w:sz w:val="19"/>
        </w:rPr>
        <w:t xml:space="preserve">Figure 2: </w:t>
      </w:r>
      <w:r>
        <w:rPr>
          <w:rFonts w:ascii="Calibri" w:hAnsi="Calibri"/>
          <w:b w:val="0"/>
          <w:i/>
          <w:color w:val="64748B"/>
          <w:sz w:val="19"/>
        </w:rPr>
        <w:t>The BeatAhead Enforced 15-Minute Sliding Window Protocol. 5-minute Observation Window (features extracted: t=0 to 300 s); 5-minute Lead-Time Gap (strictly blind to all data: t=300 to 600 s); 5-minute Target Horizon (ischemic event verification: t=600 to 900 s).</w:t>
      </w:r>
    </w:p>
    <w:p>
      <w:pPr>
        <w:pStyle w:val="ListBullet"/>
        <w:spacing w:before="20" w:after="60" w:line="276" w:lineRule="auto"/>
      </w:pPr>
      <w:r>
        <w:rPr>
          <w:rFonts w:ascii="Calibri" w:hAnsi="Calibri"/>
          <w:b/>
          <w:i w:val="0"/>
          <w:color w:val="0F172A"/>
          <w:sz w:val="21"/>
        </w:rPr>
        <w:t xml:space="preserve">1. Observation Window (t = 0 to 300 s, 5 minutes): </w:t>
      </w:r>
      <w:r>
        <w:rPr>
          <w:rFonts w:ascii="Calibri" w:hAnsi="Calibri"/>
          <w:b w:val="0"/>
          <w:i w:val="0"/>
          <w:color w:val="334155"/>
          <w:sz w:val="21"/>
        </w:rPr>
        <w:t>All 26 physiological features across ECG, PPG, SpO2, and PAT are extracted exclusively from this 5-minute window.</w:t>
      </w:r>
    </w:p>
    <w:p>
      <w:pPr>
        <w:pStyle w:val="ListBullet"/>
        <w:spacing w:before="20" w:after="60" w:line="276" w:lineRule="auto"/>
      </w:pPr>
      <w:r>
        <w:rPr>
          <w:rFonts w:ascii="Calibri" w:hAnsi="Calibri"/>
          <w:b/>
          <w:i w:val="0"/>
          <w:color w:val="0F172A"/>
          <w:sz w:val="21"/>
        </w:rPr>
        <w:t xml:space="preserve">2. Lead-Time Prediction Gap (t = 300 to 600 s, 5 minutes): </w:t>
      </w:r>
      <w:r>
        <w:rPr>
          <w:rFonts w:ascii="Calibri" w:hAnsi="Calibri"/>
          <w:b w:val="0"/>
          <w:i w:val="0"/>
          <w:color w:val="334155"/>
          <w:sz w:val="21"/>
        </w:rPr>
        <w:t>A mandatory 5-minute buffer during which all biosignals are masked from the model. This guarantees that any alert triggered at t=300 s provides at least 5 minutes of genuine advance warning.</w:t>
      </w:r>
    </w:p>
    <w:p>
      <w:pPr>
        <w:pStyle w:val="ListBullet"/>
        <w:spacing w:before="20" w:after="60" w:line="276" w:lineRule="auto"/>
      </w:pPr>
      <w:r>
        <w:rPr>
          <w:rFonts w:ascii="Calibri" w:hAnsi="Calibri"/>
          <w:b/>
          <w:i w:val="0"/>
          <w:color w:val="0F172A"/>
          <w:sz w:val="21"/>
        </w:rPr>
        <w:t xml:space="preserve">3. Target Evaluation Horizon (t = 600 to 900 s, 5 minutes): </w:t>
      </w:r>
      <w:r>
        <w:rPr>
          <w:rFonts w:ascii="Calibri" w:hAnsi="Calibri"/>
          <w:b w:val="0"/>
          <w:i w:val="0"/>
          <w:color w:val="334155"/>
          <w:sz w:val="21"/>
        </w:rPr>
        <w:t>The ground-truth clinical outcome is evaluated. A window is labeled positive (y = 1) if and only if continuous ST-segment depression &lt;= -1.0 mm persists for at least 60 consecutive seconds during this interval.</w:t>
      </w:r>
    </w:p>
    <w:p>
      <w:pPr>
        <w:keepNext/>
        <w:spacing w:before="320" w:after="120"/>
        <w:pBdr>
          <w:bottom w:val="single" w:sz="12" w:space="4" w:color="2563EB"/>
        </w:pBdr>
      </w:pPr>
      <w:r>
        <w:rPr>
          <w:rFonts w:ascii="Calibri" w:hAnsi="Calibri"/>
          <w:b/>
          <w:i w:val="0"/>
          <w:color w:val="1E3A8A"/>
          <w:sz w:val="36"/>
        </w:rPr>
        <w:t>4. Feature Engineering: The 26 Matrix A Biomarkers</w:t>
      </w:r>
    </w:p>
    <w:p>
      <w:pPr>
        <w:spacing w:before="0" w:after="100" w:line="276" w:lineRule="auto"/>
      </w:pPr>
      <w:r>
        <w:rPr>
          <w:rFonts w:ascii="Calibri" w:hAnsi="Calibri"/>
          <w:b w:val="0"/>
          <w:i w:val="0"/>
          <w:color w:val="334155"/>
          <w:sz w:val="21"/>
        </w:rPr>
        <w:t>BeatAhead processes multi-sensor data through a specialized feature engineering pipeline designed to reject noise, motion artifacts, and physiological outliers while capturing subtle autonomic, vascular, and repolarization shifts. The 26 features are organized into five physiological domains (Table 1):</w:t>
      </w:r>
    </w:p>
    <w:tbl>
      <w:tblPr>
        <w:tblW w:type="auto" w:w="0"/>
        <w:jc w:val="center"/>
        <w:tblLayout w:type="fixed"/>
        <w:tblLook w:firstColumn="1" w:firstRow="1" w:lastColumn="0" w:lastRow="0" w:noHBand="0" w:noVBand="1" w:val="04A0"/>
      </w:tblPr>
      <w:tblGrid>
        <w:gridCol w:w="2016"/>
        <w:gridCol w:w="2016"/>
        <w:gridCol w:w="2016"/>
        <w:gridCol w:w="2016"/>
        <w:gridCol w:w="2016"/>
      </w:tblGrid>
      <w:tr>
        <w:tc>
          <w:tcPr>
            <w:tcW w:type="dxa" w:w="1872"/>
            <w:tcMar>
              <w:top w:w="120" w:type="dxa"/>
              <w:bottom w:w="120" w:type="dxa"/>
              <w:left w:w="100" w:type="dxa"/>
              <w:right w:w="100" w:type="dxa"/>
            </w:tcMar>
            <w:shd w:fill="1E3A8A"/>
            <w:tcBorders>
              <w:top w:val="single" w:sz="8" w:space="0" w:color="1E3A8A"/>
              <w:bottom w:val="single" w:sz="16" w:space="0" w:color="CBD5E1"/>
              <w:left w:val="none" w:sz="0" w:space="0" w:color="auto"/>
              <w:right w:val="none" w:sz="0" w:space="0" w:color="auto"/>
            </w:tcBorders>
          </w:tcPr>
          <w:p>
            <w:pPr>
              <w:spacing w:before="0" w:after="0"/>
              <w:jc w:val="left"/>
            </w:pPr>
            <w:r>
              <w:rPr>
                <w:rFonts w:ascii="Calibri" w:hAnsi="Calibri"/>
                <w:b/>
                <w:i w:val="0"/>
                <w:color w:val="FFFFFF"/>
                <w:sz w:val="19"/>
              </w:rPr>
              <w:t>Domain</w:t>
            </w:r>
          </w:p>
        </w:tc>
        <w:tc>
          <w:tcPr>
            <w:tcW w:type="dxa" w:w="1872"/>
            <w:tcMar>
              <w:top w:w="120" w:type="dxa"/>
              <w:bottom w:w="120" w:type="dxa"/>
              <w:left w:w="100" w:type="dxa"/>
              <w:right w:w="100" w:type="dxa"/>
            </w:tcMar>
            <w:shd w:fill="1E3A8A"/>
            <w:tcBorders>
              <w:top w:val="single" w:sz="8" w:space="0" w:color="1E3A8A"/>
              <w:bottom w:val="single" w:sz="16" w:space="0" w:color="CBD5E1"/>
              <w:left w:val="none" w:sz="0" w:space="0" w:color="auto"/>
              <w:right w:val="none" w:sz="0" w:space="0" w:color="auto"/>
            </w:tcBorders>
          </w:tcPr>
          <w:p>
            <w:pPr>
              <w:spacing w:before="0" w:after="0"/>
              <w:jc w:val="left"/>
            </w:pPr>
            <w:r>
              <w:rPr>
                <w:rFonts w:ascii="Calibri" w:hAnsi="Calibri"/>
                <w:b/>
                <w:i w:val="0"/>
                <w:color w:val="FFFFFF"/>
                <w:sz w:val="19"/>
              </w:rPr>
              <w:t>Feature Code</w:t>
            </w:r>
          </w:p>
        </w:tc>
        <w:tc>
          <w:tcPr>
            <w:tcW w:type="dxa" w:w="2448"/>
            <w:tcMar>
              <w:top w:w="120" w:type="dxa"/>
              <w:bottom w:w="120" w:type="dxa"/>
              <w:left w:w="100" w:type="dxa"/>
              <w:right w:w="100" w:type="dxa"/>
            </w:tcMar>
            <w:shd w:fill="1E3A8A"/>
            <w:tcBorders>
              <w:top w:val="single" w:sz="8" w:space="0" w:color="1E3A8A"/>
              <w:bottom w:val="single" w:sz="16" w:space="0" w:color="CBD5E1"/>
              <w:left w:val="none" w:sz="0" w:space="0" w:color="auto"/>
              <w:right w:val="none" w:sz="0" w:space="0" w:color="auto"/>
            </w:tcBorders>
          </w:tcPr>
          <w:p>
            <w:pPr>
              <w:spacing w:before="0" w:after="0"/>
              <w:jc w:val="left"/>
            </w:pPr>
            <w:r>
              <w:rPr>
                <w:rFonts w:ascii="Calibri" w:hAnsi="Calibri"/>
                <w:b/>
                <w:i w:val="0"/>
                <w:color w:val="FFFFFF"/>
                <w:sz w:val="19"/>
              </w:rPr>
              <w:t>Physiological Measurement</w:t>
            </w:r>
          </w:p>
        </w:tc>
        <w:tc>
          <w:tcPr>
            <w:tcW w:type="dxa" w:w="1584"/>
            <w:tcMar>
              <w:top w:w="120" w:type="dxa"/>
              <w:bottom w:w="120" w:type="dxa"/>
              <w:left w:w="100" w:type="dxa"/>
              <w:right w:w="100" w:type="dxa"/>
            </w:tcMar>
            <w:shd w:fill="1E3A8A"/>
            <w:tcBorders>
              <w:top w:val="single" w:sz="8" w:space="0" w:color="1E3A8A"/>
              <w:bottom w:val="single" w:sz="16" w:space="0" w:color="CBD5E1"/>
              <w:left w:val="none" w:sz="0" w:space="0" w:color="auto"/>
              <w:right w:val="none" w:sz="0" w:space="0" w:color="auto"/>
            </w:tcBorders>
          </w:tcPr>
          <w:p>
            <w:pPr>
              <w:spacing w:before="0" w:after="0"/>
              <w:jc w:val="left"/>
            </w:pPr>
            <w:r>
              <w:rPr>
                <w:rFonts w:ascii="Calibri" w:hAnsi="Calibri"/>
                <w:b/>
                <w:i w:val="0"/>
                <w:color w:val="FFFFFF"/>
                <w:sz w:val="19"/>
              </w:rPr>
              <w:t>Valid Bounds</w:t>
            </w:r>
          </w:p>
        </w:tc>
        <w:tc>
          <w:tcPr>
            <w:tcW w:type="dxa" w:w="2304"/>
            <w:tcMar>
              <w:top w:w="120" w:type="dxa"/>
              <w:bottom w:w="120" w:type="dxa"/>
              <w:left w:w="100" w:type="dxa"/>
              <w:right w:w="100" w:type="dxa"/>
            </w:tcMar>
            <w:shd w:fill="1E3A8A"/>
            <w:tcBorders>
              <w:top w:val="single" w:sz="8" w:space="0" w:color="1E3A8A"/>
              <w:bottom w:val="single" w:sz="16" w:space="0" w:color="CBD5E1"/>
              <w:left w:val="none" w:sz="0" w:space="0" w:color="auto"/>
              <w:right w:val="none" w:sz="0" w:space="0" w:color="auto"/>
            </w:tcBorders>
          </w:tcPr>
          <w:p>
            <w:pPr>
              <w:spacing w:before="0" w:after="0"/>
              <w:jc w:val="left"/>
            </w:pPr>
            <w:r>
              <w:rPr>
                <w:rFonts w:ascii="Calibri" w:hAnsi="Calibri"/>
                <w:b/>
                <w:i w:val="0"/>
                <w:color w:val="FFFFFF"/>
                <w:sz w:val="19"/>
              </w:rPr>
              <w:t>Clinical Significance</w:t>
            </w:r>
          </w:p>
        </w:tc>
      </w:tr>
      <w:tr>
        <w:tc>
          <w:tcPr>
            <w:tcW w:type="dxa" w:w="1872"/>
            <w:tcMar>
              <w:top w:w="80" w:type="dxa"/>
              <w:bottom w:w="80" w:type="dxa"/>
              <w:left w:w="100" w:type="dxa"/>
              <w:right w:w="100" w:type="dxa"/>
            </w:tcMar>
            <w:shd w:fill="FFFFFF"/>
            <w:tcBorders>
              <w:top w:val="single" w:sz="4" w:space="0" w:color="CBD5E1"/>
              <w:bottom w:val="single" w:sz="4" w:space="0" w:color="CBD5E1"/>
              <w:left w:val="none" w:sz="0" w:space="0" w:color="auto"/>
              <w:right w:val="none" w:sz="0" w:space="0" w:color="auto"/>
            </w:tcBorders>
          </w:tcPr>
          <w:p>
            <w:pPr>
              <w:spacing w:before="0" w:after="0" w:line="252" w:lineRule="auto"/>
              <w:jc w:val="left"/>
            </w:pPr>
            <w:r>
              <w:rPr>
                <w:rFonts w:ascii="Calibri" w:hAnsi="Calibri"/>
                <w:b w:val="0"/>
                <w:i w:val="0"/>
                <w:color w:val="334155"/>
                <w:sz w:val="18"/>
              </w:rPr>
              <w:t>ECG Autonomic</w:t>
            </w:r>
          </w:p>
        </w:tc>
        <w:tc>
          <w:tcPr>
            <w:tcW w:type="dxa" w:w="1872"/>
            <w:tcMar>
              <w:top w:w="80" w:type="dxa"/>
              <w:bottom w:w="80" w:type="dxa"/>
              <w:left w:w="100" w:type="dxa"/>
              <w:right w:w="100" w:type="dxa"/>
            </w:tcMar>
            <w:shd w:fill="FFFFFF"/>
            <w:tcBorders>
              <w:top w:val="single" w:sz="4" w:space="0" w:color="CBD5E1"/>
              <w:bottom w:val="single" w:sz="4" w:space="0" w:color="CBD5E1"/>
              <w:left w:val="none" w:sz="0" w:space="0" w:color="auto"/>
              <w:right w:val="none" w:sz="0" w:space="0" w:color="auto"/>
            </w:tcBorders>
          </w:tcPr>
          <w:p>
            <w:pPr>
              <w:spacing w:before="0" w:after="0" w:line="252" w:lineRule="auto"/>
              <w:jc w:val="left"/>
            </w:pPr>
            <w:r>
              <w:rPr>
                <w:rFonts w:ascii="Calibri" w:hAnsi="Calibri"/>
                <w:b w:val="0"/>
                <w:i w:val="0"/>
                <w:color w:val="334155"/>
                <w:sz w:val="18"/>
              </w:rPr>
              <w:t>ecg_hr_mean</w:t>
            </w:r>
          </w:p>
        </w:tc>
        <w:tc>
          <w:tcPr>
            <w:tcW w:type="dxa" w:w="2448"/>
            <w:tcMar>
              <w:top w:w="80" w:type="dxa"/>
              <w:bottom w:w="80" w:type="dxa"/>
              <w:left w:w="100" w:type="dxa"/>
              <w:right w:w="100" w:type="dxa"/>
            </w:tcMar>
            <w:shd w:fill="FFFFFF"/>
            <w:tcBorders>
              <w:top w:val="single" w:sz="4" w:space="0" w:color="CBD5E1"/>
              <w:bottom w:val="single" w:sz="4" w:space="0" w:color="CBD5E1"/>
              <w:left w:val="none" w:sz="0" w:space="0" w:color="auto"/>
              <w:right w:val="none" w:sz="0" w:space="0" w:color="auto"/>
            </w:tcBorders>
          </w:tcPr>
          <w:p>
            <w:pPr>
              <w:spacing w:before="0" w:after="0" w:line="252" w:lineRule="auto"/>
              <w:jc w:val="left"/>
            </w:pPr>
            <w:r>
              <w:rPr>
                <w:rFonts w:ascii="Calibri" w:hAnsi="Calibri"/>
                <w:b w:val="0"/>
                <w:i w:val="0"/>
                <w:color w:val="334155"/>
                <w:sz w:val="18"/>
              </w:rPr>
              <w:t>Mean Heart Rate</w:t>
            </w:r>
          </w:p>
        </w:tc>
        <w:tc>
          <w:tcPr>
            <w:tcW w:type="dxa" w:w="1584"/>
            <w:tcMar>
              <w:top w:w="80" w:type="dxa"/>
              <w:bottom w:w="80" w:type="dxa"/>
              <w:left w:w="100" w:type="dxa"/>
              <w:right w:w="100" w:type="dxa"/>
            </w:tcMar>
            <w:shd w:fill="FFFFFF"/>
            <w:tcBorders>
              <w:top w:val="single" w:sz="4" w:space="0" w:color="CBD5E1"/>
              <w:bottom w:val="single" w:sz="4" w:space="0" w:color="CBD5E1"/>
              <w:left w:val="none" w:sz="0" w:space="0" w:color="auto"/>
              <w:right w:val="none" w:sz="0" w:space="0" w:color="auto"/>
            </w:tcBorders>
          </w:tcPr>
          <w:p>
            <w:pPr>
              <w:spacing w:before="0" w:after="0" w:line="252" w:lineRule="auto"/>
              <w:jc w:val="left"/>
            </w:pPr>
            <w:r>
              <w:rPr>
                <w:rFonts w:ascii="Calibri" w:hAnsi="Calibri"/>
                <w:b w:val="0"/>
                <w:i w:val="0"/>
                <w:color w:val="334155"/>
                <w:sz w:val="18"/>
              </w:rPr>
              <w:t>[20, 300] bpm</w:t>
            </w:r>
          </w:p>
        </w:tc>
        <w:tc>
          <w:tcPr>
            <w:tcW w:type="dxa" w:w="2304"/>
            <w:tcMar>
              <w:top w:w="80" w:type="dxa"/>
              <w:bottom w:w="80" w:type="dxa"/>
              <w:left w:w="100" w:type="dxa"/>
              <w:right w:w="100" w:type="dxa"/>
            </w:tcMar>
            <w:shd w:fill="FFFFFF"/>
            <w:tcBorders>
              <w:top w:val="single" w:sz="4" w:space="0" w:color="CBD5E1"/>
              <w:bottom w:val="single" w:sz="4" w:space="0" w:color="CBD5E1"/>
              <w:left w:val="none" w:sz="0" w:space="0" w:color="auto"/>
              <w:right w:val="none" w:sz="0" w:space="0" w:color="auto"/>
            </w:tcBorders>
          </w:tcPr>
          <w:p>
            <w:pPr>
              <w:spacing w:before="0" w:after="0" w:line="252" w:lineRule="auto"/>
              <w:jc w:val="left"/>
            </w:pPr>
            <w:r>
              <w:rPr>
                <w:rFonts w:ascii="Calibri" w:hAnsi="Calibri"/>
                <w:b w:val="0"/>
                <w:i w:val="0"/>
                <w:color w:val="334155"/>
                <w:sz w:val="18"/>
              </w:rPr>
              <w:t>Basal chronotropic tone and exertional demand</w:t>
            </w:r>
          </w:p>
        </w:tc>
      </w:tr>
      <w:tr>
        <w:tc>
          <w:tcPr>
            <w:tcW w:type="dxa" w:w="1872"/>
            <w:tcMar>
              <w:top w:w="80" w:type="dxa"/>
              <w:bottom w:w="80" w:type="dxa"/>
              <w:left w:w="100" w:type="dxa"/>
              <w:right w:w="100" w:type="dxa"/>
            </w:tcMar>
            <w:shd w:fill="F8FAFC"/>
            <w:tcBorders>
              <w:top w:val="single" w:sz="4" w:space="0" w:color="CBD5E1"/>
              <w:bottom w:val="single" w:sz="4" w:space="0" w:color="CBD5E1"/>
              <w:left w:val="none" w:sz="0" w:space="0" w:color="auto"/>
              <w:right w:val="none" w:sz="0" w:space="0" w:color="auto"/>
            </w:tcBorders>
          </w:tcPr>
          <w:p>
            <w:pPr>
              <w:spacing w:before="0" w:after="0" w:line="252" w:lineRule="auto"/>
              <w:jc w:val="left"/>
            </w:pPr>
            <w:r>
              <w:rPr>
                <w:rFonts w:ascii="Calibri" w:hAnsi="Calibri"/>
                <w:b w:val="0"/>
                <w:i w:val="0"/>
                <w:color w:val="334155"/>
                <w:sz w:val="18"/>
              </w:rPr>
              <w:t>ECG Autonomic</w:t>
            </w:r>
          </w:p>
        </w:tc>
        <w:tc>
          <w:tcPr>
            <w:tcW w:type="dxa" w:w="1872"/>
            <w:tcMar>
              <w:top w:w="80" w:type="dxa"/>
              <w:bottom w:w="80" w:type="dxa"/>
              <w:left w:w="100" w:type="dxa"/>
              <w:right w:w="100" w:type="dxa"/>
            </w:tcMar>
            <w:shd w:fill="F8FAFC"/>
            <w:tcBorders>
              <w:top w:val="single" w:sz="4" w:space="0" w:color="CBD5E1"/>
              <w:bottom w:val="single" w:sz="4" w:space="0" w:color="CBD5E1"/>
              <w:left w:val="none" w:sz="0" w:space="0" w:color="auto"/>
              <w:right w:val="none" w:sz="0" w:space="0" w:color="auto"/>
            </w:tcBorders>
          </w:tcPr>
          <w:p>
            <w:pPr>
              <w:spacing w:before="0" w:after="0" w:line="252" w:lineRule="auto"/>
              <w:jc w:val="left"/>
            </w:pPr>
            <w:r>
              <w:rPr>
                <w:rFonts w:ascii="Calibri" w:hAnsi="Calibri"/>
                <w:b w:val="0"/>
                <w:i w:val="0"/>
                <w:color w:val="334155"/>
                <w:sz w:val="18"/>
              </w:rPr>
              <w:t>ecg_hr_std</w:t>
            </w:r>
          </w:p>
        </w:tc>
        <w:tc>
          <w:tcPr>
            <w:tcW w:type="dxa" w:w="2448"/>
            <w:tcMar>
              <w:top w:w="80" w:type="dxa"/>
              <w:bottom w:w="80" w:type="dxa"/>
              <w:left w:w="100" w:type="dxa"/>
              <w:right w:w="100" w:type="dxa"/>
            </w:tcMar>
            <w:shd w:fill="F8FAFC"/>
            <w:tcBorders>
              <w:top w:val="single" w:sz="4" w:space="0" w:color="CBD5E1"/>
              <w:bottom w:val="single" w:sz="4" w:space="0" w:color="CBD5E1"/>
              <w:left w:val="none" w:sz="0" w:space="0" w:color="auto"/>
              <w:right w:val="none" w:sz="0" w:space="0" w:color="auto"/>
            </w:tcBorders>
          </w:tcPr>
          <w:p>
            <w:pPr>
              <w:spacing w:before="0" w:after="0" w:line="252" w:lineRule="auto"/>
              <w:jc w:val="left"/>
            </w:pPr>
            <w:r>
              <w:rPr>
                <w:rFonts w:ascii="Calibri" w:hAnsi="Calibri"/>
                <w:b w:val="0"/>
                <w:i w:val="0"/>
                <w:color w:val="334155"/>
                <w:sz w:val="18"/>
              </w:rPr>
              <w:t>Heart Rate Variability (Std)</w:t>
            </w:r>
          </w:p>
        </w:tc>
        <w:tc>
          <w:tcPr>
            <w:tcW w:type="dxa" w:w="1584"/>
            <w:tcMar>
              <w:top w:w="80" w:type="dxa"/>
              <w:bottom w:w="80" w:type="dxa"/>
              <w:left w:w="100" w:type="dxa"/>
              <w:right w:w="100" w:type="dxa"/>
            </w:tcMar>
            <w:shd w:fill="F8FAFC"/>
            <w:tcBorders>
              <w:top w:val="single" w:sz="4" w:space="0" w:color="CBD5E1"/>
              <w:bottom w:val="single" w:sz="4" w:space="0" w:color="CBD5E1"/>
              <w:left w:val="none" w:sz="0" w:space="0" w:color="auto"/>
              <w:right w:val="none" w:sz="0" w:space="0" w:color="auto"/>
            </w:tcBorders>
          </w:tcPr>
          <w:p>
            <w:pPr>
              <w:spacing w:before="0" w:after="0" w:line="252" w:lineRule="auto"/>
              <w:jc w:val="left"/>
            </w:pPr>
            <w:r>
              <w:rPr>
                <w:rFonts w:ascii="Calibri" w:hAnsi="Calibri"/>
                <w:b w:val="0"/>
                <w:i w:val="0"/>
                <w:color w:val="334155"/>
                <w:sz w:val="18"/>
              </w:rPr>
              <w:t>[0, 150] bpm</w:t>
            </w:r>
          </w:p>
        </w:tc>
        <w:tc>
          <w:tcPr>
            <w:tcW w:type="dxa" w:w="2304"/>
            <w:tcMar>
              <w:top w:w="80" w:type="dxa"/>
              <w:bottom w:w="80" w:type="dxa"/>
              <w:left w:w="100" w:type="dxa"/>
              <w:right w:w="100" w:type="dxa"/>
            </w:tcMar>
            <w:shd w:fill="F8FAFC"/>
            <w:tcBorders>
              <w:top w:val="single" w:sz="4" w:space="0" w:color="CBD5E1"/>
              <w:bottom w:val="single" w:sz="4" w:space="0" w:color="CBD5E1"/>
              <w:left w:val="none" w:sz="0" w:space="0" w:color="auto"/>
              <w:right w:val="none" w:sz="0" w:space="0" w:color="auto"/>
            </w:tcBorders>
          </w:tcPr>
          <w:p>
            <w:pPr>
              <w:spacing w:before="0" w:after="0" w:line="252" w:lineRule="auto"/>
              <w:jc w:val="left"/>
            </w:pPr>
            <w:r>
              <w:rPr>
                <w:rFonts w:ascii="Calibri" w:hAnsi="Calibri"/>
                <w:b w:val="0"/>
                <w:i w:val="0"/>
                <w:color w:val="334155"/>
                <w:sz w:val="18"/>
              </w:rPr>
              <w:t>Sympathovagal balance and autonomic stability</w:t>
            </w:r>
          </w:p>
        </w:tc>
      </w:tr>
      <w:tr>
        <w:tc>
          <w:tcPr>
            <w:tcW w:type="dxa" w:w="1872"/>
            <w:tcMar>
              <w:top w:w="80" w:type="dxa"/>
              <w:bottom w:w="80" w:type="dxa"/>
              <w:left w:w="100" w:type="dxa"/>
              <w:right w:w="100" w:type="dxa"/>
            </w:tcMar>
            <w:shd w:fill="FFFFFF"/>
            <w:tcBorders>
              <w:top w:val="single" w:sz="4" w:space="0" w:color="CBD5E1"/>
              <w:bottom w:val="single" w:sz="4" w:space="0" w:color="CBD5E1"/>
              <w:left w:val="none" w:sz="0" w:space="0" w:color="auto"/>
              <w:right w:val="none" w:sz="0" w:space="0" w:color="auto"/>
            </w:tcBorders>
          </w:tcPr>
          <w:p>
            <w:pPr>
              <w:spacing w:before="0" w:after="0" w:line="252" w:lineRule="auto"/>
              <w:jc w:val="left"/>
            </w:pPr>
            <w:r>
              <w:rPr>
                <w:rFonts w:ascii="Calibri" w:hAnsi="Calibri"/>
                <w:b w:val="0"/>
                <w:i w:val="0"/>
                <w:color w:val="334155"/>
                <w:sz w:val="18"/>
              </w:rPr>
              <w:t>ECG Autonomic</w:t>
            </w:r>
          </w:p>
        </w:tc>
        <w:tc>
          <w:tcPr>
            <w:tcW w:type="dxa" w:w="1872"/>
            <w:tcMar>
              <w:top w:w="80" w:type="dxa"/>
              <w:bottom w:w="80" w:type="dxa"/>
              <w:left w:w="100" w:type="dxa"/>
              <w:right w:w="100" w:type="dxa"/>
            </w:tcMar>
            <w:shd w:fill="FFFFFF"/>
            <w:tcBorders>
              <w:top w:val="single" w:sz="4" w:space="0" w:color="CBD5E1"/>
              <w:bottom w:val="single" w:sz="4" w:space="0" w:color="CBD5E1"/>
              <w:left w:val="none" w:sz="0" w:space="0" w:color="auto"/>
              <w:right w:val="none" w:sz="0" w:space="0" w:color="auto"/>
            </w:tcBorders>
          </w:tcPr>
          <w:p>
            <w:pPr>
              <w:spacing w:before="0" w:after="0" w:line="252" w:lineRule="auto"/>
              <w:jc w:val="left"/>
            </w:pPr>
            <w:r>
              <w:rPr>
                <w:rFonts w:ascii="Calibri" w:hAnsi="Calibri"/>
                <w:b w:val="0"/>
                <w:i w:val="0"/>
                <w:color w:val="334155"/>
                <w:sz w:val="18"/>
              </w:rPr>
              <w:t>ecg_rr_sdnn</w:t>
            </w:r>
          </w:p>
        </w:tc>
        <w:tc>
          <w:tcPr>
            <w:tcW w:type="dxa" w:w="2448"/>
            <w:tcMar>
              <w:top w:w="80" w:type="dxa"/>
              <w:bottom w:w="80" w:type="dxa"/>
              <w:left w:w="100" w:type="dxa"/>
              <w:right w:w="100" w:type="dxa"/>
            </w:tcMar>
            <w:shd w:fill="FFFFFF"/>
            <w:tcBorders>
              <w:top w:val="single" w:sz="4" w:space="0" w:color="CBD5E1"/>
              <w:bottom w:val="single" w:sz="4" w:space="0" w:color="CBD5E1"/>
              <w:left w:val="none" w:sz="0" w:space="0" w:color="auto"/>
              <w:right w:val="none" w:sz="0" w:space="0" w:color="auto"/>
            </w:tcBorders>
          </w:tcPr>
          <w:p>
            <w:pPr>
              <w:spacing w:before="0" w:after="0" w:line="252" w:lineRule="auto"/>
              <w:jc w:val="left"/>
            </w:pPr>
            <w:r>
              <w:rPr>
                <w:rFonts w:ascii="Calibri" w:hAnsi="Calibri"/>
                <w:b w:val="0"/>
                <w:i w:val="0"/>
                <w:color w:val="334155"/>
                <w:sz w:val="18"/>
              </w:rPr>
              <w:t>SDNN (R-R Interval Std)</w:t>
            </w:r>
          </w:p>
        </w:tc>
        <w:tc>
          <w:tcPr>
            <w:tcW w:type="dxa" w:w="1584"/>
            <w:tcMar>
              <w:top w:w="80" w:type="dxa"/>
              <w:bottom w:w="80" w:type="dxa"/>
              <w:left w:w="100" w:type="dxa"/>
              <w:right w:w="100" w:type="dxa"/>
            </w:tcMar>
            <w:shd w:fill="FFFFFF"/>
            <w:tcBorders>
              <w:top w:val="single" w:sz="4" w:space="0" w:color="CBD5E1"/>
              <w:bottom w:val="single" w:sz="4" w:space="0" w:color="CBD5E1"/>
              <w:left w:val="none" w:sz="0" w:space="0" w:color="auto"/>
              <w:right w:val="none" w:sz="0" w:space="0" w:color="auto"/>
            </w:tcBorders>
          </w:tcPr>
          <w:p>
            <w:pPr>
              <w:spacing w:before="0" w:after="0" w:line="252" w:lineRule="auto"/>
              <w:jc w:val="left"/>
            </w:pPr>
            <w:r>
              <w:rPr>
                <w:rFonts w:ascii="Calibri" w:hAnsi="Calibri"/>
                <w:b w:val="0"/>
                <w:i w:val="0"/>
                <w:color w:val="334155"/>
                <w:sz w:val="18"/>
              </w:rPr>
              <w:t>[0, 1000] ms</w:t>
            </w:r>
          </w:p>
        </w:tc>
        <w:tc>
          <w:tcPr>
            <w:tcW w:type="dxa" w:w="2304"/>
            <w:tcMar>
              <w:top w:w="80" w:type="dxa"/>
              <w:bottom w:w="80" w:type="dxa"/>
              <w:left w:w="100" w:type="dxa"/>
              <w:right w:w="100" w:type="dxa"/>
            </w:tcMar>
            <w:shd w:fill="FFFFFF"/>
            <w:tcBorders>
              <w:top w:val="single" w:sz="4" w:space="0" w:color="CBD5E1"/>
              <w:bottom w:val="single" w:sz="4" w:space="0" w:color="CBD5E1"/>
              <w:left w:val="none" w:sz="0" w:space="0" w:color="auto"/>
              <w:right w:val="none" w:sz="0" w:space="0" w:color="auto"/>
            </w:tcBorders>
          </w:tcPr>
          <w:p>
            <w:pPr>
              <w:spacing w:before="0" w:after="0" w:line="252" w:lineRule="auto"/>
              <w:jc w:val="left"/>
            </w:pPr>
            <w:r>
              <w:rPr>
                <w:rFonts w:ascii="Calibri" w:hAnsi="Calibri"/>
                <w:b w:val="0"/>
                <w:i w:val="0"/>
                <w:color w:val="334155"/>
                <w:sz w:val="18"/>
              </w:rPr>
              <w:t>Total autonomic variability over 5 minutes</w:t>
            </w:r>
          </w:p>
        </w:tc>
      </w:tr>
      <w:tr>
        <w:tc>
          <w:tcPr>
            <w:tcW w:type="dxa" w:w="1872"/>
            <w:tcMar>
              <w:top w:w="80" w:type="dxa"/>
              <w:bottom w:w="80" w:type="dxa"/>
              <w:left w:w="100" w:type="dxa"/>
              <w:right w:w="100" w:type="dxa"/>
            </w:tcMar>
            <w:shd w:fill="F8FAFC"/>
            <w:tcBorders>
              <w:top w:val="single" w:sz="4" w:space="0" w:color="CBD5E1"/>
              <w:bottom w:val="single" w:sz="4" w:space="0" w:color="CBD5E1"/>
              <w:left w:val="none" w:sz="0" w:space="0" w:color="auto"/>
              <w:right w:val="none" w:sz="0" w:space="0" w:color="auto"/>
            </w:tcBorders>
          </w:tcPr>
          <w:p>
            <w:pPr>
              <w:spacing w:before="0" w:after="0" w:line="252" w:lineRule="auto"/>
              <w:jc w:val="left"/>
            </w:pPr>
            <w:r>
              <w:rPr>
                <w:rFonts w:ascii="Calibri" w:hAnsi="Calibri"/>
                <w:b w:val="0"/>
                <w:i w:val="0"/>
                <w:color w:val="334155"/>
                <w:sz w:val="18"/>
              </w:rPr>
              <w:t>ECG Autonomic</w:t>
            </w:r>
          </w:p>
        </w:tc>
        <w:tc>
          <w:tcPr>
            <w:tcW w:type="dxa" w:w="1872"/>
            <w:tcMar>
              <w:top w:w="80" w:type="dxa"/>
              <w:bottom w:w="80" w:type="dxa"/>
              <w:left w:w="100" w:type="dxa"/>
              <w:right w:w="100" w:type="dxa"/>
            </w:tcMar>
            <w:shd w:fill="F8FAFC"/>
            <w:tcBorders>
              <w:top w:val="single" w:sz="4" w:space="0" w:color="CBD5E1"/>
              <w:bottom w:val="single" w:sz="4" w:space="0" w:color="CBD5E1"/>
              <w:left w:val="none" w:sz="0" w:space="0" w:color="auto"/>
              <w:right w:val="none" w:sz="0" w:space="0" w:color="auto"/>
            </w:tcBorders>
          </w:tcPr>
          <w:p>
            <w:pPr>
              <w:spacing w:before="0" w:after="0" w:line="252" w:lineRule="auto"/>
              <w:jc w:val="left"/>
            </w:pPr>
            <w:r>
              <w:rPr>
                <w:rFonts w:ascii="Calibri" w:hAnsi="Calibri"/>
                <w:b w:val="0"/>
                <w:i w:val="0"/>
                <w:color w:val="334155"/>
                <w:sz w:val="18"/>
              </w:rPr>
              <w:t>ecg_rr_rmssd</w:t>
            </w:r>
          </w:p>
        </w:tc>
        <w:tc>
          <w:tcPr>
            <w:tcW w:type="dxa" w:w="2448"/>
            <w:tcMar>
              <w:top w:w="80" w:type="dxa"/>
              <w:bottom w:w="80" w:type="dxa"/>
              <w:left w:w="100" w:type="dxa"/>
              <w:right w:w="100" w:type="dxa"/>
            </w:tcMar>
            <w:shd w:fill="F8FAFC"/>
            <w:tcBorders>
              <w:top w:val="single" w:sz="4" w:space="0" w:color="CBD5E1"/>
              <w:bottom w:val="single" w:sz="4" w:space="0" w:color="CBD5E1"/>
              <w:left w:val="none" w:sz="0" w:space="0" w:color="auto"/>
              <w:right w:val="none" w:sz="0" w:space="0" w:color="auto"/>
            </w:tcBorders>
          </w:tcPr>
          <w:p>
            <w:pPr>
              <w:spacing w:before="0" w:after="0" w:line="252" w:lineRule="auto"/>
              <w:jc w:val="left"/>
            </w:pPr>
            <w:r>
              <w:rPr>
                <w:rFonts w:ascii="Calibri" w:hAnsi="Calibri"/>
                <w:b w:val="0"/>
                <w:i w:val="0"/>
                <w:color w:val="334155"/>
                <w:sz w:val="18"/>
              </w:rPr>
              <w:t>RMSSD (Successive Diff)</w:t>
            </w:r>
          </w:p>
        </w:tc>
        <w:tc>
          <w:tcPr>
            <w:tcW w:type="dxa" w:w="1584"/>
            <w:tcMar>
              <w:top w:w="80" w:type="dxa"/>
              <w:bottom w:w="80" w:type="dxa"/>
              <w:left w:w="100" w:type="dxa"/>
              <w:right w:w="100" w:type="dxa"/>
            </w:tcMar>
            <w:shd w:fill="F8FAFC"/>
            <w:tcBorders>
              <w:top w:val="single" w:sz="4" w:space="0" w:color="CBD5E1"/>
              <w:bottom w:val="single" w:sz="4" w:space="0" w:color="CBD5E1"/>
              <w:left w:val="none" w:sz="0" w:space="0" w:color="auto"/>
              <w:right w:val="none" w:sz="0" w:space="0" w:color="auto"/>
            </w:tcBorders>
          </w:tcPr>
          <w:p>
            <w:pPr>
              <w:spacing w:before="0" w:after="0" w:line="252" w:lineRule="auto"/>
              <w:jc w:val="left"/>
            </w:pPr>
            <w:r>
              <w:rPr>
                <w:rFonts w:ascii="Calibri" w:hAnsi="Calibri"/>
                <w:b w:val="0"/>
                <w:i w:val="0"/>
                <w:color w:val="334155"/>
                <w:sz w:val="18"/>
              </w:rPr>
              <w:t>[0, 1000] ms</w:t>
            </w:r>
          </w:p>
        </w:tc>
        <w:tc>
          <w:tcPr>
            <w:tcW w:type="dxa" w:w="2304"/>
            <w:tcMar>
              <w:top w:w="80" w:type="dxa"/>
              <w:bottom w:w="80" w:type="dxa"/>
              <w:left w:w="100" w:type="dxa"/>
              <w:right w:w="100" w:type="dxa"/>
            </w:tcMar>
            <w:shd w:fill="F8FAFC"/>
            <w:tcBorders>
              <w:top w:val="single" w:sz="4" w:space="0" w:color="CBD5E1"/>
              <w:bottom w:val="single" w:sz="4" w:space="0" w:color="CBD5E1"/>
              <w:left w:val="none" w:sz="0" w:space="0" w:color="auto"/>
              <w:right w:val="none" w:sz="0" w:space="0" w:color="auto"/>
            </w:tcBorders>
          </w:tcPr>
          <w:p>
            <w:pPr>
              <w:spacing w:before="0" w:after="0" w:line="252" w:lineRule="auto"/>
              <w:jc w:val="left"/>
            </w:pPr>
            <w:r>
              <w:rPr>
                <w:rFonts w:ascii="Calibri" w:hAnsi="Calibri"/>
                <w:b w:val="0"/>
                <w:i w:val="0"/>
                <w:color w:val="334155"/>
                <w:sz w:val="18"/>
              </w:rPr>
              <w:t>Parasympathetic (vagal) tone indicator</w:t>
            </w:r>
          </w:p>
        </w:tc>
      </w:tr>
      <w:tr>
        <w:tc>
          <w:tcPr>
            <w:tcW w:type="dxa" w:w="1872"/>
            <w:tcMar>
              <w:top w:w="80" w:type="dxa"/>
              <w:bottom w:w="80" w:type="dxa"/>
              <w:left w:w="100" w:type="dxa"/>
              <w:right w:w="100" w:type="dxa"/>
            </w:tcMar>
            <w:shd w:fill="FFFFFF"/>
            <w:tcBorders>
              <w:top w:val="single" w:sz="4" w:space="0" w:color="CBD5E1"/>
              <w:bottom w:val="single" w:sz="4" w:space="0" w:color="CBD5E1"/>
              <w:left w:val="none" w:sz="0" w:space="0" w:color="auto"/>
              <w:right w:val="none" w:sz="0" w:space="0" w:color="auto"/>
            </w:tcBorders>
          </w:tcPr>
          <w:p>
            <w:pPr>
              <w:spacing w:before="0" w:after="0" w:line="252" w:lineRule="auto"/>
              <w:jc w:val="left"/>
            </w:pPr>
            <w:r>
              <w:rPr>
                <w:rFonts w:ascii="Calibri" w:hAnsi="Calibri"/>
                <w:b w:val="0"/>
                <w:i w:val="0"/>
                <w:color w:val="334155"/>
                <w:sz w:val="18"/>
              </w:rPr>
              <w:t>ECG Autonomic</w:t>
            </w:r>
          </w:p>
        </w:tc>
        <w:tc>
          <w:tcPr>
            <w:tcW w:type="dxa" w:w="1872"/>
            <w:tcMar>
              <w:top w:w="80" w:type="dxa"/>
              <w:bottom w:w="80" w:type="dxa"/>
              <w:left w:w="100" w:type="dxa"/>
              <w:right w:w="100" w:type="dxa"/>
            </w:tcMar>
            <w:shd w:fill="FFFFFF"/>
            <w:tcBorders>
              <w:top w:val="single" w:sz="4" w:space="0" w:color="CBD5E1"/>
              <w:bottom w:val="single" w:sz="4" w:space="0" w:color="CBD5E1"/>
              <w:left w:val="none" w:sz="0" w:space="0" w:color="auto"/>
              <w:right w:val="none" w:sz="0" w:space="0" w:color="auto"/>
            </w:tcBorders>
          </w:tcPr>
          <w:p>
            <w:pPr>
              <w:spacing w:before="0" w:after="0" w:line="252" w:lineRule="auto"/>
              <w:jc w:val="left"/>
            </w:pPr>
            <w:r>
              <w:rPr>
                <w:rFonts w:ascii="Calibri" w:hAnsi="Calibri"/>
                <w:b w:val="0"/>
                <w:i w:val="0"/>
                <w:color w:val="334155"/>
                <w:sz w:val="18"/>
              </w:rPr>
              <w:t>ecg_pnn50</w:t>
            </w:r>
          </w:p>
        </w:tc>
        <w:tc>
          <w:tcPr>
            <w:tcW w:type="dxa" w:w="2448"/>
            <w:tcMar>
              <w:top w:w="80" w:type="dxa"/>
              <w:bottom w:w="80" w:type="dxa"/>
              <w:left w:w="100" w:type="dxa"/>
              <w:right w:w="100" w:type="dxa"/>
            </w:tcMar>
            <w:shd w:fill="FFFFFF"/>
            <w:tcBorders>
              <w:top w:val="single" w:sz="4" w:space="0" w:color="CBD5E1"/>
              <w:bottom w:val="single" w:sz="4" w:space="0" w:color="CBD5E1"/>
              <w:left w:val="none" w:sz="0" w:space="0" w:color="auto"/>
              <w:right w:val="none" w:sz="0" w:space="0" w:color="auto"/>
            </w:tcBorders>
          </w:tcPr>
          <w:p>
            <w:pPr>
              <w:spacing w:before="0" w:after="0" w:line="252" w:lineRule="auto"/>
              <w:jc w:val="left"/>
            </w:pPr>
            <w:r>
              <w:rPr>
                <w:rFonts w:ascii="Calibri" w:hAnsi="Calibri"/>
                <w:b w:val="0"/>
                <w:i w:val="0"/>
                <w:color w:val="334155"/>
                <w:sz w:val="18"/>
              </w:rPr>
              <w:t>pNN50 Percentage</w:t>
            </w:r>
          </w:p>
        </w:tc>
        <w:tc>
          <w:tcPr>
            <w:tcW w:type="dxa" w:w="1584"/>
            <w:tcMar>
              <w:top w:w="80" w:type="dxa"/>
              <w:bottom w:w="80" w:type="dxa"/>
              <w:left w:w="100" w:type="dxa"/>
              <w:right w:w="100" w:type="dxa"/>
            </w:tcMar>
            <w:shd w:fill="FFFFFF"/>
            <w:tcBorders>
              <w:top w:val="single" w:sz="4" w:space="0" w:color="CBD5E1"/>
              <w:bottom w:val="single" w:sz="4" w:space="0" w:color="CBD5E1"/>
              <w:left w:val="none" w:sz="0" w:space="0" w:color="auto"/>
              <w:right w:val="none" w:sz="0" w:space="0" w:color="auto"/>
            </w:tcBorders>
          </w:tcPr>
          <w:p>
            <w:pPr>
              <w:spacing w:before="0" w:after="0" w:line="252" w:lineRule="auto"/>
              <w:jc w:val="left"/>
            </w:pPr>
            <w:r>
              <w:rPr>
                <w:rFonts w:ascii="Calibri" w:hAnsi="Calibri"/>
                <w:b w:val="0"/>
                <w:i w:val="0"/>
                <w:color w:val="334155"/>
                <w:sz w:val="18"/>
              </w:rPr>
              <w:t>[0, 100] %</w:t>
            </w:r>
          </w:p>
        </w:tc>
        <w:tc>
          <w:tcPr>
            <w:tcW w:type="dxa" w:w="2304"/>
            <w:tcMar>
              <w:top w:w="80" w:type="dxa"/>
              <w:bottom w:w="80" w:type="dxa"/>
              <w:left w:w="100" w:type="dxa"/>
              <w:right w:w="100" w:type="dxa"/>
            </w:tcMar>
            <w:shd w:fill="FFFFFF"/>
            <w:tcBorders>
              <w:top w:val="single" w:sz="4" w:space="0" w:color="CBD5E1"/>
              <w:bottom w:val="single" w:sz="4" w:space="0" w:color="CBD5E1"/>
              <w:left w:val="none" w:sz="0" w:space="0" w:color="auto"/>
              <w:right w:val="none" w:sz="0" w:space="0" w:color="auto"/>
            </w:tcBorders>
          </w:tcPr>
          <w:p>
            <w:pPr>
              <w:spacing w:before="0" w:after="0" w:line="252" w:lineRule="auto"/>
              <w:jc w:val="left"/>
            </w:pPr>
            <w:r>
              <w:rPr>
                <w:rFonts w:ascii="Calibri" w:hAnsi="Calibri"/>
                <w:b w:val="0"/>
                <w:i w:val="0"/>
                <w:color w:val="334155"/>
                <w:sz w:val="18"/>
              </w:rPr>
              <w:t>Percentage of adjacent R-R intervals &gt; 50 ms</w:t>
            </w:r>
          </w:p>
        </w:tc>
      </w:tr>
      <w:tr>
        <w:tc>
          <w:tcPr>
            <w:tcW w:type="dxa" w:w="1872"/>
            <w:tcMar>
              <w:top w:w="80" w:type="dxa"/>
              <w:bottom w:w="80" w:type="dxa"/>
              <w:left w:w="100" w:type="dxa"/>
              <w:right w:w="100" w:type="dxa"/>
            </w:tcMar>
            <w:shd w:fill="F8FAFC"/>
            <w:tcBorders>
              <w:top w:val="single" w:sz="4" w:space="0" w:color="CBD5E1"/>
              <w:bottom w:val="single" w:sz="4" w:space="0" w:color="CBD5E1"/>
              <w:left w:val="none" w:sz="0" w:space="0" w:color="auto"/>
              <w:right w:val="none" w:sz="0" w:space="0" w:color="auto"/>
            </w:tcBorders>
          </w:tcPr>
          <w:p>
            <w:pPr>
              <w:spacing w:before="0" w:after="0" w:line="252" w:lineRule="auto"/>
              <w:jc w:val="left"/>
            </w:pPr>
            <w:r>
              <w:rPr>
                <w:rFonts w:ascii="Calibri" w:hAnsi="Calibri"/>
                <w:b w:val="0"/>
                <w:i w:val="0"/>
                <w:color w:val="334155"/>
                <w:sz w:val="18"/>
              </w:rPr>
              <w:t>ECG Autonomic</w:t>
            </w:r>
          </w:p>
        </w:tc>
        <w:tc>
          <w:tcPr>
            <w:tcW w:type="dxa" w:w="1872"/>
            <w:tcMar>
              <w:top w:w="80" w:type="dxa"/>
              <w:bottom w:w="80" w:type="dxa"/>
              <w:left w:w="100" w:type="dxa"/>
              <w:right w:w="100" w:type="dxa"/>
            </w:tcMar>
            <w:shd w:fill="F8FAFC"/>
            <w:tcBorders>
              <w:top w:val="single" w:sz="4" w:space="0" w:color="CBD5E1"/>
              <w:bottom w:val="single" w:sz="4" w:space="0" w:color="CBD5E1"/>
              <w:left w:val="none" w:sz="0" w:space="0" w:color="auto"/>
              <w:right w:val="none" w:sz="0" w:space="0" w:color="auto"/>
            </w:tcBorders>
          </w:tcPr>
          <w:p>
            <w:pPr>
              <w:spacing w:before="0" w:after="0" w:line="252" w:lineRule="auto"/>
              <w:jc w:val="left"/>
            </w:pPr>
            <w:r>
              <w:rPr>
                <w:rFonts w:ascii="Calibri" w:hAnsi="Calibri"/>
                <w:b w:val="0"/>
                <w:i w:val="0"/>
                <w:color w:val="334155"/>
                <w:sz w:val="18"/>
              </w:rPr>
              <w:t>ecg_r_amp_mv</w:t>
            </w:r>
          </w:p>
        </w:tc>
        <w:tc>
          <w:tcPr>
            <w:tcW w:type="dxa" w:w="2448"/>
            <w:tcMar>
              <w:top w:w="80" w:type="dxa"/>
              <w:bottom w:w="80" w:type="dxa"/>
              <w:left w:w="100" w:type="dxa"/>
              <w:right w:w="100" w:type="dxa"/>
            </w:tcMar>
            <w:shd w:fill="F8FAFC"/>
            <w:tcBorders>
              <w:top w:val="single" w:sz="4" w:space="0" w:color="CBD5E1"/>
              <w:bottom w:val="single" w:sz="4" w:space="0" w:color="CBD5E1"/>
              <w:left w:val="none" w:sz="0" w:space="0" w:color="auto"/>
              <w:right w:val="none" w:sz="0" w:space="0" w:color="auto"/>
            </w:tcBorders>
          </w:tcPr>
          <w:p>
            <w:pPr>
              <w:spacing w:before="0" w:after="0" w:line="252" w:lineRule="auto"/>
              <w:jc w:val="left"/>
            </w:pPr>
            <w:r>
              <w:rPr>
                <w:rFonts w:ascii="Calibri" w:hAnsi="Calibri"/>
                <w:b w:val="0"/>
                <w:i w:val="0"/>
                <w:color w:val="334155"/>
                <w:sz w:val="18"/>
              </w:rPr>
              <w:t>R-Peak Amplitude</w:t>
            </w:r>
          </w:p>
        </w:tc>
        <w:tc>
          <w:tcPr>
            <w:tcW w:type="dxa" w:w="1584"/>
            <w:tcMar>
              <w:top w:w="80" w:type="dxa"/>
              <w:bottom w:w="80" w:type="dxa"/>
              <w:left w:w="100" w:type="dxa"/>
              <w:right w:w="100" w:type="dxa"/>
            </w:tcMar>
            <w:shd w:fill="F8FAFC"/>
            <w:tcBorders>
              <w:top w:val="single" w:sz="4" w:space="0" w:color="CBD5E1"/>
              <w:bottom w:val="single" w:sz="4" w:space="0" w:color="CBD5E1"/>
              <w:left w:val="none" w:sz="0" w:space="0" w:color="auto"/>
              <w:right w:val="none" w:sz="0" w:space="0" w:color="auto"/>
            </w:tcBorders>
          </w:tcPr>
          <w:p>
            <w:pPr>
              <w:spacing w:before="0" w:after="0" w:line="252" w:lineRule="auto"/>
              <w:jc w:val="left"/>
            </w:pPr>
            <w:r>
              <w:rPr>
                <w:rFonts w:ascii="Calibri" w:hAnsi="Calibri"/>
                <w:b w:val="0"/>
                <w:i w:val="0"/>
                <w:color w:val="334155"/>
                <w:sz w:val="18"/>
              </w:rPr>
              <w:t>[-2.0, 15.0] mV</w:t>
            </w:r>
          </w:p>
        </w:tc>
        <w:tc>
          <w:tcPr>
            <w:tcW w:type="dxa" w:w="2304"/>
            <w:tcMar>
              <w:top w:w="80" w:type="dxa"/>
              <w:bottom w:w="80" w:type="dxa"/>
              <w:left w:w="100" w:type="dxa"/>
              <w:right w:w="100" w:type="dxa"/>
            </w:tcMar>
            <w:shd w:fill="F8FAFC"/>
            <w:tcBorders>
              <w:top w:val="single" w:sz="4" w:space="0" w:color="CBD5E1"/>
              <w:bottom w:val="single" w:sz="4" w:space="0" w:color="CBD5E1"/>
              <w:left w:val="none" w:sz="0" w:space="0" w:color="auto"/>
              <w:right w:val="none" w:sz="0" w:space="0" w:color="auto"/>
            </w:tcBorders>
          </w:tcPr>
          <w:p>
            <w:pPr>
              <w:spacing w:before="0" w:after="0" w:line="252" w:lineRule="auto"/>
              <w:jc w:val="left"/>
            </w:pPr>
            <w:r>
              <w:rPr>
                <w:rFonts w:ascii="Calibri" w:hAnsi="Calibri"/>
                <w:b w:val="0"/>
                <w:i w:val="0"/>
                <w:color w:val="334155"/>
                <w:sz w:val="18"/>
              </w:rPr>
              <w:t>Ventricular depolarization vector &amp; electrode contact</w:t>
            </w:r>
          </w:p>
        </w:tc>
      </w:tr>
      <w:tr>
        <w:tc>
          <w:tcPr>
            <w:tcW w:type="dxa" w:w="1872"/>
            <w:tcMar>
              <w:top w:w="80" w:type="dxa"/>
              <w:bottom w:w="80" w:type="dxa"/>
              <w:left w:w="100" w:type="dxa"/>
              <w:right w:w="100" w:type="dxa"/>
            </w:tcMar>
            <w:shd w:fill="FFFFFF"/>
            <w:tcBorders>
              <w:top w:val="single" w:sz="4" w:space="0" w:color="CBD5E1"/>
              <w:bottom w:val="single" w:sz="4" w:space="0" w:color="CBD5E1"/>
              <w:left w:val="none" w:sz="0" w:space="0" w:color="auto"/>
              <w:right w:val="none" w:sz="0" w:space="0" w:color="auto"/>
            </w:tcBorders>
          </w:tcPr>
          <w:p>
            <w:pPr>
              <w:spacing w:before="0" w:after="0" w:line="252" w:lineRule="auto"/>
              <w:jc w:val="left"/>
            </w:pPr>
            <w:r>
              <w:rPr>
                <w:rFonts w:ascii="Calibri" w:hAnsi="Calibri"/>
                <w:b w:val="0"/>
                <w:i w:val="0"/>
                <w:color w:val="334155"/>
                <w:sz w:val="18"/>
              </w:rPr>
              <w:t>ECG Autonomic</w:t>
            </w:r>
          </w:p>
        </w:tc>
        <w:tc>
          <w:tcPr>
            <w:tcW w:type="dxa" w:w="1872"/>
            <w:tcMar>
              <w:top w:w="80" w:type="dxa"/>
              <w:bottom w:w="80" w:type="dxa"/>
              <w:left w:w="100" w:type="dxa"/>
              <w:right w:w="100" w:type="dxa"/>
            </w:tcMar>
            <w:shd w:fill="FFFFFF"/>
            <w:tcBorders>
              <w:top w:val="single" w:sz="4" w:space="0" w:color="CBD5E1"/>
              <w:bottom w:val="single" w:sz="4" w:space="0" w:color="CBD5E1"/>
              <w:left w:val="none" w:sz="0" w:space="0" w:color="auto"/>
              <w:right w:val="none" w:sz="0" w:space="0" w:color="auto"/>
            </w:tcBorders>
          </w:tcPr>
          <w:p>
            <w:pPr>
              <w:spacing w:before="0" w:after="0" w:line="252" w:lineRule="auto"/>
              <w:jc w:val="left"/>
            </w:pPr>
            <w:r>
              <w:rPr>
                <w:rFonts w:ascii="Calibri" w:hAnsi="Calibri"/>
                <w:b w:val="0"/>
                <w:i w:val="0"/>
                <w:color w:val="334155"/>
                <w:sz w:val="18"/>
              </w:rPr>
              <w:t>ecg_qrs_width_ms</w:t>
            </w:r>
          </w:p>
        </w:tc>
        <w:tc>
          <w:tcPr>
            <w:tcW w:type="dxa" w:w="2448"/>
            <w:tcMar>
              <w:top w:w="80" w:type="dxa"/>
              <w:bottom w:w="80" w:type="dxa"/>
              <w:left w:w="100" w:type="dxa"/>
              <w:right w:w="100" w:type="dxa"/>
            </w:tcMar>
            <w:shd w:fill="FFFFFF"/>
            <w:tcBorders>
              <w:top w:val="single" w:sz="4" w:space="0" w:color="CBD5E1"/>
              <w:bottom w:val="single" w:sz="4" w:space="0" w:color="CBD5E1"/>
              <w:left w:val="none" w:sz="0" w:space="0" w:color="auto"/>
              <w:right w:val="none" w:sz="0" w:space="0" w:color="auto"/>
            </w:tcBorders>
          </w:tcPr>
          <w:p>
            <w:pPr>
              <w:spacing w:before="0" w:after="0" w:line="252" w:lineRule="auto"/>
              <w:jc w:val="left"/>
            </w:pPr>
            <w:r>
              <w:rPr>
                <w:rFonts w:ascii="Calibri" w:hAnsi="Calibri"/>
                <w:b w:val="0"/>
                <w:i w:val="0"/>
                <w:color w:val="334155"/>
                <w:sz w:val="18"/>
              </w:rPr>
              <w:t>QRS Complex Duration</w:t>
            </w:r>
          </w:p>
        </w:tc>
        <w:tc>
          <w:tcPr>
            <w:tcW w:type="dxa" w:w="1584"/>
            <w:tcMar>
              <w:top w:w="80" w:type="dxa"/>
              <w:bottom w:w="80" w:type="dxa"/>
              <w:left w:w="100" w:type="dxa"/>
              <w:right w:w="100" w:type="dxa"/>
            </w:tcMar>
            <w:shd w:fill="FFFFFF"/>
            <w:tcBorders>
              <w:top w:val="single" w:sz="4" w:space="0" w:color="CBD5E1"/>
              <w:bottom w:val="single" w:sz="4" w:space="0" w:color="CBD5E1"/>
              <w:left w:val="none" w:sz="0" w:space="0" w:color="auto"/>
              <w:right w:val="none" w:sz="0" w:space="0" w:color="auto"/>
            </w:tcBorders>
          </w:tcPr>
          <w:p>
            <w:pPr>
              <w:spacing w:before="0" w:after="0" w:line="252" w:lineRule="auto"/>
              <w:jc w:val="left"/>
            </w:pPr>
            <w:r>
              <w:rPr>
                <w:rFonts w:ascii="Calibri" w:hAnsi="Calibri"/>
                <w:b w:val="0"/>
                <w:i w:val="0"/>
                <w:color w:val="334155"/>
                <w:sz w:val="18"/>
              </w:rPr>
              <w:t>[30, 300] ms</w:t>
            </w:r>
          </w:p>
        </w:tc>
        <w:tc>
          <w:tcPr>
            <w:tcW w:type="dxa" w:w="2304"/>
            <w:tcMar>
              <w:top w:w="80" w:type="dxa"/>
              <w:bottom w:w="80" w:type="dxa"/>
              <w:left w:w="100" w:type="dxa"/>
              <w:right w:w="100" w:type="dxa"/>
            </w:tcMar>
            <w:shd w:fill="FFFFFF"/>
            <w:tcBorders>
              <w:top w:val="single" w:sz="4" w:space="0" w:color="CBD5E1"/>
              <w:bottom w:val="single" w:sz="4" w:space="0" w:color="CBD5E1"/>
              <w:left w:val="none" w:sz="0" w:space="0" w:color="auto"/>
              <w:right w:val="none" w:sz="0" w:space="0" w:color="auto"/>
            </w:tcBorders>
          </w:tcPr>
          <w:p>
            <w:pPr>
              <w:spacing w:before="0" w:after="0" w:line="252" w:lineRule="auto"/>
              <w:jc w:val="left"/>
            </w:pPr>
            <w:r>
              <w:rPr>
                <w:rFonts w:ascii="Calibri" w:hAnsi="Calibri"/>
                <w:b w:val="0"/>
                <w:i w:val="0"/>
                <w:color w:val="334155"/>
                <w:sz w:val="18"/>
              </w:rPr>
              <w:t>Intraventricular conduction velocity / bundle block</w:t>
            </w:r>
          </w:p>
        </w:tc>
      </w:tr>
      <w:tr>
        <w:tc>
          <w:tcPr>
            <w:tcW w:type="dxa" w:w="1872"/>
            <w:tcMar>
              <w:top w:w="80" w:type="dxa"/>
              <w:bottom w:w="80" w:type="dxa"/>
              <w:left w:w="100" w:type="dxa"/>
              <w:right w:w="100" w:type="dxa"/>
            </w:tcMar>
            <w:shd w:fill="F8FAFC"/>
            <w:tcBorders>
              <w:top w:val="single" w:sz="4" w:space="0" w:color="CBD5E1"/>
              <w:bottom w:val="single" w:sz="4" w:space="0" w:color="CBD5E1"/>
              <w:left w:val="none" w:sz="0" w:space="0" w:color="auto"/>
              <w:right w:val="none" w:sz="0" w:space="0" w:color="auto"/>
            </w:tcBorders>
          </w:tcPr>
          <w:p>
            <w:pPr>
              <w:spacing w:before="0" w:after="0" w:line="252" w:lineRule="auto"/>
              <w:jc w:val="left"/>
            </w:pPr>
            <w:r>
              <w:rPr>
                <w:rFonts w:ascii="Calibri" w:hAnsi="Calibri"/>
                <w:b w:val="0"/>
                <w:i w:val="0"/>
                <w:color w:val="334155"/>
                <w:sz w:val="18"/>
              </w:rPr>
              <w:t>ECG Autonomic</w:t>
            </w:r>
          </w:p>
        </w:tc>
        <w:tc>
          <w:tcPr>
            <w:tcW w:type="dxa" w:w="1872"/>
            <w:tcMar>
              <w:top w:w="80" w:type="dxa"/>
              <w:bottom w:w="80" w:type="dxa"/>
              <w:left w:w="100" w:type="dxa"/>
              <w:right w:w="100" w:type="dxa"/>
            </w:tcMar>
            <w:shd w:fill="F8FAFC"/>
            <w:tcBorders>
              <w:top w:val="single" w:sz="4" w:space="0" w:color="CBD5E1"/>
              <w:bottom w:val="single" w:sz="4" w:space="0" w:color="CBD5E1"/>
              <w:left w:val="none" w:sz="0" w:space="0" w:color="auto"/>
              <w:right w:val="none" w:sz="0" w:space="0" w:color="auto"/>
            </w:tcBorders>
          </w:tcPr>
          <w:p>
            <w:pPr>
              <w:spacing w:before="0" w:after="0" w:line="252" w:lineRule="auto"/>
              <w:jc w:val="left"/>
            </w:pPr>
            <w:r>
              <w:rPr>
                <w:rFonts w:ascii="Calibri" w:hAnsi="Calibri"/>
                <w:b w:val="0"/>
                <w:i w:val="0"/>
                <w:color w:val="334155"/>
                <w:sz w:val="18"/>
              </w:rPr>
              <w:t>ecg_sqi</w:t>
            </w:r>
          </w:p>
        </w:tc>
        <w:tc>
          <w:tcPr>
            <w:tcW w:type="dxa" w:w="2448"/>
            <w:tcMar>
              <w:top w:w="80" w:type="dxa"/>
              <w:bottom w:w="80" w:type="dxa"/>
              <w:left w:w="100" w:type="dxa"/>
              <w:right w:w="100" w:type="dxa"/>
            </w:tcMar>
            <w:shd w:fill="F8FAFC"/>
            <w:tcBorders>
              <w:top w:val="single" w:sz="4" w:space="0" w:color="CBD5E1"/>
              <w:bottom w:val="single" w:sz="4" w:space="0" w:color="CBD5E1"/>
              <w:left w:val="none" w:sz="0" w:space="0" w:color="auto"/>
              <w:right w:val="none" w:sz="0" w:space="0" w:color="auto"/>
            </w:tcBorders>
          </w:tcPr>
          <w:p>
            <w:pPr>
              <w:spacing w:before="0" w:after="0" w:line="252" w:lineRule="auto"/>
              <w:jc w:val="left"/>
            </w:pPr>
            <w:r>
              <w:rPr>
                <w:rFonts w:ascii="Calibri" w:hAnsi="Calibri"/>
                <w:b w:val="0"/>
                <w:i w:val="0"/>
                <w:color w:val="334155"/>
                <w:sz w:val="18"/>
              </w:rPr>
              <w:t>ECG Signal Quality Index</w:t>
            </w:r>
          </w:p>
        </w:tc>
        <w:tc>
          <w:tcPr>
            <w:tcW w:type="dxa" w:w="1584"/>
            <w:tcMar>
              <w:top w:w="80" w:type="dxa"/>
              <w:bottom w:w="80" w:type="dxa"/>
              <w:left w:w="100" w:type="dxa"/>
              <w:right w:w="100" w:type="dxa"/>
            </w:tcMar>
            <w:shd w:fill="F8FAFC"/>
            <w:tcBorders>
              <w:top w:val="single" w:sz="4" w:space="0" w:color="CBD5E1"/>
              <w:bottom w:val="single" w:sz="4" w:space="0" w:color="CBD5E1"/>
              <w:left w:val="none" w:sz="0" w:space="0" w:color="auto"/>
              <w:right w:val="none" w:sz="0" w:space="0" w:color="auto"/>
            </w:tcBorders>
          </w:tcPr>
          <w:p>
            <w:pPr>
              <w:spacing w:before="0" w:after="0" w:line="252" w:lineRule="auto"/>
              <w:jc w:val="left"/>
            </w:pPr>
            <w:r>
              <w:rPr>
                <w:rFonts w:ascii="Calibri" w:hAnsi="Calibri"/>
                <w:b w:val="0"/>
                <w:i w:val="0"/>
                <w:color w:val="334155"/>
                <w:sz w:val="18"/>
              </w:rPr>
              <w:t>[0.0, 1.0]</w:t>
            </w:r>
          </w:p>
        </w:tc>
        <w:tc>
          <w:tcPr>
            <w:tcW w:type="dxa" w:w="2304"/>
            <w:tcMar>
              <w:top w:w="80" w:type="dxa"/>
              <w:bottom w:w="80" w:type="dxa"/>
              <w:left w:w="100" w:type="dxa"/>
              <w:right w:w="100" w:type="dxa"/>
            </w:tcMar>
            <w:shd w:fill="F8FAFC"/>
            <w:tcBorders>
              <w:top w:val="single" w:sz="4" w:space="0" w:color="CBD5E1"/>
              <w:bottom w:val="single" w:sz="4" w:space="0" w:color="CBD5E1"/>
              <w:left w:val="none" w:sz="0" w:space="0" w:color="auto"/>
              <w:right w:val="none" w:sz="0" w:space="0" w:color="auto"/>
            </w:tcBorders>
          </w:tcPr>
          <w:p>
            <w:pPr>
              <w:spacing w:before="0" w:after="0" w:line="252" w:lineRule="auto"/>
              <w:jc w:val="left"/>
            </w:pPr>
            <w:r>
              <w:rPr>
                <w:rFonts w:ascii="Calibri" w:hAnsi="Calibri"/>
                <w:b w:val="0"/>
                <w:i w:val="0"/>
                <w:color w:val="334155"/>
                <w:sz w:val="18"/>
              </w:rPr>
              <w:t>Morphological consistency &amp; noise gating</w:t>
            </w:r>
          </w:p>
        </w:tc>
      </w:tr>
      <w:tr>
        <w:tc>
          <w:tcPr>
            <w:tcW w:type="dxa" w:w="1872"/>
            <w:tcMar>
              <w:top w:w="80" w:type="dxa"/>
              <w:bottom w:w="80" w:type="dxa"/>
              <w:left w:w="100" w:type="dxa"/>
              <w:right w:w="100" w:type="dxa"/>
            </w:tcMar>
            <w:shd w:fill="FFFFFF"/>
            <w:tcBorders>
              <w:top w:val="single" w:sz="4" w:space="0" w:color="CBD5E1"/>
              <w:bottom w:val="single" w:sz="4" w:space="0" w:color="CBD5E1"/>
              <w:left w:val="none" w:sz="0" w:space="0" w:color="auto"/>
              <w:right w:val="none" w:sz="0" w:space="0" w:color="auto"/>
            </w:tcBorders>
          </w:tcPr>
          <w:p>
            <w:pPr>
              <w:spacing w:before="0" w:after="0" w:line="252" w:lineRule="auto"/>
              <w:jc w:val="left"/>
            </w:pPr>
            <w:r>
              <w:rPr>
                <w:rFonts w:ascii="Calibri" w:hAnsi="Calibri"/>
                <w:b w:val="0"/>
                <w:i w:val="0"/>
                <w:color w:val="334155"/>
                <w:sz w:val="18"/>
              </w:rPr>
              <w:t>Vascular Transit</w:t>
            </w:r>
          </w:p>
        </w:tc>
        <w:tc>
          <w:tcPr>
            <w:tcW w:type="dxa" w:w="1872"/>
            <w:tcMar>
              <w:top w:w="80" w:type="dxa"/>
              <w:bottom w:w="80" w:type="dxa"/>
              <w:left w:w="100" w:type="dxa"/>
              <w:right w:w="100" w:type="dxa"/>
            </w:tcMar>
            <w:shd w:fill="FFFFFF"/>
            <w:tcBorders>
              <w:top w:val="single" w:sz="4" w:space="0" w:color="CBD5E1"/>
              <w:bottom w:val="single" w:sz="4" w:space="0" w:color="CBD5E1"/>
              <w:left w:val="none" w:sz="0" w:space="0" w:color="auto"/>
              <w:right w:val="none" w:sz="0" w:space="0" w:color="auto"/>
            </w:tcBorders>
          </w:tcPr>
          <w:p>
            <w:pPr>
              <w:spacing w:before="0" w:after="0" w:line="252" w:lineRule="auto"/>
              <w:jc w:val="left"/>
            </w:pPr>
            <w:r>
              <w:rPr>
                <w:rFonts w:ascii="Calibri" w:hAnsi="Calibri"/>
                <w:b w:val="0"/>
                <w:i w:val="0"/>
                <w:color w:val="334155"/>
                <w:sz w:val="18"/>
              </w:rPr>
              <w:t>pat_median_ms</w:t>
            </w:r>
          </w:p>
        </w:tc>
        <w:tc>
          <w:tcPr>
            <w:tcW w:type="dxa" w:w="2448"/>
            <w:tcMar>
              <w:top w:w="80" w:type="dxa"/>
              <w:bottom w:w="80" w:type="dxa"/>
              <w:left w:w="100" w:type="dxa"/>
              <w:right w:w="100" w:type="dxa"/>
            </w:tcMar>
            <w:shd w:fill="FFFFFF"/>
            <w:tcBorders>
              <w:top w:val="single" w:sz="4" w:space="0" w:color="CBD5E1"/>
              <w:bottom w:val="single" w:sz="4" w:space="0" w:color="CBD5E1"/>
              <w:left w:val="none" w:sz="0" w:space="0" w:color="auto"/>
              <w:right w:val="none" w:sz="0" w:space="0" w:color="auto"/>
            </w:tcBorders>
          </w:tcPr>
          <w:p>
            <w:pPr>
              <w:spacing w:before="0" w:after="0" w:line="252" w:lineRule="auto"/>
              <w:jc w:val="left"/>
            </w:pPr>
            <w:r>
              <w:rPr>
                <w:rFonts w:ascii="Calibri" w:hAnsi="Calibri"/>
                <w:b w:val="0"/>
                <w:i w:val="0"/>
                <w:color w:val="334155"/>
                <w:sz w:val="18"/>
              </w:rPr>
              <w:t>Median Pulse Arrival Time</w:t>
            </w:r>
          </w:p>
        </w:tc>
        <w:tc>
          <w:tcPr>
            <w:tcW w:type="dxa" w:w="1584"/>
            <w:tcMar>
              <w:top w:w="80" w:type="dxa"/>
              <w:bottom w:w="80" w:type="dxa"/>
              <w:left w:w="100" w:type="dxa"/>
              <w:right w:w="100" w:type="dxa"/>
            </w:tcMar>
            <w:shd w:fill="FFFFFF"/>
            <w:tcBorders>
              <w:top w:val="single" w:sz="4" w:space="0" w:color="CBD5E1"/>
              <w:bottom w:val="single" w:sz="4" w:space="0" w:color="CBD5E1"/>
              <w:left w:val="none" w:sz="0" w:space="0" w:color="auto"/>
              <w:right w:val="none" w:sz="0" w:space="0" w:color="auto"/>
            </w:tcBorders>
          </w:tcPr>
          <w:p>
            <w:pPr>
              <w:spacing w:before="0" w:after="0" w:line="252" w:lineRule="auto"/>
              <w:jc w:val="left"/>
            </w:pPr>
            <w:r>
              <w:rPr>
                <w:rFonts w:ascii="Calibri" w:hAnsi="Calibri"/>
                <w:b w:val="0"/>
                <w:i w:val="0"/>
                <w:color w:val="334155"/>
                <w:sz w:val="18"/>
              </w:rPr>
              <w:t>[50, 600] ms</w:t>
            </w:r>
          </w:p>
        </w:tc>
        <w:tc>
          <w:tcPr>
            <w:tcW w:type="dxa" w:w="2304"/>
            <w:tcMar>
              <w:top w:w="80" w:type="dxa"/>
              <w:bottom w:w="80" w:type="dxa"/>
              <w:left w:w="100" w:type="dxa"/>
              <w:right w:w="100" w:type="dxa"/>
            </w:tcMar>
            <w:shd w:fill="FFFFFF"/>
            <w:tcBorders>
              <w:top w:val="single" w:sz="4" w:space="0" w:color="CBD5E1"/>
              <w:bottom w:val="single" w:sz="4" w:space="0" w:color="CBD5E1"/>
              <w:left w:val="none" w:sz="0" w:space="0" w:color="auto"/>
              <w:right w:val="none" w:sz="0" w:space="0" w:color="auto"/>
            </w:tcBorders>
          </w:tcPr>
          <w:p>
            <w:pPr>
              <w:spacing w:before="0" w:after="0" w:line="252" w:lineRule="auto"/>
              <w:jc w:val="left"/>
            </w:pPr>
            <w:r>
              <w:rPr>
                <w:rFonts w:ascii="Calibri" w:hAnsi="Calibri"/>
                <w:b w:val="0"/>
                <w:i w:val="0"/>
                <w:color w:val="334155"/>
                <w:sz w:val="18"/>
              </w:rPr>
              <w:t>Transit time from ECG R-peak to PPG pulse onset</w:t>
            </w:r>
          </w:p>
        </w:tc>
      </w:tr>
      <w:tr>
        <w:tc>
          <w:tcPr>
            <w:tcW w:type="dxa" w:w="1872"/>
            <w:tcMar>
              <w:top w:w="80" w:type="dxa"/>
              <w:bottom w:w="80" w:type="dxa"/>
              <w:left w:w="100" w:type="dxa"/>
              <w:right w:w="100" w:type="dxa"/>
            </w:tcMar>
            <w:shd w:fill="F8FAFC"/>
            <w:tcBorders>
              <w:top w:val="single" w:sz="4" w:space="0" w:color="CBD5E1"/>
              <w:bottom w:val="single" w:sz="4" w:space="0" w:color="CBD5E1"/>
              <w:left w:val="none" w:sz="0" w:space="0" w:color="auto"/>
              <w:right w:val="none" w:sz="0" w:space="0" w:color="auto"/>
            </w:tcBorders>
          </w:tcPr>
          <w:p>
            <w:pPr>
              <w:spacing w:before="0" w:after="0" w:line="252" w:lineRule="auto"/>
              <w:jc w:val="left"/>
            </w:pPr>
            <w:r>
              <w:rPr>
                <w:rFonts w:ascii="Calibri" w:hAnsi="Calibri"/>
                <w:b w:val="0"/>
                <w:i w:val="0"/>
                <w:color w:val="334155"/>
                <w:sz w:val="18"/>
              </w:rPr>
              <w:t>Vascular Transit</w:t>
            </w:r>
          </w:p>
        </w:tc>
        <w:tc>
          <w:tcPr>
            <w:tcW w:type="dxa" w:w="1872"/>
            <w:tcMar>
              <w:top w:w="80" w:type="dxa"/>
              <w:bottom w:w="80" w:type="dxa"/>
              <w:left w:w="100" w:type="dxa"/>
              <w:right w:w="100" w:type="dxa"/>
            </w:tcMar>
            <w:shd w:fill="F8FAFC"/>
            <w:tcBorders>
              <w:top w:val="single" w:sz="4" w:space="0" w:color="CBD5E1"/>
              <w:bottom w:val="single" w:sz="4" w:space="0" w:color="CBD5E1"/>
              <w:left w:val="none" w:sz="0" w:space="0" w:color="auto"/>
              <w:right w:val="none" w:sz="0" w:space="0" w:color="auto"/>
            </w:tcBorders>
          </w:tcPr>
          <w:p>
            <w:pPr>
              <w:spacing w:before="0" w:after="0" w:line="252" w:lineRule="auto"/>
              <w:jc w:val="left"/>
            </w:pPr>
            <w:r>
              <w:rPr>
                <w:rFonts w:ascii="Calibri" w:hAnsi="Calibri"/>
                <w:b w:val="0"/>
                <w:i w:val="0"/>
                <w:color w:val="334155"/>
                <w:sz w:val="18"/>
              </w:rPr>
              <w:t>pat_iqr_ms</w:t>
            </w:r>
          </w:p>
        </w:tc>
        <w:tc>
          <w:tcPr>
            <w:tcW w:type="dxa" w:w="2448"/>
            <w:tcMar>
              <w:top w:w="80" w:type="dxa"/>
              <w:bottom w:w="80" w:type="dxa"/>
              <w:left w:w="100" w:type="dxa"/>
              <w:right w:w="100" w:type="dxa"/>
            </w:tcMar>
            <w:shd w:fill="F8FAFC"/>
            <w:tcBorders>
              <w:top w:val="single" w:sz="4" w:space="0" w:color="CBD5E1"/>
              <w:bottom w:val="single" w:sz="4" w:space="0" w:color="CBD5E1"/>
              <w:left w:val="none" w:sz="0" w:space="0" w:color="auto"/>
              <w:right w:val="none" w:sz="0" w:space="0" w:color="auto"/>
            </w:tcBorders>
          </w:tcPr>
          <w:p>
            <w:pPr>
              <w:spacing w:before="0" w:after="0" w:line="252" w:lineRule="auto"/>
              <w:jc w:val="left"/>
            </w:pPr>
            <w:r>
              <w:rPr>
                <w:rFonts w:ascii="Calibri" w:hAnsi="Calibri"/>
                <w:b w:val="0"/>
                <w:i w:val="0"/>
                <w:color w:val="334155"/>
                <w:sz w:val="18"/>
              </w:rPr>
              <w:t>PAT Interquartile Range</w:t>
            </w:r>
          </w:p>
        </w:tc>
        <w:tc>
          <w:tcPr>
            <w:tcW w:type="dxa" w:w="1584"/>
            <w:tcMar>
              <w:top w:w="80" w:type="dxa"/>
              <w:bottom w:w="80" w:type="dxa"/>
              <w:left w:w="100" w:type="dxa"/>
              <w:right w:w="100" w:type="dxa"/>
            </w:tcMar>
            <w:shd w:fill="F8FAFC"/>
            <w:tcBorders>
              <w:top w:val="single" w:sz="4" w:space="0" w:color="CBD5E1"/>
              <w:bottom w:val="single" w:sz="4" w:space="0" w:color="CBD5E1"/>
              <w:left w:val="none" w:sz="0" w:space="0" w:color="auto"/>
              <w:right w:val="none" w:sz="0" w:space="0" w:color="auto"/>
            </w:tcBorders>
          </w:tcPr>
          <w:p>
            <w:pPr>
              <w:spacing w:before="0" w:after="0" w:line="252" w:lineRule="auto"/>
              <w:jc w:val="left"/>
            </w:pPr>
            <w:r>
              <w:rPr>
                <w:rFonts w:ascii="Calibri" w:hAnsi="Calibri"/>
                <w:b w:val="0"/>
                <w:i w:val="0"/>
                <w:color w:val="334155"/>
                <w:sz w:val="18"/>
              </w:rPr>
              <w:t>[0, 500] ms</w:t>
            </w:r>
          </w:p>
        </w:tc>
        <w:tc>
          <w:tcPr>
            <w:tcW w:type="dxa" w:w="2304"/>
            <w:tcMar>
              <w:top w:w="80" w:type="dxa"/>
              <w:bottom w:w="80" w:type="dxa"/>
              <w:left w:w="100" w:type="dxa"/>
              <w:right w:w="100" w:type="dxa"/>
            </w:tcMar>
            <w:shd w:fill="F8FAFC"/>
            <w:tcBorders>
              <w:top w:val="single" w:sz="4" w:space="0" w:color="CBD5E1"/>
              <w:bottom w:val="single" w:sz="4" w:space="0" w:color="CBD5E1"/>
              <w:left w:val="none" w:sz="0" w:space="0" w:color="auto"/>
              <w:right w:val="none" w:sz="0" w:space="0" w:color="auto"/>
            </w:tcBorders>
          </w:tcPr>
          <w:p>
            <w:pPr>
              <w:spacing w:before="0" w:after="0" w:line="252" w:lineRule="auto"/>
              <w:jc w:val="left"/>
            </w:pPr>
            <w:r>
              <w:rPr>
                <w:rFonts w:ascii="Calibri" w:hAnsi="Calibri"/>
                <w:b w:val="0"/>
                <w:i w:val="0"/>
                <w:color w:val="334155"/>
                <w:sz w:val="18"/>
              </w:rPr>
              <w:t>Vascular tone variability and arterial compliance</w:t>
            </w:r>
          </w:p>
        </w:tc>
      </w:tr>
      <w:tr>
        <w:tc>
          <w:tcPr>
            <w:tcW w:type="dxa" w:w="1872"/>
            <w:tcMar>
              <w:top w:w="80" w:type="dxa"/>
              <w:bottom w:w="80" w:type="dxa"/>
              <w:left w:w="100" w:type="dxa"/>
              <w:right w:w="100" w:type="dxa"/>
            </w:tcMar>
            <w:shd w:fill="FFFFFF"/>
            <w:tcBorders>
              <w:top w:val="single" w:sz="4" w:space="0" w:color="CBD5E1"/>
              <w:bottom w:val="single" w:sz="4" w:space="0" w:color="CBD5E1"/>
              <w:left w:val="none" w:sz="0" w:space="0" w:color="auto"/>
              <w:right w:val="none" w:sz="0" w:space="0" w:color="auto"/>
            </w:tcBorders>
          </w:tcPr>
          <w:p>
            <w:pPr>
              <w:spacing w:before="0" w:after="0" w:line="252" w:lineRule="auto"/>
              <w:jc w:val="left"/>
            </w:pPr>
            <w:r>
              <w:rPr>
                <w:rFonts w:ascii="Calibri" w:hAnsi="Calibri"/>
                <w:b w:val="0"/>
                <w:i w:val="0"/>
                <w:color w:val="334155"/>
                <w:sz w:val="18"/>
              </w:rPr>
              <w:t>Vascular Transit</w:t>
            </w:r>
          </w:p>
        </w:tc>
        <w:tc>
          <w:tcPr>
            <w:tcW w:type="dxa" w:w="1872"/>
            <w:tcMar>
              <w:top w:w="80" w:type="dxa"/>
              <w:bottom w:w="80" w:type="dxa"/>
              <w:left w:w="100" w:type="dxa"/>
              <w:right w:w="100" w:type="dxa"/>
            </w:tcMar>
            <w:shd w:fill="FFFFFF"/>
            <w:tcBorders>
              <w:top w:val="single" w:sz="4" w:space="0" w:color="CBD5E1"/>
              <w:bottom w:val="single" w:sz="4" w:space="0" w:color="CBD5E1"/>
              <w:left w:val="none" w:sz="0" w:space="0" w:color="auto"/>
              <w:right w:val="none" w:sz="0" w:space="0" w:color="auto"/>
            </w:tcBorders>
          </w:tcPr>
          <w:p>
            <w:pPr>
              <w:spacing w:before="0" w:after="0" w:line="252" w:lineRule="auto"/>
              <w:jc w:val="left"/>
            </w:pPr>
            <w:r>
              <w:rPr>
                <w:rFonts w:ascii="Calibri" w:hAnsi="Calibri"/>
                <w:b w:val="0"/>
                <w:i w:val="0"/>
                <w:color w:val="334155"/>
                <w:sz w:val="18"/>
              </w:rPr>
              <w:t>pat_valid_fraction</w:t>
            </w:r>
          </w:p>
        </w:tc>
        <w:tc>
          <w:tcPr>
            <w:tcW w:type="dxa" w:w="2448"/>
            <w:tcMar>
              <w:top w:w="80" w:type="dxa"/>
              <w:bottom w:w="80" w:type="dxa"/>
              <w:left w:w="100" w:type="dxa"/>
              <w:right w:w="100" w:type="dxa"/>
            </w:tcMar>
            <w:shd w:fill="FFFFFF"/>
            <w:tcBorders>
              <w:top w:val="single" w:sz="4" w:space="0" w:color="CBD5E1"/>
              <w:bottom w:val="single" w:sz="4" w:space="0" w:color="CBD5E1"/>
              <w:left w:val="none" w:sz="0" w:space="0" w:color="auto"/>
              <w:right w:val="none" w:sz="0" w:space="0" w:color="auto"/>
            </w:tcBorders>
          </w:tcPr>
          <w:p>
            <w:pPr>
              <w:spacing w:before="0" w:after="0" w:line="252" w:lineRule="auto"/>
              <w:jc w:val="left"/>
            </w:pPr>
            <w:r>
              <w:rPr>
                <w:rFonts w:ascii="Calibri" w:hAnsi="Calibri"/>
                <w:b w:val="0"/>
                <w:i w:val="0"/>
                <w:color w:val="334155"/>
                <w:sz w:val="18"/>
              </w:rPr>
              <w:t>Valid PAT Fraction</w:t>
            </w:r>
          </w:p>
        </w:tc>
        <w:tc>
          <w:tcPr>
            <w:tcW w:type="dxa" w:w="1584"/>
            <w:tcMar>
              <w:top w:w="80" w:type="dxa"/>
              <w:bottom w:w="80" w:type="dxa"/>
              <w:left w:w="100" w:type="dxa"/>
              <w:right w:w="100" w:type="dxa"/>
            </w:tcMar>
            <w:shd w:fill="FFFFFF"/>
            <w:tcBorders>
              <w:top w:val="single" w:sz="4" w:space="0" w:color="CBD5E1"/>
              <w:bottom w:val="single" w:sz="4" w:space="0" w:color="CBD5E1"/>
              <w:left w:val="none" w:sz="0" w:space="0" w:color="auto"/>
              <w:right w:val="none" w:sz="0" w:space="0" w:color="auto"/>
            </w:tcBorders>
          </w:tcPr>
          <w:p>
            <w:pPr>
              <w:spacing w:before="0" w:after="0" w:line="252" w:lineRule="auto"/>
              <w:jc w:val="left"/>
            </w:pPr>
            <w:r>
              <w:rPr>
                <w:rFonts w:ascii="Calibri" w:hAnsi="Calibri"/>
                <w:b w:val="0"/>
                <w:i w:val="0"/>
                <w:color w:val="334155"/>
                <w:sz w:val="18"/>
              </w:rPr>
              <w:t>[0.0, 1.0]</w:t>
            </w:r>
          </w:p>
        </w:tc>
        <w:tc>
          <w:tcPr>
            <w:tcW w:type="dxa" w:w="2304"/>
            <w:tcMar>
              <w:top w:w="80" w:type="dxa"/>
              <w:bottom w:w="80" w:type="dxa"/>
              <w:left w:w="100" w:type="dxa"/>
              <w:right w:w="100" w:type="dxa"/>
            </w:tcMar>
            <w:shd w:fill="FFFFFF"/>
            <w:tcBorders>
              <w:top w:val="single" w:sz="4" w:space="0" w:color="CBD5E1"/>
              <w:bottom w:val="single" w:sz="4" w:space="0" w:color="CBD5E1"/>
              <w:left w:val="none" w:sz="0" w:space="0" w:color="auto"/>
              <w:right w:val="none" w:sz="0" w:space="0" w:color="auto"/>
            </w:tcBorders>
          </w:tcPr>
          <w:p>
            <w:pPr>
              <w:spacing w:before="0" w:after="0" w:line="252" w:lineRule="auto"/>
              <w:jc w:val="left"/>
            </w:pPr>
            <w:r>
              <w:rPr>
                <w:rFonts w:ascii="Calibri" w:hAnsi="Calibri"/>
                <w:b w:val="0"/>
                <w:i w:val="0"/>
                <w:color w:val="334155"/>
                <w:sz w:val="18"/>
              </w:rPr>
              <w:t>Fraction of beats with high-confidence PAT</w:t>
            </w:r>
          </w:p>
        </w:tc>
      </w:tr>
      <w:tr>
        <w:tc>
          <w:tcPr>
            <w:tcW w:type="dxa" w:w="1872"/>
            <w:tcMar>
              <w:top w:w="80" w:type="dxa"/>
              <w:bottom w:w="80" w:type="dxa"/>
              <w:left w:w="100" w:type="dxa"/>
              <w:right w:w="100" w:type="dxa"/>
            </w:tcMar>
            <w:shd w:fill="F8FAFC"/>
            <w:tcBorders>
              <w:top w:val="single" w:sz="4" w:space="0" w:color="CBD5E1"/>
              <w:bottom w:val="single" w:sz="4" w:space="0" w:color="CBD5E1"/>
              <w:left w:val="none" w:sz="0" w:space="0" w:color="auto"/>
              <w:right w:val="none" w:sz="0" w:space="0" w:color="auto"/>
            </w:tcBorders>
          </w:tcPr>
          <w:p>
            <w:pPr>
              <w:spacing w:before="0" w:after="0" w:line="252" w:lineRule="auto"/>
              <w:jc w:val="left"/>
            </w:pPr>
            <w:r>
              <w:rPr>
                <w:rFonts w:ascii="Calibri" w:hAnsi="Calibri"/>
                <w:b w:val="0"/>
                <w:i w:val="0"/>
                <w:color w:val="334155"/>
                <w:sz w:val="18"/>
              </w:rPr>
              <w:t>Vascular Transit</w:t>
            </w:r>
          </w:p>
        </w:tc>
        <w:tc>
          <w:tcPr>
            <w:tcW w:type="dxa" w:w="1872"/>
            <w:tcMar>
              <w:top w:w="80" w:type="dxa"/>
              <w:bottom w:w="80" w:type="dxa"/>
              <w:left w:w="100" w:type="dxa"/>
              <w:right w:w="100" w:type="dxa"/>
            </w:tcMar>
            <w:shd w:fill="F8FAFC"/>
            <w:tcBorders>
              <w:top w:val="single" w:sz="4" w:space="0" w:color="CBD5E1"/>
              <w:bottom w:val="single" w:sz="4" w:space="0" w:color="CBD5E1"/>
              <w:left w:val="none" w:sz="0" w:space="0" w:color="auto"/>
              <w:right w:val="none" w:sz="0" w:space="0" w:color="auto"/>
            </w:tcBorders>
          </w:tcPr>
          <w:p>
            <w:pPr>
              <w:spacing w:before="0" w:after="0" w:line="252" w:lineRule="auto"/>
              <w:jc w:val="left"/>
            </w:pPr>
            <w:r>
              <w:rPr>
                <w:rFonts w:ascii="Calibri" w:hAnsi="Calibri"/>
                <w:b w:val="0"/>
                <w:i w:val="0"/>
                <w:color w:val="334155"/>
                <w:sz w:val="18"/>
              </w:rPr>
              <w:t>pat_valid</w:t>
            </w:r>
          </w:p>
        </w:tc>
        <w:tc>
          <w:tcPr>
            <w:tcW w:type="dxa" w:w="2448"/>
            <w:tcMar>
              <w:top w:w="80" w:type="dxa"/>
              <w:bottom w:w="80" w:type="dxa"/>
              <w:left w:w="100" w:type="dxa"/>
              <w:right w:w="100" w:type="dxa"/>
            </w:tcMar>
            <w:shd w:fill="F8FAFC"/>
            <w:tcBorders>
              <w:top w:val="single" w:sz="4" w:space="0" w:color="CBD5E1"/>
              <w:bottom w:val="single" w:sz="4" w:space="0" w:color="CBD5E1"/>
              <w:left w:val="none" w:sz="0" w:space="0" w:color="auto"/>
              <w:right w:val="none" w:sz="0" w:space="0" w:color="auto"/>
            </w:tcBorders>
          </w:tcPr>
          <w:p>
            <w:pPr>
              <w:spacing w:before="0" w:after="0" w:line="252" w:lineRule="auto"/>
              <w:jc w:val="left"/>
            </w:pPr>
            <w:r>
              <w:rPr>
                <w:rFonts w:ascii="Calibri" w:hAnsi="Calibri"/>
                <w:b w:val="0"/>
                <w:i w:val="0"/>
                <w:color w:val="334155"/>
                <w:sz w:val="18"/>
              </w:rPr>
              <w:t>Binary PAT Validity Flag</w:t>
            </w:r>
          </w:p>
        </w:tc>
        <w:tc>
          <w:tcPr>
            <w:tcW w:type="dxa" w:w="1584"/>
            <w:tcMar>
              <w:top w:w="80" w:type="dxa"/>
              <w:bottom w:w="80" w:type="dxa"/>
              <w:left w:w="100" w:type="dxa"/>
              <w:right w:w="100" w:type="dxa"/>
            </w:tcMar>
            <w:shd w:fill="F8FAFC"/>
            <w:tcBorders>
              <w:top w:val="single" w:sz="4" w:space="0" w:color="CBD5E1"/>
              <w:bottom w:val="single" w:sz="4" w:space="0" w:color="CBD5E1"/>
              <w:left w:val="none" w:sz="0" w:space="0" w:color="auto"/>
              <w:right w:val="none" w:sz="0" w:space="0" w:color="auto"/>
            </w:tcBorders>
          </w:tcPr>
          <w:p>
            <w:pPr>
              <w:spacing w:before="0" w:after="0" w:line="252" w:lineRule="auto"/>
              <w:jc w:val="left"/>
            </w:pPr>
            <w:r>
              <w:rPr>
                <w:rFonts w:ascii="Calibri" w:hAnsi="Calibri"/>
                <w:b w:val="0"/>
                <w:i w:val="0"/>
                <w:color w:val="334155"/>
                <w:sz w:val="18"/>
              </w:rPr>
              <w:t>{0, 1}</w:t>
            </w:r>
          </w:p>
        </w:tc>
        <w:tc>
          <w:tcPr>
            <w:tcW w:type="dxa" w:w="2304"/>
            <w:tcMar>
              <w:top w:w="80" w:type="dxa"/>
              <w:bottom w:w="80" w:type="dxa"/>
              <w:left w:w="100" w:type="dxa"/>
              <w:right w:w="100" w:type="dxa"/>
            </w:tcMar>
            <w:shd w:fill="F8FAFC"/>
            <w:tcBorders>
              <w:top w:val="single" w:sz="4" w:space="0" w:color="CBD5E1"/>
              <w:bottom w:val="single" w:sz="4" w:space="0" w:color="CBD5E1"/>
              <w:left w:val="none" w:sz="0" w:space="0" w:color="auto"/>
              <w:right w:val="none" w:sz="0" w:space="0" w:color="auto"/>
            </w:tcBorders>
          </w:tcPr>
          <w:p>
            <w:pPr>
              <w:spacing w:before="0" w:after="0" w:line="252" w:lineRule="auto"/>
              <w:jc w:val="left"/>
            </w:pPr>
            <w:r>
              <w:rPr>
                <w:rFonts w:ascii="Calibri" w:hAnsi="Calibri"/>
                <w:b w:val="0"/>
                <w:i w:val="0"/>
                <w:color w:val="334155"/>
                <w:sz w:val="18"/>
              </w:rPr>
              <w:t>Ensures PAT sufficiency before scoring</w:t>
            </w:r>
          </w:p>
        </w:tc>
      </w:tr>
      <w:tr>
        <w:tc>
          <w:tcPr>
            <w:tcW w:type="dxa" w:w="1872"/>
            <w:tcMar>
              <w:top w:w="80" w:type="dxa"/>
              <w:bottom w:w="80" w:type="dxa"/>
              <w:left w:w="100" w:type="dxa"/>
              <w:right w:w="100" w:type="dxa"/>
            </w:tcMar>
            <w:shd w:fill="FFFFFF"/>
            <w:tcBorders>
              <w:top w:val="single" w:sz="4" w:space="0" w:color="CBD5E1"/>
              <w:bottom w:val="single" w:sz="4" w:space="0" w:color="CBD5E1"/>
              <w:left w:val="none" w:sz="0" w:space="0" w:color="auto"/>
              <w:right w:val="none" w:sz="0" w:space="0" w:color="auto"/>
            </w:tcBorders>
          </w:tcPr>
          <w:p>
            <w:pPr>
              <w:spacing w:before="0" w:after="0" w:line="252" w:lineRule="auto"/>
              <w:jc w:val="left"/>
            </w:pPr>
            <w:r>
              <w:rPr>
                <w:rFonts w:ascii="Calibri" w:hAnsi="Calibri"/>
                <w:b w:val="0"/>
                <w:i w:val="0"/>
                <w:color w:val="334155"/>
                <w:sz w:val="18"/>
              </w:rPr>
              <w:t>PPG Perfusion</w:t>
            </w:r>
          </w:p>
        </w:tc>
        <w:tc>
          <w:tcPr>
            <w:tcW w:type="dxa" w:w="1872"/>
            <w:tcMar>
              <w:top w:w="80" w:type="dxa"/>
              <w:bottom w:w="80" w:type="dxa"/>
              <w:left w:w="100" w:type="dxa"/>
              <w:right w:w="100" w:type="dxa"/>
            </w:tcMar>
            <w:shd w:fill="FFFFFF"/>
            <w:tcBorders>
              <w:top w:val="single" w:sz="4" w:space="0" w:color="CBD5E1"/>
              <w:bottom w:val="single" w:sz="4" w:space="0" w:color="CBD5E1"/>
              <w:left w:val="none" w:sz="0" w:space="0" w:color="auto"/>
              <w:right w:val="none" w:sz="0" w:space="0" w:color="auto"/>
            </w:tcBorders>
          </w:tcPr>
          <w:p>
            <w:pPr>
              <w:spacing w:before="0" w:after="0" w:line="252" w:lineRule="auto"/>
              <w:jc w:val="left"/>
            </w:pPr>
            <w:r>
              <w:rPr>
                <w:rFonts w:ascii="Calibri" w:hAnsi="Calibri"/>
                <w:b w:val="0"/>
                <w:i w:val="0"/>
                <w:color w:val="334155"/>
                <w:sz w:val="18"/>
              </w:rPr>
              <w:t>ppg_pulse_amp</w:t>
            </w:r>
          </w:p>
        </w:tc>
        <w:tc>
          <w:tcPr>
            <w:tcW w:type="dxa" w:w="2448"/>
            <w:tcMar>
              <w:top w:w="80" w:type="dxa"/>
              <w:bottom w:w="80" w:type="dxa"/>
              <w:left w:w="100" w:type="dxa"/>
              <w:right w:w="100" w:type="dxa"/>
            </w:tcMar>
            <w:shd w:fill="FFFFFF"/>
            <w:tcBorders>
              <w:top w:val="single" w:sz="4" w:space="0" w:color="CBD5E1"/>
              <w:bottom w:val="single" w:sz="4" w:space="0" w:color="CBD5E1"/>
              <w:left w:val="none" w:sz="0" w:space="0" w:color="auto"/>
              <w:right w:val="none" w:sz="0" w:space="0" w:color="auto"/>
            </w:tcBorders>
          </w:tcPr>
          <w:p>
            <w:pPr>
              <w:spacing w:before="0" w:after="0" w:line="252" w:lineRule="auto"/>
              <w:jc w:val="left"/>
            </w:pPr>
            <w:r>
              <w:rPr>
                <w:rFonts w:ascii="Calibri" w:hAnsi="Calibri"/>
                <w:b w:val="0"/>
                <w:i w:val="0"/>
                <w:color w:val="334155"/>
                <w:sz w:val="18"/>
              </w:rPr>
              <w:t>PPG Pulse Wave Amplitude</w:t>
            </w:r>
          </w:p>
        </w:tc>
        <w:tc>
          <w:tcPr>
            <w:tcW w:type="dxa" w:w="1584"/>
            <w:tcMar>
              <w:top w:w="80" w:type="dxa"/>
              <w:bottom w:w="80" w:type="dxa"/>
              <w:left w:w="100" w:type="dxa"/>
              <w:right w:w="100" w:type="dxa"/>
            </w:tcMar>
            <w:shd w:fill="FFFFFF"/>
            <w:tcBorders>
              <w:top w:val="single" w:sz="4" w:space="0" w:color="CBD5E1"/>
              <w:bottom w:val="single" w:sz="4" w:space="0" w:color="CBD5E1"/>
              <w:left w:val="none" w:sz="0" w:space="0" w:color="auto"/>
              <w:right w:val="none" w:sz="0" w:space="0" w:color="auto"/>
            </w:tcBorders>
          </w:tcPr>
          <w:p>
            <w:pPr>
              <w:spacing w:before="0" w:after="0" w:line="252" w:lineRule="auto"/>
              <w:jc w:val="left"/>
            </w:pPr>
            <w:r>
              <w:rPr>
                <w:rFonts w:ascii="Calibri" w:hAnsi="Calibri"/>
                <w:b w:val="0"/>
                <w:i w:val="0"/>
                <w:color w:val="334155"/>
                <w:sz w:val="18"/>
              </w:rPr>
              <w:t>[0, 50000] a.u.</w:t>
            </w:r>
          </w:p>
        </w:tc>
        <w:tc>
          <w:tcPr>
            <w:tcW w:type="dxa" w:w="2304"/>
            <w:tcMar>
              <w:top w:w="80" w:type="dxa"/>
              <w:bottom w:w="80" w:type="dxa"/>
              <w:left w:w="100" w:type="dxa"/>
              <w:right w:w="100" w:type="dxa"/>
            </w:tcMar>
            <w:shd w:fill="FFFFFF"/>
            <w:tcBorders>
              <w:top w:val="single" w:sz="4" w:space="0" w:color="CBD5E1"/>
              <w:bottom w:val="single" w:sz="4" w:space="0" w:color="CBD5E1"/>
              <w:left w:val="none" w:sz="0" w:space="0" w:color="auto"/>
              <w:right w:val="none" w:sz="0" w:space="0" w:color="auto"/>
            </w:tcBorders>
          </w:tcPr>
          <w:p>
            <w:pPr>
              <w:spacing w:before="0" w:after="0" w:line="252" w:lineRule="auto"/>
              <w:jc w:val="left"/>
            </w:pPr>
            <w:r>
              <w:rPr>
                <w:rFonts w:ascii="Calibri" w:hAnsi="Calibri"/>
                <w:b w:val="0"/>
                <w:i w:val="0"/>
                <w:color w:val="334155"/>
                <w:sz w:val="18"/>
              </w:rPr>
              <w:t>Peripheral microvascular blood volume pulse</w:t>
            </w:r>
          </w:p>
        </w:tc>
      </w:tr>
      <w:tr>
        <w:tc>
          <w:tcPr>
            <w:tcW w:type="dxa" w:w="1872"/>
            <w:tcMar>
              <w:top w:w="80" w:type="dxa"/>
              <w:bottom w:w="80" w:type="dxa"/>
              <w:left w:w="100" w:type="dxa"/>
              <w:right w:w="100" w:type="dxa"/>
            </w:tcMar>
            <w:shd w:fill="F8FAFC"/>
            <w:tcBorders>
              <w:top w:val="single" w:sz="4" w:space="0" w:color="CBD5E1"/>
              <w:bottom w:val="single" w:sz="4" w:space="0" w:color="CBD5E1"/>
              <w:left w:val="none" w:sz="0" w:space="0" w:color="auto"/>
              <w:right w:val="none" w:sz="0" w:space="0" w:color="auto"/>
            </w:tcBorders>
          </w:tcPr>
          <w:p>
            <w:pPr>
              <w:spacing w:before="0" w:after="0" w:line="252" w:lineRule="auto"/>
              <w:jc w:val="left"/>
            </w:pPr>
            <w:r>
              <w:rPr>
                <w:rFonts w:ascii="Calibri" w:hAnsi="Calibri"/>
                <w:b w:val="0"/>
                <w:i w:val="0"/>
                <w:color w:val="334155"/>
                <w:sz w:val="18"/>
              </w:rPr>
              <w:t>PPG Perfusion</w:t>
            </w:r>
          </w:p>
        </w:tc>
        <w:tc>
          <w:tcPr>
            <w:tcW w:type="dxa" w:w="1872"/>
            <w:tcMar>
              <w:top w:w="80" w:type="dxa"/>
              <w:bottom w:w="80" w:type="dxa"/>
              <w:left w:w="100" w:type="dxa"/>
              <w:right w:w="100" w:type="dxa"/>
            </w:tcMar>
            <w:shd w:fill="F8FAFC"/>
            <w:tcBorders>
              <w:top w:val="single" w:sz="4" w:space="0" w:color="CBD5E1"/>
              <w:bottom w:val="single" w:sz="4" w:space="0" w:color="CBD5E1"/>
              <w:left w:val="none" w:sz="0" w:space="0" w:color="auto"/>
              <w:right w:val="none" w:sz="0" w:space="0" w:color="auto"/>
            </w:tcBorders>
          </w:tcPr>
          <w:p>
            <w:pPr>
              <w:spacing w:before="0" w:after="0" w:line="252" w:lineRule="auto"/>
              <w:jc w:val="left"/>
            </w:pPr>
            <w:r>
              <w:rPr>
                <w:rFonts w:ascii="Calibri" w:hAnsi="Calibri"/>
                <w:b w:val="0"/>
                <w:i w:val="0"/>
                <w:color w:val="334155"/>
                <w:sz w:val="18"/>
              </w:rPr>
              <w:t>ppg_perfusion_index</w:t>
            </w:r>
          </w:p>
        </w:tc>
        <w:tc>
          <w:tcPr>
            <w:tcW w:type="dxa" w:w="2448"/>
            <w:tcMar>
              <w:top w:w="80" w:type="dxa"/>
              <w:bottom w:w="80" w:type="dxa"/>
              <w:left w:w="100" w:type="dxa"/>
              <w:right w:w="100" w:type="dxa"/>
            </w:tcMar>
            <w:shd w:fill="F8FAFC"/>
            <w:tcBorders>
              <w:top w:val="single" w:sz="4" w:space="0" w:color="CBD5E1"/>
              <w:bottom w:val="single" w:sz="4" w:space="0" w:color="CBD5E1"/>
              <w:left w:val="none" w:sz="0" w:space="0" w:color="auto"/>
              <w:right w:val="none" w:sz="0" w:space="0" w:color="auto"/>
            </w:tcBorders>
          </w:tcPr>
          <w:p>
            <w:pPr>
              <w:spacing w:before="0" w:after="0" w:line="252" w:lineRule="auto"/>
              <w:jc w:val="left"/>
            </w:pPr>
            <w:r>
              <w:rPr>
                <w:rFonts w:ascii="Calibri" w:hAnsi="Calibri"/>
                <w:b w:val="0"/>
                <w:i w:val="0"/>
                <w:color w:val="334155"/>
                <w:sz w:val="18"/>
              </w:rPr>
              <w:t>Perfusion Index (AC/DC)</w:t>
            </w:r>
          </w:p>
        </w:tc>
        <w:tc>
          <w:tcPr>
            <w:tcW w:type="dxa" w:w="1584"/>
            <w:tcMar>
              <w:top w:w="80" w:type="dxa"/>
              <w:bottom w:w="80" w:type="dxa"/>
              <w:left w:w="100" w:type="dxa"/>
              <w:right w:w="100" w:type="dxa"/>
            </w:tcMar>
            <w:shd w:fill="F8FAFC"/>
            <w:tcBorders>
              <w:top w:val="single" w:sz="4" w:space="0" w:color="CBD5E1"/>
              <w:bottom w:val="single" w:sz="4" w:space="0" w:color="CBD5E1"/>
              <w:left w:val="none" w:sz="0" w:space="0" w:color="auto"/>
              <w:right w:val="none" w:sz="0" w:space="0" w:color="auto"/>
            </w:tcBorders>
          </w:tcPr>
          <w:p>
            <w:pPr>
              <w:spacing w:before="0" w:after="0" w:line="252" w:lineRule="auto"/>
              <w:jc w:val="left"/>
            </w:pPr>
            <w:r>
              <w:rPr>
                <w:rFonts w:ascii="Calibri" w:hAnsi="Calibri"/>
                <w:b w:val="0"/>
                <w:i w:val="0"/>
                <w:color w:val="334155"/>
                <w:sz w:val="18"/>
              </w:rPr>
              <w:t>[0, 10000] ratio</w:t>
            </w:r>
          </w:p>
        </w:tc>
        <w:tc>
          <w:tcPr>
            <w:tcW w:type="dxa" w:w="2304"/>
            <w:tcMar>
              <w:top w:w="80" w:type="dxa"/>
              <w:bottom w:w="80" w:type="dxa"/>
              <w:left w:w="100" w:type="dxa"/>
              <w:right w:w="100" w:type="dxa"/>
            </w:tcMar>
            <w:shd w:fill="F8FAFC"/>
            <w:tcBorders>
              <w:top w:val="single" w:sz="4" w:space="0" w:color="CBD5E1"/>
              <w:bottom w:val="single" w:sz="4" w:space="0" w:color="CBD5E1"/>
              <w:left w:val="none" w:sz="0" w:space="0" w:color="auto"/>
              <w:right w:val="none" w:sz="0" w:space="0" w:color="auto"/>
            </w:tcBorders>
          </w:tcPr>
          <w:p>
            <w:pPr>
              <w:spacing w:before="0" w:after="0" w:line="252" w:lineRule="auto"/>
              <w:jc w:val="left"/>
            </w:pPr>
            <w:r>
              <w:rPr>
                <w:rFonts w:ascii="Calibri" w:hAnsi="Calibri"/>
                <w:b w:val="0"/>
                <w:i w:val="0"/>
                <w:color w:val="334155"/>
                <w:sz w:val="18"/>
              </w:rPr>
              <w:t>Ratio of pulsatile to non-pulsatile blood flow</w:t>
            </w:r>
          </w:p>
        </w:tc>
      </w:tr>
      <w:tr>
        <w:tc>
          <w:tcPr>
            <w:tcW w:type="dxa" w:w="1872"/>
            <w:tcMar>
              <w:top w:w="80" w:type="dxa"/>
              <w:bottom w:w="80" w:type="dxa"/>
              <w:left w:w="100" w:type="dxa"/>
              <w:right w:w="100" w:type="dxa"/>
            </w:tcMar>
            <w:shd w:fill="FFFFFF"/>
            <w:tcBorders>
              <w:top w:val="single" w:sz="4" w:space="0" w:color="CBD5E1"/>
              <w:bottom w:val="single" w:sz="4" w:space="0" w:color="CBD5E1"/>
              <w:left w:val="none" w:sz="0" w:space="0" w:color="auto"/>
              <w:right w:val="none" w:sz="0" w:space="0" w:color="auto"/>
            </w:tcBorders>
          </w:tcPr>
          <w:p>
            <w:pPr>
              <w:spacing w:before="0" w:after="0" w:line="252" w:lineRule="auto"/>
              <w:jc w:val="left"/>
            </w:pPr>
            <w:r>
              <w:rPr>
                <w:rFonts w:ascii="Calibri" w:hAnsi="Calibri"/>
                <w:b w:val="0"/>
                <w:i w:val="0"/>
                <w:color w:val="334155"/>
                <w:sz w:val="18"/>
              </w:rPr>
              <w:t>PPG Perfusion</w:t>
            </w:r>
          </w:p>
        </w:tc>
        <w:tc>
          <w:tcPr>
            <w:tcW w:type="dxa" w:w="1872"/>
            <w:tcMar>
              <w:top w:w="80" w:type="dxa"/>
              <w:bottom w:w="80" w:type="dxa"/>
              <w:left w:w="100" w:type="dxa"/>
              <w:right w:w="100" w:type="dxa"/>
            </w:tcMar>
            <w:shd w:fill="FFFFFF"/>
            <w:tcBorders>
              <w:top w:val="single" w:sz="4" w:space="0" w:color="CBD5E1"/>
              <w:bottom w:val="single" w:sz="4" w:space="0" w:color="CBD5E1"/>
              <w:left w:val="none" w:sz="0" w:space="0" w:color="auto"/>
              <w:right w:val="none" w:sz="0" w:space="0" w:color="auto"/>
            </w:tcBorders>
          </w:tcPr>
          <w:p>
            <w:pPr>
              <w:spacing w:before="0" w:after="0" w:line="252" w:lineRule="auto"/>
              <w:jc w:val="left"/>
            </w:pPr>
            <w:r>
              <w:rPr>
                <w:rFonts w:ascii="Calibri" w:hAnsi="Calibri"/>
                <w:b w:val="0"/>
                <w:i w:val="0"/>
                <w:color w:val="334155"/>
                <w:sz w:val="18"/>
              </w:rPr>
              <w:t>ppg_crest_time_ms</w:t>
            </w:r>
          </w:p>
        </w:tc>
        <w:tc>
          <w:tcPr>
            <w:tcW w:type="dxa" w:w="2448"/>
            <w:tcMar>
              <w:top w:w="80" w:type="dxa"/>
              <w:bottom w:w="80" w:type="dxa"/>
              <w:left w:w="100" w:type="dxa"/>
              <w:right w:w="100" w:type="dxa"/>
            </w:tcMar>
            <w:shd w:fill="FFFFFF"/>
            <w:tcBorders>
              <w:top w:val="single" w:sz="4" w:space="0" w:color="CBD5E1"/>
              <w:bottom w:val="single" w:sz="4" w:space="0" w:color="CBD5E1"/>
              <w:left w:val="none" w:sz="0" w:space="0" w:color="auto"/>
              <w:right w:val="none" w:sz="0" w:space="0" w:color="auto"/>
            </w:tcBorders>
          </w:tcPr>
          <w:p>
            <w:pPr>
              <w:spacing w:before="0" w:after="0" w:line="252" w:lineRule="auto"/>
              <w:jc w:val="left"/>
            </w:pPr>
            <w:r>
              <w:rPr>
                <w:rFonts w:ascii="Calibri" w:hAnsi="Calibri"/>
                <w:b w:val="0"/>
                <w:i w:val="0"/>
                <w:color w:val="334155"/>
                <w:sz w:val="18"/>
              </w:rPr>
              <w:t>PPG Systolic Crest Time</w:t>
            </w:r>
          </w:p>
        </w:tc>
        <w:tc>
          <w:tcPr>
            <w:tcW w:type="dxa" w:w="1584"/>
            <w:tcMar>
              <w:top w:w="80" w:type="dxa"/>
              <w:bottom w:w="80" w:type="dxa"/>
              <w:left w:w="100" w:type="dxa"/>
              <w:right w:w="100" w:type="dxa"/>
            </w:tcMar>
            <w:shd w:fill="FFFFFF"/>
            <w:tcBorders>
              <w:top w:val="single" w:sz="4" w:space="0" w:color="CBD5E1"/>
              <w:bottom w:val="single" w:sz="4" w:space="0" w:color="CBD5E1"/>
              <w:left w:val="none" w:sz="0" w:space="0" w:color="auto"/>
              <w:right w:val="none" w:sz="0" w:space="0" w:color="auto"/>
            </w:tcBorders>
          </w:tcPr>
          <w:p>
            <w:pPr>
              <w:spacing w:before="0" w:after="0" w:line="252" w:lineRule="auto"/>
              <w:jc w:val="left"/>
            </w:pPr>
            <w:r>
              <w:rPr>
                <w:rFonts w:ascii="Calibri" w:hAnsi="Calibri"/>
                <w:b w:val="0"/>
                <w:i w:val="0"/>
                <w:color w:val="334155"/>
                <w:sz w:val="18"/>
              </w:rPr>
              <w:t>[20, 500] ms</w:t>
            </w:r>
          </w:p>
        </w:tc>
        <w:tc>
          <w:tcPr>
            <w:tcW w:type="dxa" w:w="2304"/>
            <w:tcMar>
              <w:top w:w="80" w:type="dxa"/>
              <w:bottom w:w="80" w:type="dxa"/>
              <w:left w:w="100" w:type="dxa"/>
              <w:right w:w="100" w:type="dxa"/>
            </w:tcMar>
            <w:shd w:fill="FFFFFF"/>
            <w:tcBorders>
              <w:top w:val="single" w:sz="4" w:space="0" w:color="CBD5E1"/>
              <w:bottom w:val="single" w:sz="4" w:space="0" w:color="CBD5E1"/>
              <w:left w:val="none" w:sz="0" w:space="0" w:color="auto"/>
              <w:right w:val="none" w:sz="0" w:space="0" w:color="auto"/>
            </w:tcBorders>
          </w:tcPr>
          <w:p>
            <w:pPr>
              <w:spacing w:before="0" w:after="0" w:line="252" w:lineRule="auto"/>
              <w:jc w:val="left"/>
            </w:pPr>
            <w:r>
              <w:rPr>
                <w:rFonts w:ascii="Calibri" w:hAnsi="Calibri"/>
                <w:b w:val="0"/>
                <w:i w:val="0"/>
                <w:color w:val="334155"/>
                <w:sz w:val="18"/>
              </w:rPr>
              <w:t>Time from foot to peak; reflects arterial stiffness</w:t>
            </w:r>
          </w:p>
        </w:tc>
      </w:tr>
      <w:tr>
        <w:tc>
          <w:tcPr>
            <w:tcW w:type="dxa" w:w="1872"/>
            <w:tcMar>
              <w:top w:w="80" w:type="dxa"/>
              <w:bottom w:w="80" w:type="dxa"/>
              <w:left w:w="100" w:type="dxa"/>
              <w:right w:w="100" w:type="dxa"/>
            </w:tcMar>
            <w:shd w:fill="F8FAFC"/>
            <w:tcBorders>
              <w:top w:val="single" w:sz="4" w:space="0" w:color="CBD5E1"/>
              <w:bottom w:val="single" w:sz="4" w:space="0" w:color="CBD5E1"/>
              <w:left w:val="none" w:sz="0" w:space="0" w:color="auto"/>
              <w:right w:val="none" w:sz="0" w:space="0" w:color="auto"/>
            </w:tcBorders>
          </w:tcPr>
          <w:p>
            <w:pPr>
              <w:spacing w:before="0" w:after="0" w:line="252" w:lineRule="auto"/>
              <w:jc w:val="left"/>
            </w:pPr>
            <w:r>
              <w:rPr>
                <w:rFonts w:ascii="Calibri" w:hAnsi="Calibri"/>
                <w:b w:val="0"/>
                <w:i w:val="0"/>
                <w:color w:val="334155"/>
                <w:sz w:val="18"/>
              </w:rPr>
              <w:t>PPG Perfusion</w:t>
            </w:r>
          </w:p>
        </w:tc>
        <w:tc>
          <w:tcPr>
            <w:tcW w:type="dxa" w:w="1872"/>
            <w:tcMar>
              <w:top w:w="80" w:type="dxa"/>
              <w:bottom w:w="80" w:type="dxa"/>
              <w:left w:w="100" w:type="dxa"/>
              <w:right w:w="100" w:type="dxa"/>
            </w:tcMar>
            <w:shd w:fill="F8FAFC"/>
            <w:tcBorders>
              <w:top w:val="single" w:sz="4" w:space="0" w:color="CBD5E1"/>
              <w:bottom w:val="single" w:sz="4" w:space="0" w:color="CBD5E1"/>
              <w:left w:val="none" w:sz="0" w:space="0" w:color="auto"/>
              <w:right w:val="none" w:sz="0" w:space="0" w:color="auto"/>
            </w:tcBorders>
          </w:tcPr>
          <w:p>
            <w:pPr>
              <w:spacing w:before="0" w:after="0" w:line="252" w:lineRule="auto"/>
              <w:jc w:val="left"/>
            </w:pPr>
            <w:r>
              <w:rPr>
                <w:rFonts w:ascii="Calibri" w:hAnsi="Calibri"/>
                <w:b w:val="0"/>
                <w:i w:val="0"/>
                <w:color w:val="334155"/>
                <w:sz w:val="18"/>
              </w:rPr>
              <w:t>ppg_sqi</w:t>
            </w:r>
          </w:p>
        </w:tc>
        <w:tc>
          <w:tcPr>
            <w:tcW w:type="dxa" w:w="2448"/>
            <w:tcMar>
              <w:top w:w="80" w:type="dxa"/>
              <w:bottom w:w="80" w:type="dxa"/>
              <w:left w:w="100" w:type="dxa"/>
              <w:right w:w="100" w:type="dxa"/>
            </w:tcMar>
            <w:shd w:fill="F8FAFC"/>
            <w:tcBorders>
              <w:top w:val="single" w:sz="4" w:space="0" w:color="CBD5E1"/>
              <w:bottom w:val="single" w:sz="4" w:space="0" w:color="CBD5E1"/>
              <w:left w:val="none" w:sz="0" w:space="0" w:color="auto"/>
              <w:right w:val="none" w:sz="0" w:space="0" w:color="auto"/>
            </w:tcBorders>
          </w:tcPr>
          <w:p>
            <w:pPr>
              <w:spacing w:before="0" w:after="0" w:line="252" w:lineRule="auto"/>
              <w:jc w:val="left"/>
            </w:pPr>
            <w:r>
              <w:rPr>
                <w:rFonts w:ascii="Calibri" w:hAnsi="Calibri"/>
                <w:b w:val="0"/>
                <w:i w:val="0"/>
                <w:color w:val="334155"/>
                <w:sz w:val="18"/>
              </w:rPr>
              <w:t>PPG Signal Quality Index</w:t>
            </w:r>
          </w:p>
        </w:tc>
        <w:tc>
          <w:tcPr>
            <w:tcW w:type="dxa" w:w="1584"/>
            <w:tcMar>
              <w:top w:w="80" w:type="dxa"/>
              <w:bottom w:w="80" w:type="dxa"/>
              <w:left w:w="100" w:type="dxa"/>
              <w:right w:w="100" w:type="dxa"/>
            </w:tcMar>
            <w:shd w:fill="F8FAFC"/>
            <w:tcBorders>
              <w:top w:val="single" w:sz="4" w:space="0" w:color="CBD5E1"/>
              <w:bottom w:val="single" w:sz="4" w:space="0" w:color="CBD5E1"/>
              <w:left w:val="none" w:sz="0" w:space="0" w:color="auto"/>
              <w:right w:val="none" w:sz="0" w:space="0" w:color="auto"/>
            </w:tcBorders>
          </w:tcPr>
          <w:p>
            <w:pPr>
              <w:spacing w:before="0" w:after="0" w:line="252" w:lineRule="auto"/>
              <w:jc w:val="left"/>
            </w:pPr>
            <w:r>
              <w:rPr>
                <w:rFonts w:ascii="Calibri" w:hAnsi="Calibri"/>
                <w:b w:val="0"/>
                <w:i w:val="0"/>
                <w:color w:val="334155"/>
                <w:sz w:val="18"/>
              </w:rPr>
              <w:t>[0.0, 1.0]</w:t>
            </w:r>
          </w:p>
        </w:tc>
        <w:tc>
          <w:tcPr>
            <w:tcW w:type="dxa" w:w="2304"/>
            <w:tcMar>
              <w:top w:w="80" w:type="dxa"/>
              <w:bottom w:w="80" w:type="dxa"/>
              <w:left w:w="100" w:type="dxa"/>
              <w:right w:w="100" w:type="dxa"/>
            </w:tcMar>
            <w:shd w:fill="F8FAFC"/>
            <w:tcBorders>
              <w:top w:val="single" w:sz="4" w:space="0" w:color="CBD5E1"/>
              <w:bottom w:val="single" w:sz="4" w:space="0" w:color="CBD5E1"/>
              <w:left w:val="none" w:sz="0" w:space="0" w:color="auto"/>
              <w:right w:val="none" w:sz="0" w:space="0" w:color="auto"/>
            </w:tcBorders>
          </w:tcPr>
          <w:p>
            <w:pPr>
              <w:spacing w:before="0" w:after="0" w:line="252" w:lineRule="auto"/>
              <w:jc w:val="left"/>
            </w:pPr>
            <w:r>
              <w:rPr>
                <w:rFonts w:ascii="Calibri" w:hAnsi="Calibri"/>
                <w:b w:val="0"/>
                <w:i w:val="0"/>
                <w:color w:val="334155"/>
                <w:sz w:val="18"/>
              </w:rPr>
              <w:t>Pulse waveform template correlation</w:t>
            </w:r>
          </w:p>
        </w:tc>
      </w:tr>
      <w:tr>
        <w:tc>
          <w:tcPr>
            <w:tcW w:type="dxa" w:w="1872"/>
            <w:tcMar>
              <w:top w:w="80" w:type="dxa"/>
              <w:bottom w:w="80" w:type="dxa"/>
              <w:left w:w="100" w:type="dxa"/>
              <w:right w:w="100" w:type="dxa"/>
            </w:tcMar>
            <w:shd w:fill="FFFFFF"/>
            <w:tcBorders>
              <w:top w:val="single" w:sz="4" w:space="0" w:color="CBD5E1"/>
              <w:bottom w:val="single" w:sz="4" w:space="0" w:color="CBD5E1"/>
              <w:left w:val="none" w:sz="0" w:space="0" w:color="auto"/>
              <w:right w:val="none" w:sz="0" w:space="0" w:color="auto"/>
            </w:tcBorders>
          </w:tcPr>
          <w:p>
            <w:pPr>
              <w:spacing w:before="0" w:after="0" w:line="252" w:lineRule="auto"/>
              <w:jc w:val="left"/>
            </w:pPr>
            <w:r>
              <w:rPr>
                <w:rFonts w:ascii="Calibri" w:hAnsi="Calibri"/>
                <w:b w:val="0"/>
                <w:i w:val="0"/>
                <w:color w:val="334155"/>
                <w:sz w:val="18"/>
              </w:rPr>
              <w:t>Oxygenation</w:t>
            </w:r>
          </w:p>
        </w:tc>
        <w:tc>
          <w:tcPr>
            <w:tcW w:type="dxa" w:w="1872"/>
            <w:tcMar>
              <w:top w:w="80" w:type="dxa"/>
              <w:bottom w:w="80" w:type="dxa"/>
              <w:left w:w="100" w:type="dxa"/>
              <w:right w:w="100" w:type="dxa"/>
            </w:tcMar>
            <w:shd w:fill="FFFFFF"/>
            <w:tcBorders>
              <w:top w:val="single" w:sz="4" w:space="0" w:color="CBD5E1"/>
              <w:bottom w:val="single" w:sz="4" w:space="0" w:color="CBD5E1"/>
              <w:left w:val="none" w:sz="0" w:space="0" w:color="auto"/>
              <w:right w:val="none" w:sz="0" w:space="0" w:color="auto"/>
            </w:tcBorders>
          </w:tcPr>
          <w:p>
            <w:pPr>
              <w:spacing w:before="0" w:after="0" w:line="252" w:lineRule="auto"/>
              <w:jc w:val="left"/>
            </w:pPr>
            <w:r>
              <w:rPr>
                <w:rFonts w:ascii="Calibri" w:hAnsi="Calibri"/>
                <w:b w:val="0"/>
                <w:i w:val="0"/>
                <w:color w:val="334155"/>
                <w:sz w:val="18"/>
              </w:rPr>
              <w:t>spo2_mean</w:t>
            </w:r>
          </w:p>
        </w:tc>
        <w:tc>
          <w:tcPr>
            <w:tcW w:type="dxa" w:w="2448"/>
            <w:tcMar>
              <w:top w:w="80" w:type="dxa"/>
              <w:bottom w:w="80" w:type="dxa"/>
              <w:left w:w="100" w:type="dxa"/>
              <w:right w:w="100" w:type="dxa"/>
            </w:tcMar>
            <w:shd w:fill="FFFFFF"/>
            <w:tcBorders>
              <w:top w:val="single" w:sz="4" w:space="0" w:color="CBD5E1"/>
              <w:bottom w:val="single" w:sz="4" w:space="0" w:color="CBD5E1"/>
              <w:left w:val="none" w:sz="0" w:space="0" w:color="auto"/>
              <w:right w:val="none" w:sz="0" w:space="0" w:color="auto"/>
            </w:tcBorders>
          </w:tcPr>
          <w:p>
            <w:pPr>
              <w:spacing w:before="0" w:after="0" w:line="252" w:lineRule="auto"/>
              <w:jc w:val="left"/>
            </w:pPr>
            <w:r>
              <w:rPr>
                <w:rFonts w:ascii="Calibri" w:hAnsi="Calibri"/>
                <w:b w:val="0"/>
                <w:i w:val="0"/>
                <w:color w:val="334155"/>
                <w:sz w:val="18"/>
              </w:rPr>
              <w:t>Mean Arterial Oxygen Sat</w:t>
            </w:r>
          </w:p>
        </w:tc>
        <w:tc>
          <w:tcPr>
            <w:tcW w:type="dxa" w:w="1584"/>
            <w:tcMar>
              <w:top w:w="80" w:type="dxa"/>
              <w:bottom w:w="80" w:type="dxa"/>
              <w:left w:w="100" w:type="dxa"/>
              <w:right w:w="100" w:type="dxa"/>
            </w:tcMar>
            <w:shd w:fill="FFFFFF"/>
            <w:tcBorders>
              <w:top w:val="single" w:sz="4" w:space="0" w:color="CBD5E1"/>
              <w:bottom w:val="single" w:sz="4" w:space="0" w:color="CBD5E1"/>
              <w:left w:val="none" w:sz="0" w:space="0" w:color="auto"/>
              <w:right w:val="none" w:sz="0" w:space="0" w:color="auto"/>
            </w:tcBorders>
          </w:tcPr>
          <w:p>
            <w:pPr>
              <w:spacing w:before="0" w:after="0" w:line="252" w:lineRule="auto"/>
              <w:jc w:val="left"/>
            </w:pPr>
            <w:r>
              <w:rPr>
                <w:rFonts w:ascii="Calibri" w:hAnsi="Calibri"/>
                <w:b w:val="0"/>
                <w:i w:val="0"/>
                <w:color w:val="334155"/>
                <w:sz w:val="18"/>
              </w:rPr>
              <w:t>[40, 100] %</w:t>
            </w:r>
          </w:p>
        </w:tc>
        <w:tc>
          <w:tcPr>
            <w:tcW w:type="dxa" w:w="2304"/>
            <w:tcMar>
              <w:top w:w="80" w:type="dxa"/>
              <w:bottom w:w="80" w:type="dxa"/>
              <w:left w:w="100" w:type="dxa"/>
              <w:right w:w="100" w:type="dxa"/>
            </w:tcMar>
            <w:shd w:fill="FFFFFF"/>
            <w:tcBorders>
              <w:top w:val="single" w:sz="4" w:space="0" w:color="CBD5E1"/>
              <w:bottom w:val="single" w:sz="4" w:space="0" w:color="CBD5E1"/>
              <w:left w:val="none" w:sz="0" w:space="0" w:color="auto"/>
              <w:right w:val="none" w:sz="0" w:space="0" w:color="auto"/>
            </w:tcBorders>
          </w:tcPr>
          <w:p>
            <w:pPr>
              <w:spacing w:before="0" w:after="0" w:line="252" w:lineRule="auto"/>
              <w:jc w:val="left"/>
            </w:pPr>
            <w:r>
              <w:rPr>
                <w:rFonts w:ascii="Calibri" w:hAnsi="Calibri"/>
                <w:b w:val="0"/>
                <w:i w:val="0"/>
                <w:color w:val="334155"/>
                <w:sz w:val="18"/>
              </w:rPr>
              <w:t>Systemic oxygenation and hypoxemia indicator</w:t>
            </w:r>
          </w:p>
        </w:tc>
      </w:tr>
      <w:tr>
        <w:tc>
          <w:tcPr>
            <w:tcW w:type="dxa" w:w="1872"/>
            <w:tcMar>
              <w:top w:w="80" w:type="dxa"/>
              <w:bottom w:w="80" w:type="dxa"/>
              <w:left w:w="100" w:type="dxa"/>
              <w:right w:w="100" w:type="dxa"/>
            </w:tcMar>
            <w:shd w:fill="F8FAFC"/>
            <w:tcBorders>
              <w:top w:val="single" w:sz="4" w:space="0" w:color="CBD5E1"/>
              <w:bottom w:val="single" w:sz="4" w:space="0" w:color="CBD5E1"/>
              <w:left w:val="none" w:sz="0" w:space="0" w:color="auto"/>
              <w:right w:val="none" w:sz="0" w:space="0" w:color="auto"/>
            </w:tcBorders>
          </w:tcPr>
          <w:p>
            <w:pPr>
              <w:spacing w:before="0" w:after="0" w:line="252" w:lineRule="auto"/>
              <w:jc w:val="left"/>
            </w:pPr>
            <w:r>
              <w:rPr>
                <w:rFonts w:ascii="Calibri" w:hAnsi="Calibri"/>
                <w:b w:val="0"/>
                <w:i w:val="0"/>
                <w:color w:val="334155"/>
                <w:sz w:val="18"/>
              </w:rPr>
              <w:t>Oxygenation</w:t>
            </w:r>
          </w:p>
        </w:tc>
        <w:tc>
          <w:tcPr>
            <w:tcW w:type="dxa" w:w="1872"/>
            <w:tcMar>
              <w:top w:w="80" w:type="dxa"/>
              <w:bottom w:w="80" w:type="dxa"/>
              <w:left w:w="100" w:type="dxa"/>
              <w:right w:w="100" w:type="dxa"/>
            </w:tcMar>
            <w:shd w:fill="F8FAFC"/>
            <w:tcBorders>
              <w:top w:val="single" w:sz="4" w:space="0" w:color="CBD5E1"/>
              <w:bottom w:val="single" w:sz="4" w:space="0" w:color="CBD5E1"/>
              <w:left w:val="none" w:sz="0" w:space="0" w:color="auto"/>
              <w:right w:val="none" w:sz="0" w:space="0" w:color="auto"/>
            </w:tcBorders>
          </w:tcPr>
          <w:p>
            <w:pPr>
              <w:spacing w:before="0" w:after="0" w:line="252" w:lineRule="auto"/>
              <w:jc w:val="left"/>
            </w:pPr>
            <w:r>
              <w:rPr>
                <w:rFonts w:ascii="Calibri" w:hAnsi="Calibri"/>
                <w:b w:val="0"/>
                <w:i w:val="0"/>
                <w:color w:val="334155"/>
                <w:sz w:val="18"/>
              </w:rPr>
              <w:t>spo2_min</w:t>
            </w:r>
          </w:p>
        </w:tc>
        <w:tc>
          <w:tcPr>
            <w:tcW w:type="dxa" w:w="2448"/>
            <w:tcMar>
              <w:top w:w="80" w:type="dxa"/>
              <w:bottom w:w="80" w:type="dxa"/>
              <w:left w:w="100" w:type="dxa"/>
              <w:right w:w="100" w:type="dxa"/>
            </w:tcMar>
            <w:shd w:fill="F8FAFC"/>
            <w:tcBorders>
              <w:top w:val="single" w:sz="4" w:space="0" w:color="CBD5E1"/>
              <w:bottom w:val="single" w:sz="4" w:space="0" w:color="CBD5E1"/>
              <w:left w:val="none" w:sz="0" w:space="0" w:color="auto"/>
              <w:right w:val="none" w:sz="0" w:space="0" w:color="auto"/>
            </w:tcBorders>
          </w:tcPr>
          <w:p>
            <w:pPr>
              <w:spacing w:before="0" w:after="0" w:line="252" w:lineRule="auto"/>
              <w:jc w:val="left"/>
            </w:pPr>
            <w:r>
              <w:rPr>
                <w:rFonts w:ascii="Calibri" w:hAnsi="Calibri"/>
                <w:b w:val="0"/>
                <w:i w:val="0"/>
                <w:color w:val="334155"/>
                <w:sz w:val="18"/>
              </w:rPr>
              <w:t>Minimum Oxygen Saturation</w:t>
            </w:r>
          </w:p>
        </w:tc>
        <w:tc>
          <w:tcPr>
            <w:tcW w:type="dxa" w:w="1584"/>
            <w:tcMar>
              <w:top w:w="80" w:type="dxa"/>
              <w:bottom w:w="80" w:type="dxa"/>
              <w:left w:w="100" w:type="dxa"/>
              <w:right w:w="100" w:type="dxa"/>
            </w:tcMar>
            <w:shd w:fill="F8FAFC"/>
            <w:tcBorders>
              <w:top w:val="single" w:sz="4" w:space="0" w:color="CBD5E1"/>
              <w:bottom w:val="single" w:sz="4" w:space="0" w:color="CBD5E1"/>
              <w:left w:val="none" w:sz="0" w:space="0" w:color="auto"/>
              <w:right w:val="none" w:sz="0" w:space="0" w:color="auto"/>
            </w:tcBorders>
          </w:tcPr>
          <w:p>
            <w:pPr>
              <w:spacing w:before="0" w:after="0" w:line="252" w:lineRule="auto"/>
              <w:jc w:val="left"/>
            </w:pPr>
            <w:r>
              <w:rPr>
                <w:rFonts w:ascii="Calibri" w:hAnsi="Calibri"/>
                <w:b w:val="0"/>
                <w:i w:val="0"/>
                <w:color w:val="334155"/>
                <w:sz w:val="18"/>
              </w:rPr>
              <w:t>[30, 100] %</w:t>
            </w:r>
          </w:p>
        </w:tc>
        <w:tc>
          <w:tcPr>
            <w:tcW w:type="dxa" w:w="2304"/>
            <w:tcMar>
              <w:top w:w="80" w:type="dxa"/>
              <w:bottom w:w="80" w:type="dxa"/>
              <w:left w:w="100" w:type="dxa"/>
              <w:right w:w="100" w:type="dxa"/>
            </w:tcMar>
            <w:shd w:fill="F8FAFC"/>
            <w:tcBorders>
              <w:top w:val="single" w:sz="4" w:space="0" w:color="CBD5E1"/>
              <w:bottom w:val="single" w:sz="4" w:space="0" w:color="CBD5E1"/>
              <w:left w:val="none" w:sz="0" w:space="0" w:color="auto"/>
              <w:right w:val="none" w:sz="0" w:space="0" w:color="auto"/>
            </w:tcBorders>
          </w:tcPr>
          <w:p>
            <w:pPr>
              <w:spacing w:before="0" w:after="0" w:line="252" w:lineRule="auto"/>
              <w:jc w:val="left"/>
            </w:pPr>
            <w:r>
              <w:rPr>
                <w:rFonts w:ascii="Calibri" w:hAnsi="Calibri"/>
                <w:b w:val="0"/>
                <w:i w:val="0"/>
                <w:color w:val="334155"/>
                <w:sz w:val="18"/>
              </w:rPr>
              <w:t>Transient hypoxic dips during 5-minute window</w:t>
            </w:r>
          </w:p>
        </w:tc>
      </w:tr>
      <w:tr>
        <w:tc>
          <w:tcPr>
            <w:tcW w:type="dxa" w:w="1872"/>
            <w:tcMar>
              <w:top w:w="80" w:type="dxa"/>
              <w:bottom w:w="80" w:type="dxa"/>
              <w:left w:w="100" w:type="dxa"/>
              <w:right w:w="100" w:type="dxa"/>
            </w:tcMar>
            <w:shd w:fill="FFFFFF"/>
            <w:tcBorders>
              <w:top w:val="single" w:sz="4" w:space="0" w:color="CBD5E1"/>
              <w:bottom w:val="single" w:sz="4" w:space="0" w:color="CBD5E1"/>
              <w:left w:val="none" w:sz="0" w:space="0" w:color="auto"/>
              <w:right w:val="none" w:sz="0" w:space="0" w:color="auto"/>
            </w:tcBorders>
          </w:tcPr>
          <w:p>
            <w:pPr>
              <w:spacing w:before="0" w:after="0" w:line="252" w:lineRule="auto"/>
              <w:jc w:val="left"/>
            </w:pPr>
            <w:r>
              <w:rPr>
                <w:rFonts w:ascii="Calibri" w:hAnsi="Calibri"/>
                <w:b w:val="0"/>
                <w:i w:val="0"/>
                <w:color w:val="334155"/>
                <w:sz w:val="18"/>
              </w:rPr>
              <w:t>Oxygenation</w:t>
            </w:r>
          </w:p>
        </w:tc>
        <w:tc>
          <w:tcPr>
            <w:tcW w:type="dxa" w:w="1872"/>
            <w:tcMar>
              <w:top w:w="80" w:type="dxa"/>
              <w:bottom w:w="80" w:type="dxa"/>
              <w:left w:w="100" w:type="dxa"/>
              <w:right w:w="100" w:type="dxa"/>
            </w:tcMar>
            <w:shd w:fill="FFFFFF"/>
            <w:tcBorders>
              <w:top w:val="single" w:sz="4" w:space="0" w:color="CBD5E1"/>
              <w:bottom w:val="single" w:sz="4" w:space="0" w:color="CBD5E1"/>
              <w:left w:val="none" w:sz="0" w:space="0" w:color="auto"/>
              <w:right w:val="none" w:sz="0" w:space="0" w:color="auto"/>
            </w:tcBorders>
          </w:tcPr>
          <w:p>
            <w:pPr>
              <w:spacing w:before="0" w:after="0" w:line="252" w:lineRule="auto"/>
              <w:jc w:val="left"/>
            </w:pPr>
            <w:r>
              <w:rPr>
                <w:rFonts w:ascii="Calibri" w:hAnsi="Calibri"/>
                <w:b w:val="0"/>
                <w:i w:val="0"/>
                <w:color w:val="334155"/>
                <w:sz w:val="18"/>
              </w:rPr>
              <w:t>spo2_std</w:t>
            </w:r>
          </w:p>
        </w:tc>
        <w:tc>
          <w:tcPr>
            <w:tcW w:type="dxa" w:w="2448"/>
            <w:tcMar>
              <w:top w:w="80" w:type="dxa"/>
              <w:bottom w:w="80" w:type="dxa"/>
              <w:left w:w="100" w:type="dxa"/>
              <w:right w:w="100" w:type="dxa"/>
            </w:tcMar>
            <w:shd w:fill="FFFFFF"/>
            <w:tcBorders>
              <w:top w:val="single" w:sz="4" w:space="0" w:color="CBD5E1"/>
              <w:bottom w:val="single" w:sz="4" w:space="0" w:color="CBD5E1"/>
              <w:left w:val="none" w:sz="0" w:space="0" w:color="auto"/>
              <w:right w:val="none" w:sz="0" w:space="0" w:color="auto"/>
            </w:tcBorders>
          </w:tcPr>
          <w:p>
            <w:pPr>
              <w:spacing w:before="0" w:after="0" w:line="252" w:lineRule="auto"/>
              <w:jc w:val="left"/>
            </w:pPr>
            <w:r>
              <w:rPr>
                <w:rFonts w:ascii="Calibri" w:hAnsi="Calibri"/>
                <w:b w:val="0"/>
                <w:i w:val="0"/>
                <w:color w:val="334155"/>
                <w:sz w:val="18"/>
              </w:rPr>
              <w:t>SpO2 Standard Deviation</w:t>
            </w:r>
          </w:p>
        </w:tc>
        <w:tc>
          <w:tcPr>
            <w:tcW w:type="dxa" w:w="1584"/>
            <w:tcMar>
              <w:top w:w="80" w:type="dxa"/>
              <w:bottom w:w="80" w:type="dxa"/>
              <w:left w:w="100" w:type="dxa"/>
              <w:right w:w="100" w:type="dxa"/>
            </w:tcMar>
            <w:shd w:fill="FFFFFF"/>
            <w:tcBorders>
              <w:top w:val="single" w:sz="4" w:space="0" w:color="CBD5E1"/>
              <w:bottom w:val="single" w:sz="4" w:space="0" w:color="CBD5E1"/>
              <w:left w:val="none" w:sz="0" w:space="0" w:color="auto"/>
              <w:right w:val="none" w:sz="0" w:space="0" w:color="auto"/>
            </w:tcBorders>
          </w:tcPr>
          <w:p>
            <w:pPr>
              <w:spacing w:before="0" w:after="0" w:line="252" w:lineRule="auto"/>
              <w:jc w:val="left"/>
            </w:pPr>
            <w:r>
              <w:rPr>
                <w:rFonts w:ascii="Calibri" w:hAnsi="Calibri"/>
                <w:b w:val="0"/>
                <w:i w:val="0"/>
                <w:color w:val="334155"/>
                <w:sz w:val="18"/>
              </w:rPr>
              <w:t>[0, 40] %</w:t>
            </w:r>
          </w:p>
        </w:tc>
        <w:tc>
          <w:tcPr>
            <w:tcW w:type="dxa" w:w="2304"/>
            <w:tcMar>
              <w:top w:w="80" w:type="dxa"/>
              <w:bottom w:w="80" w:type="dxa"/>
              <w:left w:w="100" w:type="dxa"/>
              <w:right w:w="100" w:type="dxa"/>
            </w:tcMar>
            <w:shd w:fill="FFFFFF"/>
            <w:tcBorders>
              <w:top w:val="single" w:sz="4" w:space="0" w:color="CBD5E1"/>
              <w:bottom w:val="single" w:sz="4" w:space="0" w:color="CBD5E1"/>
              <w:left w:val="none" w:sz="0" w:space="0" w:color="auto"/>
              <w:right w:val="none" w:sz="0" w:space="0" w:color="auto"/>
            </w:tcBorders>
          </w:tcPr>
          <w:p>
            <w:pPr>
              <w:spacing w:before="0" w:after="0" w:line="252" w:lineRule="auto"/>
              <w:jc w:val="left"/>
            </w:pPr>
            <w:r>
              <w:rPr>
                <w:rFonts w:ascii="Calibri" w:hAnsi="Calibri"/>
                <w:b w:val="0"/>
                <w:i w:val="0"/>
                <w:color w:val="334155"/>
                <w:sz w:val="18"/>
              </w:rPr>
              <w:t>Stability of arterial oxygen delivery</w:t>
            </w:r>
          </w:p>
        </w:tc>
      </w:tr>
      <w:tr>
        <w:tc>
          <w:tcPr>
            <w:tcW w:type="dxa" w:w="1872"/>
            <w:tcMar>
              <w:top w:w="80" w:type="dxa"/>
              <w:bottom w:w="80" w:type="dxa"/>
              <w:left w:w="100" w:type="dxa"/>
              <w:right w:w="100" w:type="dxa"/>
            </w:tcMar>
            <w:shd w:fill="F8FAFC"/>
            <w:tcBorders>
              <w:top w:val="single" w:sz="4" w:space="0" w:color="CBD5E1"/>
              <w:bottom w:val="single" w:sz="4" w:space="0" w:color="CBD5E1"/>
              <w:left w:val="none" w:sz="0" w:space="0" w:color="auto"/>
              <w:right w:val="none" w:sz="0" w:space="0" w:color="auto"/>
            </w:tcBorders>
          </w:tcPr>
          <w:p>
            <w:pPr>
              <w:spacing w:before="0" w:after="0" w:line="252" w:lineRule="auto"/>
              <w:jc w:val="left"/>
            </w:pPr>
            <w:r>
              <w:rPr>
                <w:rFonts w:ascii="Calibri" w:hAnsi="Calibri"/>
                <w:b w:val="0"/>
                <w:i w:val="0"/>
                <w:color w:val="334155"/>
                <w:sz w:val="18"/>
              </w:rPr>
              <w:t>Oxygenation</w:t>
            </w:r>
          </w:p>
        </w:tc>
        <w:tc>
          <w:tcPr>
            <w:tcW w:type="dxa" w:w="1872"/>
            <w:tcMar>
              <w:top w:w="80" w:type="dxa"/>
              <w:bottom w:w="80" w:type="dxa"/>
              <w:left w:w="100" w:type="dxa"/>
              <w:right w:w="100" w:type="dxa"/>
            </w:tcMar>
            <w:shd w:fill="F8FAFC"/>
            <w:tcBorders>
              <w:top w:val="single" w:sz="4" w:space="0" w:color="CBD5E1"/>
              <w:bottom w:val="single" w:sz="4" w:space="0" w:color="CBD5E1"/>
              <w:left w:val="none" w:sz="0" w:space="0" w:color="auto"/>
              <w:right w:val="none" w:sz="0" w:space="0" w:color="auto"/>
            </w:tcBorders>
          </w:tcPr>
          <w:p>
            <w:pPr>
              <w:spacing w:before="0" w:after="0" w:line="252" w:lineRule="auto"/>
              <w:jc w:val="left"/>
            </w:pPr>
            <w:r>
              <w:rPr>
                <w:rFonts w:ascii="Calibri" w:hAnsi="Calibri"/>
                <w:b w:val="0"/>
                <w:i w:val="0"/>
                <w:color w:val="334155"/>
                <w:sz w:val="18"/>
              </w:rPr>
              <w:t>spo2_desat_count</w:t>
            </w:r>
          </w:p>
        </w:tc>
        <w:tc>
          <w:tcPr>
            <w:tcW w:type="dxa" w:w="2448"/>
            <w:tcMar>
              <w:top w:w="80" w:type="dxa"/>
              <w:bottom w:w="80" w:type="dxa"/>
              <w:left w:w="100" w:type="dxa"/>
              <w:right w:w="100" w:type="dxa"/>
            </w:tcMar>
            <w:shd w:fill="F8FAFC"/>
            <w:tcBorders>
              <w:top w:val="single" w:sz="4" w:space="0" w:color="CBD5E1"/>
              <w:bottom w:val="single" w:sz="4" w:space="0" w:color="CBD5E1"/>
              <w:left w:val="none" w:sz="0" w:space="0" w:color="auto"/>
              <w:right w:val="none" w:sz="0" w:space="0" w:color="auto"/>
            </w:tcBorders>
          </w:tcPr>
          <w:p>
            <w:pPr>
              <w:spacing w:before="0" w:after="0" w:line="252" w:lineRule="auto"/>
              <w:jc w:val="left"/>
            </w:pPr>
            <w:r>
              <w:rPr>
                <w:rFonts w:ascii="Calibri" w:hAnsi="Calibri"/>
                <w:b w:val="0"/>
                <w:i w:val="0"/>
                <w:color w:val="334155"/>
                <w:sz w:val="18"/>
              </w:rPr>
              <w:t>Desaturation Events (&lt;90%)</w:t>
            </w:r>
          </w:p>
        </w:tc>
        <w:tc>
          <w:tcPr>
            <w:tcW w:type="dxa" w:w="1584"/>
            <w:tcMar>
              <w:top w:w="80" w:type="dxa"/>
              <w:bottom w:w="80" w:type="dxa"/>
              <w:left w:w="100" w:type="dxa"/>
              <w:right w:w="100" w:type="dxa"/>
            </w:tcMar>
            <w:shd w:fill="F8FAFC"/>
            <w:tcBorders>
              <w:top w:val="single" w:sz="4" w:space="0" w:color="CBD5E1"/>
              <w:bottom w:val="single" w:sz="4" w:space="0" w:color="CBD5E1"/>
              <w:left w:val="none" w:sz="0" w:space="0" w:color="auto"/>
              <w:right w:val="none" w:sz="0" w:space="0" w:color="auto"/>
            </w:tcBorders>
          </w:tcPr>
          <w:p>
            <w:pPr>
              <w:spacing w:before="0" w:after="0" w:line="252" w:lineRule="auto"/>
              <w:jc w:val="left"/>
            </w:pPr>
            <w:r>
              <w:rPr>
                <w:rFonts w:ascii="Calibri" w:hAnsi="Calibri"/>
                <w:b w:val="0"/>
                <w:i w:val="0"/>
                <w:color w:val="334155"/>
                <w:sz w:val="18"/>
              </w:rPr>
              <w:t>[0, 300] count</w:t>
            </w:r>
          </w:p>
        </w:tc>
        <w:tc>
          <w:tcPr>
            <w:tcW w:type="dxa" w:w="2304"/>
            <w:tcMar>
              <w:top w:w="80" w:type="dxa"/>
              <w:bottom w:w="80" w:type="dxa"/>
              <w:left w:w="100" w:type="dxa"/>
              <w:right w:w="100" w:type="dxa"/>
            </w:tcMar>
            <w:shd w:fill="F8FAFC"/>
            <w:tcBorders>
              <w:top w:val="single" w:sz="4" w:space="0" w:color="CBD5E1"/>
              <w:bottom w:val="single" w:sz="4" w:space="0" w:color="CBD5E1"/>
              <w:left w:val="none" w:sz="0" w:space="0" w:color="auto"/>
              <w:right w:val="none" w:sz="0" w:space="0" w:color="auto"/>
            </w:tcBorders>
          </w:tcPr>
          <w:p>
            <w:pPr>
              <w:spacing w:before="0" w:after="0" w:line="252" w:lineRule="auto"/>
              <w:jc w:val="left"/>
            </w:pPr>
            <w:r>
              <w:rPr>
                <w:rFonts w:ascii="Calibri" w:hAnsi="Calibri"/>
                <w:b w:val="0"/>
                <w:i w:val="0"/>
                <w:color w:val="334155"/>
                <w:sz w:val="18"/>
              </w:rPr>
              <w:t>Frequency of clinically significant desaturations</w:t>
            </w:r>
          </w:p>
        </w:tc>
      </w:tr>
      <w:tr>
        <w:tc>
          <w:tcPr>
            <w:tcW w:type="dxa" w:w="1872"/>
            <w:tcMar>
              <w:top w:w="80" w:type="dxa"/>
              <w:bottom w:w="80" w:type="dxa"/>
              <w:left w:w="100" w:type="dxa"/>
              <w:right w:w="100" w:type="dxa"/>
            </w:tcMar>
            <w:shd w:fill="FFFFFF"/>
            <w:tcBorders>
              <w:top w:val="single" w:sz="4" w:space="0" w:color="CBD5E1"/>
              <w:bottom w:val="single" w:sz="4" w:space="0" w:color="CBD5E1"/>
              <w:left w:val="none" w:sz="0" w:space="0" w:color="auto"/>
              <w:right w:val="none" w:sz="0" w:space="0" w:color="auto"/>
            </w:tcBorders>
          </w:tcPr>
          <w:p>
            <w:pPr>
              <w:spacing w:before="0" w:after="0" w:line="252" w:lineRule="auto"/>
              <w:jc w:val="left"/>
            </w:pPr>
            <w:r>
              <w:rPr>
                <w:rFonts w:ascii="Calibri" w:hAnsi="Calibri"/>
                <w:b w:val="0"/>
                <w:i w:val="0"/>
                <w:color w:val="334155"/>
                <w:sz w:val="18"/>
              </w:rPr>
              <w:t>Repolarization</w:t>
            </w:r>
          </w:p>
        </w:tc>
        <w:tc>
          <w:tcPr>
            <w:tcW w:type="dxa" w:w="1872"/>
            <w:tcMar>
              <w:top w:w="80" w:type="dxa"/>
              <w:bottom w:w="80" w:type="dxa"/>
              <w:left w:w="100" w:type="dxa"/>
              <w:right w:w="100" w:type="dxa"/>
            </w:tcMar>
            <w:shd w:fill="FFFFFF"/>
            <w:tcBorders>
              <w:top w:val="single" w:sz="4" w:space="0" w:color="CBD5E1"/>
              <w:bottom w:val="single" w:sz="4" w:space="0" w:color="CBD5E1"/>
              <w:left w:val="none" w:sz="0" w:space="0" w:color="auto"/>
              <w:right w:val="none" w:sz="0" w:space="0" w:color="auto"/>
            </w:tcBorders>
          </w:tcPr>
          <w:p>
            <w:pPr>
              <w:spacing w:before="0" w:after="0" w:line="252" w:lineRule="auto"/>
              <w:jc w:val="left"/>
            </w:pPr>
            <w:r>
              <w:rPr>
                <w:rFonts w:ascii="Calibri" w:hAnsi="Calibri"/>
                <w:b w:val="0"/>
                <w:i w:val="0"/>
                <w:color w:val="334155"/>
                <w:sz w:val="18"/>
              </w:rPr>
              <w:t>st_obs_mean</w:t>
            </w:r>
          </w:p>
        </w:tc>
        <w:tc>
          <w:tcPr>
            <w:tcW w:type="dxa" w:w="2448"/>
            <w:tcMar>
              <w:top w:w="80" w:type="dxa"/>
              <w:bottom w:w="80" w:type="dxa"/>
              <w:left w:w="100" w:type="dxa"/>
              <w:right w:w="100" w:type="dxa"/>
            </w:tcMar>
            <w:shd w:fill="FFFFFF"/>
            <w:tcBorders>
              <w:top w:val="single" w:sz="4" w:space="0" w:color="CBD5E1"/>
              <w:bottom w:val="single" w:sz="4" w:space="0" w:color="CBD5E1"/>
              <w:left w:val="none" w:sz="0" w:space="0" w:color="auto"/>
              <w:right w:val="none" w:sz="0" w:space="0" w:color="auto"/>
            </w:tcBorders>
          </w:tcPr>
          <w:p>
            <w:pPr>
              <w:spacing w:before="0" w:after="0" w:line="252" w:lineRule="auto"/>
              <w:jc w:val="left"/>
            </w:pPr>
            <w:r>
              <w:rPr>
                <w:rFonts w:ascii="Calibri" w:hAnsi="Calibri"/>
                <w:b w:val="0"/>
                <w:i w:val="0"/>
                <w:color w:val="334155"/>
                <w:sz w:val="18"/>
              </w:rPr>
              <w:t>Mean ST-Segment Level</w:t>
            </w:r>
          </w:p>
        </w:tc>
        <w:tc>
          <w:tcPr>
            <w:tcW w:type="dxa" w:w="1584"/>
            <w:tcMar>
              <w:top w:w="80" w:type="dxa"/>
              <w:bottom w:w="80" w:type="dxa"/>
              <w:left w:w="100" w:type="dxa"/>
              <w:right w:w="100" w:type="dxa"/>
            </w:tcMar>
            <w:shd w:fill="FFFFFF"/>
            <w:tcBorders>
              <w:top w:val="single" w:sz="4" w:space="0" w:color="CBD5E1"/>
              <w:bottom w:val="single" w:sz="4" w:space="0" w:color="CBD5E1"/>
              <w:left w:val="none" w:sz="0" w:space="0" w:color="auto"/>
              <w:right w:val="none" w:sz="0" w:space="0" w:color="auto"/>
            </w:tcBorders>
          </w:tcPr>
          <w:p>
            <w:pPr>
              <w:spacing w:before="0" w:after="0" w:line="252" w:lineRule="auto"/>
              <w:jc w:val="left"/>
            </w:pPr>
            <w:r>
              <w:rPr>
                <w:rFonts w:ascii="Calibri" w:hAnsi="Calibri"/>
                <w:b w:val="0"/>
                <w:i w:val="0"/>
                <w:color w:val="334155"/>
                <w:sz w:val="18"/>
              </w:rPr>
              <w:t>[-15, 15] mm</w:t>
            </w:r>
          </w:p>
        </w:tc>
        <w:tc>
          <w:tcPr>
            <w:tcW w:type="dxa" w:w="2304"/>
            <w:tcMar>
              <w:top w:w="80" w:type="dxa"/>
              <w:bottom w:w="80" w:type="dxa"/>
              <w:left w:w="100" w:type="dxa"/>
              <w:right w:w="100" w:type="dxa"/>
            </w:tcMar>
            <w:shd w:fill="FFFFFF"/>
            <w:tcBorders>
              <w:top w:val="single" w:sz="4" w:space="0" w:color="CBD5E1"/>
              <w:bottom w:val="single" w:sz="4" w:space="0" w:color="CBD5E1"/>
              <w:left w:val="none" w:sz="0" w:space="0" w:color="auto"/>
              <w:right w:val="none" w:sz="0" w:space="0" w:color="auto"/>
            </w:tcBorders>
          </w:tcPr>
          <w:p>
            <w:pPr>
              <w:spacing w:before="0" w:after="0" w:line="252" w:lineRule="auto"/>
              <w:jc w:val="left"/>
            </w:pPr>
            <w:r>
              <w:rPr>
                <w:rFonts w:ascii="Calibri" w:hAnsi="Calibri"/>
                <w:b w:val="0"/>
                <w:i w:val="0"/>
                <w:color w:val="334155"/>
                <w:sz w:val="18"/>
              </w:rPr>
              <w:t>Average J-point elevation/depression</w:t>
            </w:r>
          </w:p>
        </w:tc>
      </w:tr>
      <w:tr>
        <w:tc>
          <w:tcPr>
            <w:tcW w:type="dxa" w:w="1872"/>
            <w:tcMar>
              <w:top w:w="80" w:type="dxa"/>
              <w:bottom w:w="80" w:type="dxa"/>
              <w:left w:w="100" w:type="dxa"/>
              <w:right w:w="100" w:type="dxa"/>
            </w:tcMar>
            <w:shd w:fill="F8FAFC"/>
            <w:tcBorders>
              <w:top w:val="single" w:sz="4" w:space="0" w:color="CBD5E1"/>
              <w:bottom w:val="single" w:sz="4" w:space="0" w:color="CBD5E1"/>
              <w:left w:val="none" w:sz="0" w:space="0" w:color="auto"/>
              <w:right w:val="none" w:sz="0" w:space="0" w:color="auto"/>
            </w:tcBorders>
          </w:tcPr>
          <w:p>
            <w:pPr>
              <w:spacing w:before="0" w:after="0" w:line="252" w:lineRule="auto"/>
              <w:jc w:val="left"/>
            </w:pPr>
            <w:r>
              <w:rPr>
                <w:rFonts w:ascii="Calibri" w:hAnsi="Calibri"/>
                <w:b w:val="0"/>
                <w:i w:val="0"/>
                <w:color w:val="334155"/>
                <w:sz w:val="18"/>
              </w:rPr>
              <w:t>Repolarization</w:t>
            </w:r>
          </w:p>
        </w:tc>
        <w:tc>
          <w:tcPr>
            <w:tcW w:type="dxa" w:w="1872"/>
            <w:tcMar>
              <w:top w:w="80" w:type="dxa"/>
              <w:bottom w:w="80" w:type="dxa"/>
              <w:left w:w="100" w:type="dxa"/>
              <w:right w:w="100" w:type="dxa"/>
            </w:tcMar>
            <w:shd w:fill="F8FAFC"/>
            <w:tcBorders>
              <w:top w:val="single" w:sz="4" w:space="0" w:color="CBD5E1"/>
              <w:bottom w:val="single" w:sz="4" w:space="0" w:color="CBD5E1"/>
              <w:left w:val="none" w:sz="0" w:space="0" w:color="auto"/>
              <w:right w:val="none" w:sz="0" w:space="0" w:color="auto"/>
            </w:tcBorders>
          </w:tcPr>
          <w:p>
            <w:pPr>
              <w:spacing w:before="0" w:after="0" w:line="252" w:lineRule="auto"/>
              <w:jc w:val="left"/>
            </w:pPr>
            <w:r>
              <w:rPr>
                <w:rFonts w:ascii="Calibri" w:hAnsi="Calibri"/>
                <w:b w:val="0"/>
                <w:i w:val="0"/>
                <w:color w:val="334155"/>
                <w:sz w:val="18"/>
              </w:rPr>
              <w:t>st_obs_median</w:t>
            </w:r>
          </w:p>
        </w:tc>
        <w:tc>
          <w:tcPr>
            <w:tcW w:type="dxa" w:w="2448"/>
            <w:tcMar>
              <w:top w:w="80" w:type="dxa"/>
              <w:bottom w:w="80" w:type="dxa"/>
              <w:left w:w="100" w:type="dxa"/>
              <w:right w:w="100" w:type="dxa"/>
            </w:tcMar>
            <w:shd w:fill="F8FAFC"/>
            <w:tcBorders>
              <w:top w:val="single" w:sz="4" w:space="0" w:color="CBD5E1"/>
              <w:bottom w:val="single" w:sz="4" w:space="0" w:color="CBD5E1"/>
              <w:left w:val="none" w:sz="0" w:space="0" w:color="auto"/>
              <w:right w:val="none" w:sz="0" w:space="0" w:color="auto"/>
            </w:tcBorders>
          </w:tcPr>
          <w:p>
            <w:pPr>
              <w:spacing w:before="0" w:after="0" w:line="252" w:lineRule="auto"/>
              <w:jc w:val="left"/>
            </w:pPr>
            <w:r>
              <w:rPr>
                <w:rFonts w:ascii="Calibri" w:hAnsi="Calibri"/>
                <w:b w:val="0"/>
                <w:i w:val="0"/>
                <w:color w:val="334155"/>
                <w:sz w:val="18"/>
              </w:rPr>
              <w:t>Median ST-Segment Level</w:t>
            </w:r>
          </w:p>
        </w:tc>
        <w:tc>
          <w:tcPr>
            <w:tcW w:type="dxa" w:w="1584"/>
            <w:tcMar>
              <w:top w:w="80" w:type="dxa"/>
              <w:bottom w:w="80" w:type="dxa"/>
              <w:left w:w="100" w:type="dxa"/>
              <w:right w:w="100" w:type="dxa"/>
            </w:tcMar>
            <w:shd w:fill="F8FAFC"/>
            <w:tcBorders>
              <w:top w:val="single" w:sz="4" w:space="0" w:color="CBD5E1"/>
              <w:bottom w:val="single" w:sz="4" w:space="0" w:color="CBD5E1"/>
              <w:left w:val="none" w:sz="0" w:space="0" w:color="auto"/>
              <w:right w:val="none" w:sz="0" w:space="0" w:color="auto"/>
            </w:tcBorders>
          </w:tcPr>
          <w:p>
            <w:pPr>
              <w:spacing w:before="0" w:after="0" w:line="252" w:lineRule="auto"/>
              <w:jc w:val="left"/>
            </w:pPr>
            <w:r>
              <w:rPr>
                <w:rFonts w:ascii="Calibri" w:hAnsi="Calibri"/>
                <w:b w:val="0"/>
                <w:i w:val="0"/>
                <w:color w:val="334155"/>
                <w:sz w:val="18"/>
              </w:rPr>
              <w:t>[-15, 15] mm</w:t>
            </w:r>
          </w:p>
        </w:tc>
        <w:tc>
          <w:tcPr>
            <w:tcW w:type="dxa" w:w="2304"/>
            <w:tcMar>
              <w:top w:w="80" w:type="dxa"/>
              <w:bottom w:w="80" w:type="dxa"/>
              <w:left w:w="100" w:type="dxa"/>
              <w:right w:w="100" w:type="dxa"/>
            </w:tcMar>
            <w:shd w:fill="F8FAFC"/>
            <w:tcBorders>
              <w:top w:val="single" w:sz="4" w:space="0" w:color="CBD5E1"/>
              <w:bottom w:val="single" w:sz="4" w:space="0" w:color="CBD5E1"/>
              <w:left w:val="none" w:sz="0" w:space="0" w:color="auto"/>
              <w:right w:val="none" w:sz="0" w:space="0" w:color="auto"/>
            </w:tcBorders>
          </w:tcPr>
          <w:p>
            <w:pPr>
              <w:spacing w:before="0" w:after="0" w:line="252" w:lineRule="auto"/>
              <w:jc w:val="left"/>
            </w:pPr>
            <w:r>
              <w:rPr>
                <w:rFonts w:ascii="Calibri" w:hAnsi="Calibri"/>
                <w:b w:val="0"/>
                <w:i w:val="0"/>
                <w:color w:val="334155"/>
                <w:sz w:val="18"/>
              </w:rPr>
              <w:t>Robust central ST level (dominant ischemic metric)</w:t>
            </w:r>
          </w:p>
        </w:tc>
      </w:tr>
      <w:tr>
        <w:tc>
          <w:tcPr>
            <w:tcW w:type="dxa" w:w="1872"/>
            <w:tcMar>
              <w:top w:w="80" w:type="dxa"/>
              <w:bottom w:w="80" w:type="dxa"/>
              <w:left w:w="100" w:type="dxa"/>
              <w:right w:w="100" w:type="dxa"/>
            </w:tcMar>
            <w:shd w:fill="FFFFFF"/>
            <w:tcBorders>
              <w:top w:val="single" w:sz="4" w:space="0" w:color="CBD5E1"/>
              <w:bottom w:val="single" w:sz="4" w:space="0" w:color="CBD5E1"/>
              <w:left w:val="none" w:sz="0" w:space="0" w:color="auto"/>
              <w:right w:val="none" w:sz="0" w:space="0" w:color="auto"/>
            </w:tcBorders>
          </w:tcPr>
          <w:p>
            <w:pPr>
              <w:spacing w:before="0" w:after="0" w:line="252" w:lineRule="auto"/>
              <w:jc w:val="left"/>
            </w:pPr>
            <w:r>
              <w:rPr>
                <w:rFonts w:ascii="Calibri" w:hAnsi="Calibri"/>
                <w:b w:val="0"/>
                <w:i w:val="0"/>
                <w:color w:val="334155"/>
                <w:sz w:val="18"/>
              </w:rPr>
              <w:t>Repolarization</w:t>
            </w:r>
          </w:p>
        </w:tc>
        <w:tc>
          <w:tcPr>
            <w:tcW w:type="dxa" w:w="1872"/>
            <w:tcMar>
              <w:top w:w="80" w:type="dxa"/>
              <w:bottom w:w="80" w:type="dxa"/>
              <w:left w:w="100" w:type="dxa"/>
              <w:right w:w="100" w:type="dxa"/>
            </w:tcMar>
            <w:shd w:fill="FFFFFF"/>
            <w:tcBorders>
              <w:top w:val="single" w:sz="4" w:space="0" w:color="CBD5E1"/>
              <w:bottom w:val="single" w:sz="4" w:space="0" w:color="CBD5E1"/>
              <w:left w:val="none" w:sz="0" w:space="0" w:color="auto"/>
              <w:right w:val="none" w:sz="0" w:space="0" w:color="auto"/>
            </w:tcBorders>
          </w:tcPr>
          <w:p>
            <w:pPr>
              <w:spacing w:before="0" w:after="0" w:line="252" w:lineRule="auto"/>
              <w:jc w:val="left"/>
            </w:pPr>
            <w:r>
              <w:rPr>
                <w:rFonts w:ascii="Calibri" w:hAnsi="Calibri"/>
                <w:b w:val="0"/>
                <w:i w:val="0"/>
                <w:color w:val="334155"/>
                <w:sz w:val="18"/>
              </w:rPr>
              <w:t>st_obs_min</w:t>
            </w:r>
          </w:p>
        </w:tc>
        <w:tc>
          <w:tcPr>
            <w:tcW w:type="dxa" w:w="2448"/>
            <w:tcMar>
              <w:top w:w="80" w:type="dxa"/>
              <w:bottom w:w="80" w:type="dxa"/>
              <w:left w:w="100" w:type="dxa"/>
              <w:right w:w="100" w:type="dxa"/>
            </w:tcMar>
            <w:shd w:fill="FFFFFF"/>
            <w:tcBorders>
              <w:top w:val="single" w:sz="4" w:space="0" w:color="CBD5E1"/>
              <w:bottom w:val="single" w:sz="4" w:space="0" w:color="CBD5E1"/>
              <w:left w:val="none" w:sz="0" w:space="0" w:color="auto"/>
              <w:right w:val="none" w:sz="0" w:space="0" w:color="auto"/>
            </w:tcBorders>
          </w:tcPr>
          <w:p>
            <w:pPr>
              <w:spacing w:before="0" w:after="0" w:line="252" w:lineRule="auto"/>
              <w:jc w:val="left"/>
            </w:pPr>
            <w:r>
              <w:rPr>
                <w:rFonts w:ascii="Calibri" w:hAnsi="Calibri"/>
                <w:b w:val="0"/>
                <w:i w:val="0"/>
                <w:color w:val="334155"/>
                <w:sz w:val="18"/>
              </w:rPr>
              <w:t>Minimum ST-Segment Level</w:t>
            </w:r>
          </w:p>
        </w:tc>
        <w:tc>
          <w:tcPr>
            <w:tcW w:type="dxa" w:w="1584"/>
            <w:tcMar>
              <w:top w:w="80" w:type="dxa"/>
              <w:bottom w:w="80" w:type="dxa"/>
              <w:left w:w="100" w:type="dxa"/>
              <w:right w:w="100" w:type="dxa"/>
            </w:tcMar>
            <w:shd w:fill="FFFFFF"/>
            <w:tcBorders>
              <w:top w:val="single" w:sz="4" w:space="0" w:color="CBD5E1"/>
              <w:bottom w:val="single" w:sz="4" w:space="0" w:color="CBD5E1"/>
              <w:left w:val="none" w:sz="0" w:space="0" w:color="auto"/>
              <w:right w:val="none" w:sz="0" w:space="0" w:color="auto"/>
            </w:tcBorders>
          </w:tcPr>
          <w:p>
            <w:pPr>
              <w:spacing w:before="0" w:after="0" w:line="252" w:lineRule="auto"/>
              <w:jc w:val="left"/>
            </w:pPr>
            <w:r>
              <w:rPr>
                <w:rFonts w:ascii="Calibri" w:hAnsi="Calibri"/>
                <w:b w:val="0"/>
                <w:i w:val="0"/>
                <w:color w:val="334155"/>
                <w:sz w:val="18"/>
              </w:rPr>
              <w:t>[-15, 15] mm</w:t>
            </w:r>
          </w:p>
        </w:tc>
        <w:tc>
          <w:tcPr>
            <w:tcW w:type="dxa" w:w="2304"/>
            <w:tcMar>
              <w:top w:w="80" w:type="dxa"/>
              <w:bottom w:w="80" w:type="dxa"/>
              <w:left w:w="100" w:type="dxa"/>
              <w:right w:w="100" w:type="dxa"/>
            </w:tcMar>
            <w:shd w:fill="FFFFFF"/>
            <w:tcBorders>
              <w:top w:val="single" w:sz="4" w:space="0" w:color="CBD5E1"/>
              <w:bottom w:val="single" w:sz="4" w:space="0" w:color="CBD5E1"/>
              <w:left w:val="none" w:sz="0" w:space="0" w:color="auto"/>
              <w:right w:val="none" w:sz="0" w:space="0" w:color="auto"/>
            </w:tcBorders>
          </w:tcPr>
          <w:p>
            <w:pPr>
              <w:spacing w:before="0" w:after="0" w:line="252" w:lineRule="auto"/>
              <w:jc w:val="left"/>
            </w:pPr>
            <w:r>
              <w:rPr>
                <w:rFonts w:ascii="Calibri" w:hAnsi="Calibri"/>
                <w:b w:val="0"/>
                <w:i w:val="0"/>
                <w:color w:val="334155"/>
                <w:sz w:val="18"/>
              </w:rPr>
              <w:t>Peak subendocardial ischemic displacement</w:t>
            </w:r>
          </w:p>
        </w:tc>
      </w:tr>
      <w:tr>
        <w:tc>
          <w:tcPr>
            <w:tcW w:type="dxa" w:w="1872"/>
            <w:tcMar>
              <w:top w:w="80" w:type="dxa"/>
              <w:bottom w:w="80" w:type="dxa"/>
              <w:left w:w="100" w:type="dxa"/>
              <w:right w:w="100" w:type="dxa"/>
            </w:tcMar>
            <w:shd w:fill="F8FAFC"/>
            <w:tcBorders>
              <w:top w:val="single" w:sz="4" w:space="0" w:color="CBD5E1"/>
              <w:bottom w:val="single" w:sz="4" w:space="0" w:color="CBD5E1"/>
              <w:left w:val="none" w:sz="0" w:space="0" w:color="auto"/>
              <w:right w:val="none" w:sz="0" w:space="0" w:color="auto"/>
            </w:tcBorders>
          </w:tcPr>
          <w:p>
            <w:pPr>
              <w:spacing w:before="0" w:after="0" w:line="252" w:lineRule="auto"/>
              <w:jc w:val="left"/>
            </w:pPr>
            <w:r>
              <w:rPr>
                <w:rFonts w:ascii="Calibri" w:hAnsi="Calibri"/>
                <w:b w:val="0"/>
                <w:i w:val="0"/>
                <w:color w:val="334155"/>
                <w:sz w:val="18"/>
              </w:rPr>
              <w:t>Repolarization</w:t>
            </w:r>
          </w:p>
        </w:tc>
        <w:tc>
          <w:tcPr>
            <w:tcW w:type="dxa" w:w="1872"/>
            <w:tcMar>
              <w:top w:w="80" w:type="dxa"/>
              <w:bottom w:w="80" w:type="dxa"/>
              <w:left w:w="100" w:type="dxa"/>
              <w:right w:w="100" w:type="dxa"/>
            </w:tcMar>
            <w:shd w:fill="F8FAFC"/>
            <w:tcBorders>
              <w:top w:val="single" w:sz="4" w:space="0" w:color="CBD5E1"/>
              <w:bottom w:val="single" w:sz="4" w:space="0" w:color="CBD5E1"/>
              <w:left w:val="none" w:sz="0" w:space="0" w:color="auto"/>
              <w:right w:val="none" w:sz="0" w:space="0" w:color="auto"/>
            </w:tcBorders>
          </w:tcPr>
          <w:p>
            <w:pPr>
              <w:spacing w:before="0" w:after="0" w:line="252" w:lineRule="auto"/>
              <w:jc w:val="left"/>
            </w:pPr>
            <w:r>
              <w:rPr>
                <w:rFonts w:ascii="Calibri" w:hAnsi="Calibri"/>
                <w:b w:val="0"/>
                <w:i w:val="0"/>
                <w:color w:val="334155"/>
                <w:sz w:val="18"/>
              </w:rPr>
              <w:t>st_obs_std</w:t>
            </w:r>
          </w:p>
        </w:tc>
        <w:tc>
          <w:tcPr>
            <w:tcW w:type="dxa" w:w="2448"/>
            <w:tcMar>
              <w:top w:w="80" w:type="dxa"/>
              <w:bottom w:w="80" w:type="dxa"/>
              <w:left w:w="100" w:type="dxa"/>
              <w:right w:w="100" w:type="dxa"/>
            </w:tcMar>
            <w:shd w:fill="F8FAFC"/>
            <w:tcBorders>
              <w:top w:val="single" w:sz="4" w:space="0" w:color="CBD5E1"/>
              <w:bottom w:val="single" w:sz="4" w:space="0" w:color="CBD5E1"/>
              <w:left w:val="none" w:sz="0" w:space="0" w:color="auto"/>
              <w:right w:val="none" w:sz="0" w:space="0" w:color="auto"/>
            </w:tcBorders>
          </w:tcPr>
          <w:p>
            <w:pPr>
              <w:spacing w:before="0" w:after="0" w:line="252" w:lineRule="auto"/>
              <w:jc w:val="left"/>
            </w:pPr>
            <w:r>
              <w:rPr>
                <w:rFonts w:ascii="Calibri" w:hAnsi="Calibri"/>
                <w:b w:val="0"/>
                <w:i w:val="0"/>
                <w:color w:val="334155"/>
                <w:sz w:val="18"/>
              </w:rPr>
              <w:t>ST-Segment Deviation Std</w:t>
            </w:r>
          </w:p>
        </w:tc>
        <w:tc>
          <w:tcPr>
            <w:tcW w:type="dxa" w:w="1584"/>
            <w:tcMar>
              <w:top w:w="80" w:type="dxa"/>
              <w:bottom w:w="80" w:type="dxa"/>
              <w:left w:w="100" w:type="dxa"/>
              <w:right w:w="100" w:type="dxa"/>
            </w:tcMar>
            <w:shd w:fill="F8FAFC"/>
            <w:tcBorders>
              <w:top w:val="single" w:sz="4" w:space="0" w:color="CBD5E1"/>
              <w:bottom w:val="single" w:sz="4" w:space="0" w:color="CBD5E1"/>
              <w:left w:val="none" w:sz="0" w:space="0" w:color="auto"/>
              <w:right w:val="none" w:sz="0" w:space="0" w:color="auto"/>
            </w:tcBorders>
          </w:tcPr>
          <w:p>
            <w:pPr>
              <w:spacing w:before="0" w:after="0" w:line="252" w:lineRule="auto"/>
              <w:jc w:val="left"/>
            </w:pPr>
            <w:r>
              <w:rPr>
                <w:rFonts w:ascii="Calibri" w:hAnsi="Calibri"/>
                <w:b w:val="0"/>
                <w:i w:val="0"/>
                <w:color w:val="334155"/>
                <w:sz w:val="18"/>
              </w:rPr>
              <w:t>[0, 15] mm</w:t>
            </w:r>
          </w:p>
        </w:tc>
        <w:tc>
          <w:tcPr>
            <w:tcW w:type="dxa" w:w="2304"/>
            <w:tcMar>
              <w:top w:w="80" w:type="dxa"/>
              <w:bottom w:w="80" w:type="dxa"/>
              <w:left w:w="100" w:type="dxa"/>
              <w:right w:w="100" w:type="dxa"/>
            </w:tcMar>
            <w:shd w:fill="F8FAFC"/>
            <w:tcBorders>
              <w:top w:val="single" w:sz="4" w:space="0" w:color="CBD5E1"/>
              <w:bottom w:val="single" w:sz="4" w:space="0" w:color="CBD5E1"/>
              <w:left w:val="none" w:sz="0" w:space="0" w:color="auto"/>
              <w:right w:val="none" w:sz="0" w:space="0" w:color="auto"/>
            </w:tcBorders>
          </w:tcPr>
          <w:p>
            <w:pPr>
              <w:spacing w:before="0" w:after="0" w:line="252" w:lineRule="auto"/>
              <w:jc w:val="left"/>
            </w:pPr>
            <w:r>
              <w:rPr>
                <w:rFonts w:ascii="Calibri" w:hAnsi="Calibri"/>
                <w:b w:val="0"/>
                <w:i w:val="0"/>
                <w:color w:val="334155"/>
                <w:sz w:val="18"/>
              </w:rPr>
              <w:t>Dynamic fluctuation in ventricular repolarization</w:t>
            </w:r>
          </w:p>
        </w:tc>
      </w:tr>
      <w:tr>
        <w:tc>
          <w:tcPr>
            <w:tcW w:type="dxa" w:w="1872"/>
            <w:tcMar>
              <w:top w:w="80" w:type="dxa"/>
              <w:bottom w:w="80" w:type="dxa"/>
              <w:left w:w="100" w:type="dxa"/>
              <w:right w:w="100" w:type="dxa"/>
            </w:tcMar>
            <w:shd w:fill="FFFFFF"/>
            <w:tcBorders>
              <w:top w:val="single" w:sz="4" w:space="0" w:color="CBD5E1"/>
              <w:bottom w:val="single" w:sz="4" w:space="0" w:color="CBD5E1"/>
              <w:left w:val="none" w:sz="0" w:space="0" w:color="auto"/>
              <w:right w:val="none" w:sz="0" w:space="0" w:color="auto"/>
            </w:tcBorders>
          </w:tcPr>
          <w:p>
            <w:pPr>
              <w:spacing w:before="0" w:after="0" w:line="252" w:lineRule="auto"/>
              <w:jc w:val="left"/>
            </w:pPr>
            <w:r>
              <w:rPr>
                <w:rFonts w:ascii="Calibri" w:hAnsi="Calibri"/>
                <w:b w:val="0"/>
                <w:i w:val="0"/>
                <w:color w:val="334155"/>
                <w:sz w:val="18"/>
              </w:rPr>
              <w:t>Repolarization</w:t>
            </w:r>
          </w:p>
        </w:tc>
        <w:tc>
          <w:tcPr>
            <w:tcW w:type="dxa" w:w="1872"/>
            <w:tcMar>
              <w:top w:w="80" w:type="dxa"/>
              <w:bottom w:w="80" w:type="dxa"/>
              <w:left w:w="100" w:type="dxa"/>
              <w:right w:w="100" w:type="dxa"/>
            </w:tcMar>
            <w:shd w:fill="FFFFFF"/>
            <w:tcBorders>
              <w:top w:val="single" w:sz="4" w:space="0" w:color="CBD5E1"/>
              <w:bottom w:val="single" w:sz="4" w:space="0" w:color="CBD5E1"/>
              <w:left w:val="none" w:sz="0" w:space="0" w:color="auto"/>
              <w:right w:val="none" w:sz="0" w:space="0" w:color="auto"/>
            </w:tcBorders>
          </w:tcPr>
          <w:p>
            <w:pPr>
              <w:spacing w:before="0" w:after="0" w:line="252" w:lineRule="auto"/>
              <w:jc w:val="left"/>
            </w:pPr>
            <w:r>
              <w:rPr>
                <w:rFonts w:ascii="Calibri" w:hAnsi="Calibri"/>
                <w:b w:val="0"/>
                <w:i w:val="0"/>
                <w:color w:val="334155"/>
                <w:sz w:val="18"/>
              </w:rPr>
              <w:t>st_delta_baseline</w:t>
            </w:r>
          </w:p>
        </w:tc>
        <w:tc>
          <w:tcPr>
            <w:tcW w:type="dxa" w:w="2448"/>
            <w:tcMar>
              <w:top w:w="80" w:type="dxa"/>
              <w:bottom w:w="80" w:type="dxa"/>
              <w:left w:w="100" w:type="dxa"/>
              <w:right w:w="100" w:type="dxa"/>
            </w:tcMar>
            <w:shd w:fill="FFFFFF"/>
            <w:tcBorders>
              <w:top w:val="single" w:sz="4" w:space="0" w:color="CBD5E1"/>
              <w:bottom w:val="single" w:sz="4" w:space="0" w:color="CBD5E1"/>
              <w:left w:val="none" w:sz="0" w:space="0" w:color="auto"/>
              <w:right w:val="none" w:sz="0" w:space="0" w:color="auto"/>
            </w:tcBorders>
          </w:tcPr>
          <w:p>
            <w:pPr>
              <w:spacing w:before="0" w:after="0" w:line="252" w:lineRule="auto"/>
              <w:jc w:val="left"/>
            </w:pPr>
            <w:r>
              <w:rPr>
                <w:rFonts w:ascii="Calibri" w:hAnsi="Calibri"/>
                <w:b w:val="0"/>
                <w:i w:val="0"/>
                <w:color w:val="334155"/>
                <w:sz w:val="18"/>
              </w:rPr>
              <w:t>ST Deviation from Baseline</w:t>
            </w:r>
          </w:p>
        </w:tc>
        <w:tc>
          <w:tcPr>
            <w:tcW w:type="dxa" w:w="1584"/>
            <w:tcMar>
              <w:top w:w="80" w:type="dxa"/>
              <w:bottom w:w="80" w:type="dxa"/>
              <w:left w:w="100" w:type="dxa"/>
              <w:right w:w="100" w:type="dxa"/>
            </w:tcMar>
            <w:shd w:fill="FFFFFF"/>
            <w:tcBorders>
              <w:top w:val="single" w:sz="4" w:space="0" w:color="CBD5E1"/>
              <w:bottom w:val="single" w:sz="4" w:space="0" w:color="CBD5E1"/>
              <w:left w:val="none" w:sz="0" w:space="0" w:color="auto"/>
              <w:right w:val="none" w:sz="0" w:space="0" w:color="auto"/>
            </w:tcBorders>
          </w:tcPr>
          <w:p>
            <w:pPr>
              <w:spacing w:before="0" w:after="0" w:line="252" w:lineRule="auto"/>
              <w:jc w:val="left"/>
            </w:pPr>
            <w:r>
              <w:rPr>
                <w:rFonts w:ascii="Calibri" w:hAnsi="Calibri"/>
                <w:b w:val="0"/>
                <w:i w:val="0"/>
                <w:color w:val="334155"/>
                <w:sz w:val="18"/>
              </w:rPr>
              <w:t>[-15, 15] mm</w:t>
            </w:r>
          </w:p>
        </w:tc>
        <w:tc>
          <w:tcPr>
            <w:tcW w:type="dxa" w:w="2304"/>
            <w:tcMar>
              <w:top w:w="80" w:type="dxa"/>
              <w:bottom w:w="80" w:type="dxa"/>
              <w:left w:w="100" w:type="dxa"/>
              <w:right w:w="100" w:type="dxa"/>
            </w:tcMar>
            <w:shd w:fill="FFFFFF"/>
            <w:tcBorders>
              <w:top w:val="single" w:sz="4" w:space="0" w:color="CBD5E1"/>
              <w:bottom w:val="single" w:sz="4" w:space="0" w:color="CBD5E1"/>
              <w:left w:val="none" w:sz="0" w:space="0" w:color="auto"/>
              <w:right w:val="none" w:sz="0" w:space="0" w:color="auto"/>
            </w:tcBorders>
          </w:tcPr>
          <w:p>
            <w:pPr>
              <w:spacing w:before="0" w:after="0" w:line="252" w:lineRule="auto"/>
              <w:jc w:val="left"/>
            </w:pPr>
            <w:r>
              <w:rPr>
                <w:rFonts w:ascii="Calibri" w:hAnsi="Calibri"/>
                <w:b w:val="0"/>
                <w:i w:val="0"/>
                <w:color w:val="334155"/>
                <w:sz w:val="18"/>
              </w:rPr>
              <w:t>Difference between current ST and personal norm</w:t>
            </w:r>
          </w:p>
        </w:tc>
      </w:tr>
      <w:tr>
        <w:tc>
          <w:tcPr>
            <w:tcW w:type="dxa" w:w="1872"/>
            <w:tcMar>
              <w:top w:w="80" w:type="dxa"/>
              <w:bottom w:w="80" w:type="dxa"/>
              <w:left w:w="100" w:type="dxa"/>
              <w:right w:w="100" w:type="dxa"/>
            </w:tcMar>
            <w:shd w:fill="F8FAFC"/>
            <w:tcBorders>
              <w:top w:val="single" w:sz="4" w:space="0" w:color="CBD5E1"/>
              <w:bottom w:val="single" w:sz="4" w:space="0" w:color="CBD5E1"/>
              <w:left w:val="none" w:sz="0" w:space="0" w:color="auto"/>
              <w:right w:val="none" w:sz="0" w:space="0" w:color="auto"/>
            </w:tcBorders>
          </w:tcPr>
          <w:p>
            <w:pPr>
              <w:spacing w:before="0" w:after="0" w:line="252" w:lineRule="auto"/>
              <w:jc w:val="left"/>
            </w:pPr>
            <w:r>
              <w:rPr>
                <w:rFonts w:ascii="Calibri" w:hAnsi="Calibri"/>
                <w:b w:val="0"/>
                <w:i w:val="0"/>
                <w:color w:val="334155"/>
                <w:sz w:val="18"/>
              </w:rPr>
              <w:t>Repolarization</w:t>
            </w:r>
          </w:p>
        </w:tc>
        <w:tc>
          <w:tcPr>
            <w:tcW w:type="dxa" w:w="1872"/>
            <w:tcMar>
              <w:top w:w="80" w:type="dxa"/>
              <w:bottom w:w="80" w:type="dxa"/>
              <w:left w:w="100" w:type="dxa"/>
              <w:right w:w="100" w:type="dxa"/>
            </w:tcMar>
            <w:shd w:fill="F8FAFC"/>
            <w:tcBorders>
              <w:top w:val="single" w:sz="4" w:space="0" w:color="CBD5E1"/>
              <w:bottom w:val="single" w:sz="4" w:space="0" w:color="CBD5E1"/>
              <w:left w:val="none" w:sz="0" w:space="0" w:color="auto"/>
              <w:right w:val="none" w:sz="0" w:space="0" w:color="auto"/>
            </w:tcBorders>
          </w:tcPr>
          <w:p>
            <w:pPr>
              <w:spacing w:before="0" w:after="0" w:line="252" w:lineRule="auto"/>
              <w:jc w:val="left"/>
            </w:pPr>
            <w:r>
              <w:rPr>
                <w:rFonts w:ascii="Calibri" w:hAnsi="Calibri"/>
                <w:b w:val="0"/>
                <w:i w:val="0"/>
                <w:color w:val="334155"/>
                <w:sz w:val="18"/>
              </w:rPr>
              <w:t>st_slope_mm_min</w:t>
            </w:r>
          </w:p>
        </w:tc>
        <w:tc>
          <w:tcPr>
            <w:tcW w:type="dxa" w:w="2448"/>
            <w:tcMar>
              <w:top w:w="80" w:type="dxa"/>
              <w:bottom w:w="80" w:type="dxa"/>
              <w:left w:w="100" w:type="dxa"/>
              <w:right w:w="100" w:type="dxa"/>
            </w:tcMar>
            <w:shd w:fill="F8FAFC"/>
            <w:tcBorders>
              <w:top w:val="single" w:sz="4" w:space="0" w:color="CBD5E1"/>
              <w:bottom w:val="single" w:sz="4" w:space="0" w:color="CBD5E1"/>
              <w:left w:val="none" w:sz="0" w:space="0" w:color="auto"/>
              <w:right w:val="none" w:sz="0" w:space="0" w:color="auto"/>
            </w:tcBorders>
          </w:tcPr>
          <w:p>
            <w:pPr>
              <w:spacing w:before="0" w:after="0" w:line="252" w:lineRule="auto"/>
              <w:jc w:val="left"/>
            </w:pPr>
            <w:r>
              <w:rPr>
                <w:rFonts w:ascii="Calibri" w:hAnsi="Calibri"/>
                <w:b w:val="0"/>
                <w:i w:val="0"/>
                <w:color w:val="334155"/>
                <w:sz w:val="18"/>
              </w:rPr>
              <w:t>ST Trajectory Slope</w:t>
            </w:r>
          </w:p>
        </w:tc>
        <w:tc>
          <w:tcPr>
            <w:tcW w:type="dxa" w:w="1584"/>
            <w:tcMar>
              <w:top w:w="80" w:type="dxa"/>
              <w:bottom w:w="80" w:type="dxa"/>
              <w:left w:w="100" w:type="dxa"/>
              <w:right w:w="100" w:type="dxa"/>
            </w:tcMar>
            <w:shd w:fill="F8FAFC"/>
            <w:tcBorders>
              <w:top w:val="single" w:sz="4" w:space="0" w:color="CBD5E1"/>
              <w:bottom w:val="single" w:sz="4" w:space="0" w:color="CBD5E1"/>
              <w:left w:val="none" w:sz="0" w:space="0" w:color="auto"/>
              <w:right w:val="none" w:sz="0" w:space="0" w:color="auto"/>
            </w:tcBorders>
          </w:tcPr>
          <w:p>
            <w:pPr>
              <w:spacing w:before="0" w:after="0" w:line="252" w:lineRule="auto"/>
              <w:jc w:val="left"/>
            </w:pPr>
            <w:r>
              <w:rPr>
                <w:rFonts w:ascii="Calibri" w:hAnsi="Calibri"/>
                <w:b w:val="0"/>
                <w:i w:val="0"/>
                <w:color w:val="334155"/>
                <w:sz w:val="18"/>
              </w:rPr>
              <w:t>[-20, 20] mm/min</w:t>
            </w:r>
          </w:p>
        </w:tc>
        <w:tc>
          <w:tcPr>
            <w:tcW w:type="dxa" w:w="2304"/>
            <w:tcMar>
              <w:top w:w="80" w:type="dxa"/>
              <w:bottom w:w="80" w:type="dxa"/>
              <w:left w:w="100" w:type="dxa"/>
              <w:right w:w="100" w:type="dxa"/>
            </w:tcMar>
            <w:shd w:fill="F8FAFC"/>
            <w:tcBorders>
              <w:top w:val="single" w:sz="4" w:space="0" w:color="CBD5E1"/>
              <w:bottom w:val="single" w:sz="4" w:space="0" w:color="CBD5E1"/>
              <w:left w:val="none" w:sz="0" w:space="0" w:color="auto"/>
              <w:right w:val="none" w:sz="0" w:space="0" w:color="auto"/>
            </w:tcBorders>
          </w:tcPr>
          <w:p>
            <w:pPr>
              <w:spacing w:before="0" w:after="0" w:line="252" w:lineRule="auto"/>
              <w:jc w:val="left"/>
            </w:pPr>
            <w:r>
              <w:rPr>
                <w:rFonts w:ascii="Calibri" w:hAnsi="Calibri"/>
                <w:b w:val="0"/>
                <w:i w:val="0"/>
                <w:color w:val="334155"/>
                <w:sz w:val="18"/>
              </w:rPr>
              <w:t>Rate of progressive ST sagging over 5 minutes</w:t>
            </w:r>
          </w:p>
        </w:tc>
      </w:tr>
    </w:tbl>
    <w:p>
      <w:pPr>
        <w:spacing w:before="60" w:after="60"/>
      </w:pPr>
    </w:p>
    <w:p>
      <w:pPr>
        <w:keepNext/>
        <w:spacing w:before="320" w:after="120"/>
        <w:pBdr>
          <w:bottom w:val="single" w:sz="12" w:space="4" w:color="2563EB"/>
        </w:pBdr>
      </w:pPr>
      <w:r>
        <w:rPr>
          <w:rFonts w:ascii="Calibri" w:hAnsi="Calibri"/>
          <w:b/>
          <w:i w:val="0"/>
          <w:color w:val="1E3A8A"/>
          <w:sz w:val="36"/>
        </w:rPr>
        <w:t>5. The XGBoost Machine Learning Engine</w:t>
      </w:r>
    </w:p>
    <w:p>
      <w:pPr>
        <w:spacing w:before="0" w:after="100" w:line="276" w:lineRule="auto"/>
      </w:pPr>
      <w:r>
        <w:rPr>
          <w:rFonts w:ascii="Calibri" w:hAnsi="Calibri"/>
          <w:b w:val="0"/>
          <w:i w:val="0"/>
          <w:color w:val="334155"/>
          <w:sz w:val="21"/>
        </w:rPr>
        <w:t>The core classification engine of BeatAhead is an Extreme Gradient Boosted decision tree ensemble (XGBoost). In biosignal predictive modeling, gradient boosted decision trees provide profound structural advantages over deep neural networks: they exhibit superior sample efficiency on tabular physiological metrics, remain immune to monotonic feature scaling discrepancies, model complex non-linear feature interactions without catastrophic forgetting, and can be evaluated deterministically in microseconds on edge processors.</w:t>
      </w:r>
    </w:p>
    <w:p>
      <w:pPr>
        <w:keepNext/>
        <w:spacing w:before="240" w:after="80"/>
      </w:pPr>
      <w:r>
        <w:rPr>
          <w:rFonts w:ascii="Calibri" w:hAnsi="Calibri"/>
          <w:b/>
          <w:i w:val="0"/>
          <w:color w:val="2563EB"/>
          <w:sz w:val="28"/>
        </w:rPr>
        <w:t>5.1 Resolving Extreme 1:230 Class Imbalance</w:t>
      </w:r>
    </w:p>
    <w:p>
      <w:pPr>
        <w:spacing w:before="0" w:after="100" w:line="276" w:lineRule="auto"/>
      </w:pPr>
      <w:r>
        <w:rPr>
          <w:rFonts w:ascii="Calibri" w:hAnsi="Calibri"/>
          <w:b w:val="0"/>
          <w:i w:val="0"/>
          <w:color w:val="334155"/>
          <w:sz w:val="21"/>
        </w:rPr>
        <w:t>In continuous prospective monitoring, genuine myocardial ischemic events are rare, high-consequence phenomena. Across the 8,571 development windows, exactly 37 windows exhibited sustained target ischemia (0.4316% prevalence). A naive machine learning algorithm trained on standard binary cross-entropy loss immediately learns to classify every window as negative, achieving a deceptively high dummy accuracy of 99.57% while remaining 100% blind to ischemic events.</w:t>
      </w:r>
    </w:p>
    <w:tbl>
      <w:tblPr>
        <w:tblW w:type="auto" w:w="0"/>
        <w:jc w:val="center"/>
        <w:tblLayout w:type="fixed"/>
        <w:tblLook w:firstColumn="1" w:firstRow="1" w:lastColumn="0" w:lastRow="0" w:noHBand="0" w:noVBand="1" w:val="04A0"/>
      </w:tblPr>
      <w:tblGrid>
        <w:gridCol w:w="10080"/>
      </w:tblGrid>
      <w:tr>
        <w:tc>
          <w:tcPr>
            <w:tcW w:type="dxa" w:w="10080"/>
            <w:tcMar>
              <w:top w:w="140" w:type="dxa"/>
              <w:bottom w:w="140" w:type="dxa"/>
              <w:left w:w="180" w:type="dxa"/>
              <w:right w:w="160" w:type="dxa"/>
            </w:tcMar>
            <w:shd w:fill="EFF6FF"/>
            <w:tcBorders>
              <w:top w:val="none" w:sz="0" w:space="0" w:color="auto"/>
              <w:bottom w:val="none" w:sz="0" w:space="0" w:color="auto"/>
              <w:left w:val="single" w:sz="36" w:space="0" w:color="2563EB"/>
              <w:right w:val="none" w:sz="0" w:space="0" w:color="auto"/>
            </w:tcBorders>
          </w:tcPr>
          <w:p>
            <w:pPr>
              <w:spacing w:before="0" w:after="60" w:line="276" w:lineRule="auto"/>
            </w:pPr>
            <w:r>
              <w:rPr>
                <w:rFonts w:ascii="Calibri" w:hAnsi="Calibri"/>
                <w:b/>
                <w:i w:val="0"/>
                <w:color w:val="2563EB"/>
                <w:sz w:val="22"/>
              </w:rPr>
              <w:t>✦ Mathematical Resolution of Imbalance: scale_pos_weight</w:t>
              <w:br/>
            </w:r>
            <w:r>
              <w:rPr>
                <w:rFonts w:ascii="Calibri" w:hAnsi="Calibri"/>
                <w:b w:val="0"/>
                <w:i w:val="0"/>
                <w:color w:val="0F172A"/>
                <w:sz w:val="20"/>
              </w:rPr>
              <w:t>To counter this extreme imbalance, BeatAhead computes the exact negative-to-positive ratio:</w:t>
              <w:br/>
              <w:t>scale_pos_weight = N_negative / N_positive = (8,571 - 37) / 37 = 8,534 / 37 = 230.648651</w:t>
              <w:br/>
              <w:br/>
              <w:t>During gradient boosting updates, every positive misclassification incurs a penalty 230.65 times higher than a negative misclassification, forcing the decision trees to construct decision boundaries that capture genuine pre-ischemic physiological strain.</w:t>
            </w:r>
          </w:p>
        </w:tc>
      </w:tr>
    </w:tbl>
    <w:p>
      <w:pPr>
        <w:spacing w:before="40" w:after="40"/>
      </w:pPr>
    </w:p>
    <w:p>
      <w:pPr>
        <w:keepNext/>
        <w:spacing w:before="240" w:after="80"/>
      </w:pPr>
      <w:r>
        <w:rPr>
          <w:rFonts w:ascii="Calibri" w:hAnsi="Calibri"/>
          <w:b/>
          <w:i w:val="0"/>
          <w:color w:val="2563EB"/>
          <w:sz w:val="28"/>
        </w:rPr>
        <w:t>5.2 Model Hyperparameters &amp; Architecture</w:t>
      </w:r>
    </w:p>
    <w:tbl>
      <w:tblPr>
        <w:tblW w:type="auto" w:w="0"/>
        <w:jc w:val="center"/>
        <w:tblLayout w:type="fixed"/>
        <w:tblLook w:firstColumn="1" w:firstRow="1" w:lastColumn="0" w:lastRow="0" w:noHBand="0" w:noVBand="1" w:val="04A0"/>
      </w:tblPr>
      <w:tblGrid>
        <w:gridCol w:w="3360"/>
        <w:gridCol w:w="3360"/>
        <w:gridCol w:w="3360"/>
      </w:tblGrid>
      <w:tr>
        <w:tc>
          <w:tcPr>
            <w:tcW w:type="dxa" w:w="2592"/>
            <w:tcMar>
              <w:top w:w="120" w:type="dxa"/>
              <w:bottom w:w="120" w:type="dxa"/>
              <w:left w:w="100" w:type="dxa"/>
              <w:right w:w="100" w:type="dxa"/>
            </w:tcMar>
            <w:shd w:fill="1E3A8A"/>
            <w:tcBorders>
              <w:top w:val="single" w:sz="8" w:space="0" w:color="1E3A8A"/>
              <w:bottom w:val="single" w:sz="16" w:space="0" w:color="CBD5E1"/>
              <w:left w:val="none" w:sz="0" w:space="0" w:color="auto"/>
              <w:right w:val="none" w:sz="0" w:space="0" w:color="auto"/>
            </w:tcBorders>
          </w:tcPr>
          <w:p>
            <w:pPr>
              <w:spacing w:before="0" w:after="0"/>
              <w:jc w:val="left"/>
            </w:pPr>
            <w:r>
              <w:rPr>
                <w:rFonts w:ascii="Calibri" w:hAnsi="Calibri"/>
                <w:b/>
                <w:i w:val="0"/>
                <w:color w:val="FFFFFF"/>
                <w:sz w:val="19"/>
              </w:rPr>
              <w:t>Hyperparameter</w:t>
            </w:r>
          </w:p>
        </w:tc>
        <w:tc>
          <w:tcPr>
            <w:tcW w:type="dxa" w:w="2304"/>
            <w:tcMar>
              <w:top w:w="120" w:type="dxa"/>
              <w:bottom w:w="120" w:type="dxa"/>
              <w:left w:w="100" w:type="dxa"/>
              <w:right w:w="100" w:type="dxa"/>
            </w:tcMar>
            <w:shd w:fill="1E3A8A"/>
            <w:tcBorders>
              <w:top w:val="single" w:sz="8" w:space="0" w:color="1E3A8A"/>
              <w:bottom w:val="single" w:sz="16" w:space="0" w:color="CBD5E1"/>
              <w:left w:val="none" w:sz="0" w:space="0" w:color="auto"/>
              <w:right w:val="none" w:sz="0" w:space="0" w:color="auto"/>
            </w:tcBorders>
          </w:tcPr>
          <w:p>
            <w:pPr>
              <w:spacing w:before="0" w:after="0"/>
              <w:jc w:val="left"/>
            </w:pPr>
            <w:r>
              <w:rPr>
                <w:rFonts w:ascii="Calibri" w:hAnsi="Calibri"/>
                <w:b/>
                <w:i w:val="0"/>
                <w:color w:val="FFFFFF"/>
                <w:sz w:val="19"/>
              </w:rPr>
              <w:t>Configured Value</w:t>
            </w:r>
          </w:p>
        </w:tc>
        <w:tc>
          <w:tcPr>
            <w:tcW w:type="dxa" w:w="5184"/>
            <w:tcMar>
              <w:top w:w="120" w:type="dxa"/>
              <w:bottom w:w="120" w:type="dxa"/>
              <w:left w:w="100" w:type="dxa"/>
              <w:right w:w="100" w:type="dxa"/>
            </w:tcMar>
            <w:shd w:fill="1E3A8A"/>
            <w:tcBorders>
              <w:top w:val="single" w:sz="8" w:space="0" w:color="1E3A8A"/>
              <w:bottom w:val="single" w:sz="16" w:space="0" w:color="CBD5E1"/>
              <w:left w:val="none" w:sz="0" w:space="0" w:color="auto"/>
              <w:right w:val="none" w:sz="0" w:space="0" w:color="auto"/>
            </w:tcBorders>
          </w:tcPr>
          <w:p>
            <w:pPr>
              <w:spacing w:before="0" w:after="0"/>
              <w:jc w:val="left"/>
            </w:pPr>
            <w:r>
              <w:rPr>
                <w:rFonts w:ascii="Calibri" w:hAnsi="Calibri"/>
                <w:b/>
                <w:i w:val="0"/>
                <w:color w:val="FFFFFF"/>
                <w:sz w:val="19"/>
              </w:rPr>
              <w:t>Optimization Rationale</w:t>
            </w:r>
          </w:p>
        </w:tc>
      </w:tr>
      <w:tr>
        <w:tc>
          <w:tcPr>
            <w:tcW w:type="dxa" w:w="2592"/>
            <w:tcMar>
              <w:top w:w="80" w:type="dxa"/>
              <w:bottom w:w="80" w:type="dxa"/>
              <w:left w:w="100" w:type="dxa"/>
              <w:right w:w="100" w:type="dxa"/>
            </w:tcMar>
            <w:shd w:fill="FFFFFF"/>
            <w:tcBorders>
              <w:top w:val="single" w:sz="4" w:space="0" w:color="CBD5E1"/>
              <w:bottom w:val="single" w:sz="4" w:space="0" w:color="CBD5E1"/>
              <w:left w:val="none" w:sz="0" w:space="0" w:color="auto"/>
              <w:right w:val="none" w:sz="0" w:space="0" w:color="auto"/>
            </w:tcBorders>
          </w:tcPr>
          <w:p>
            <w:pPr>
              <w:spacing w:before="0" w:after="0" w:line="252" w:lineRule="auto"/>
              <w:jc w:val="left"/>
            </w:pPr>
            <w:r>
              <w:rPr>
                <w:rFonts w:ascii="Calibri" w:hAnsi="Calibri"/>
                <w:b w:val="0"/>
                <w:i w:val="0"/>
                <w:color w:val="334155"/>
                <w:sz w:val="18"/>
              </w:rPr>
              <w:t>Algorithm</w:t>
            </w:r>
          </w:p>
        </w:tc>
        <w:tc>
          <w:tcPr>
            <w:tcW w:type="dxa" w:w="2304"/>
            <w:tcMar>
              <w:top w:w="80" w:type="dxa"/>
              <w:bottom w:w="80" w:type="dxa"/>
              <w:left w:w="100" w:type="dxa"/>
              <w:right w:w="100" w:type="dxa"/>
            </w:tcMar>
            <w:shd w:fill="FFFFFF"/>
            <w:tcBorders>
              <w:top w:val="single" w:sz="4" w:space="0" w:color="CBD5E1"/>
              <w:bottom w:val="single" w:sz="4" w:space="0" w:color="CBD5E1"/>
              <w:left w:val="none" w:sz="0" w:space="0" w:color="auto"/>
              <w:right w:val="none" w:sz="0" w:space="0" w:color="auto"/>
            </w:tcBorders>
          </w:tcPr>
          <w:p>
            <w:pPr>
              <w:spacing w:before="0" w:after="0" w:line="252" w:lineRule="auto"/>
              <w:jc w:val="left"/>
            </w:pPr>
            <w:r>
              <w:rPr>
                <w:rFonts w:ascii="Calibri" w:hAnsi="Calibri"/>
                <w:b w:val="0"/>
                <w:i w:val="0"/>
                <w:color w:val="334155"/>
                <w:sz w:val="18"/>
              </w:rPr>
              <w:t>XGBoost (XGBClassifier / Booster)</w:t>
            </w:r>
          </w:p>
        </w:tc>
        <w:tc>
          <w:tcPr>
            <w:tcW w:type="dxa" w:w="5184"/>
            <w:tcMar>
              <w:top w:w="80" w:type="dxa"/>
              <w:bottom w:w="80" w:type="dxa"/>
              <w:left w:w="100" w:type="dxa"/>
              <w:right w:w="100" w:type="dxa"/>
            </w:tcMar>
            <w:shd w:fill="FFFFFF"/>
            <w:tcBorders>
              <w:top w:val="single" w:sz="4" w:space="0" w:color="CBD5E1"/>
              <w:bottom w:val="single" w:sz="4" w:space="0" w:color="CBD5E1"/>
              <w:left w:val="none" w:sz="0" w:space="0" w:color="auto"/>
              <w:right w:val="none" w:sz="0" w:space="0" w:color="auto"/>
            </w:tcBorders>
          </w:tcPr>
          <w:p>
            <w:pPr>
              <w:spacing w:before="0" w:after="0" w:line="252" w:lineRule="auto"/>
              <w:jc w:val="left"/>
            </w:pPr>
            <w:r>
              <w:rPr>
                <w:rFonts w:ascii="Calibri" w:hAnsi="Calibri"/>
                <w:b w:val="0"/>
                <w:i w:val="0"/>
                <w:color w:val="334155"/>
                <w:sz w:val="18"/>
              </w:rPr>
              <w:t>Second-order gradient boosted decision tree ensemble</w:t>
            </w:r>
          </w:p>
        </w:tc>
      </w:tr>
      <w:tr>
        <w:tc>
          <w:tcPr>
            <w:tcW w:type="dxa" w:w="2592"/>
            <w:tcMar>
              <w:top w:w="80" w:type="dxa"/>
              <w:bottom w:w="80" w:type="dxa"/>
              <w:left w:w="100" w:type="dxa"/>
              <w:right w:w="100" w:type="dxa"/>
            </w:tcMar>
            <w:shd w:fill="F8FAFC"/>
            <w:tcBorders>
              <w:top w:val="single" w:sz="4" w:space="0" w:color="CBD5E1"/>
              <w:bottom w:val="single" w:sz="4" w:space="0" w:color="CBD5E1"/>
              <w:left w:val="none" w:sz="0" w:space="0" w:color="auto"/>
              <w:right w:val="none" w:sz="0" w:space="0" w:color="auto"/>
            </w:tcBorders>
          </w:tcPr>
          <w:p>
            <w:pPr>
              <w:spacing w:before="0" w:after="0" w:line="252" w:lineRule="auto"/>
              <w:jc w:val="left"/>
            </w:pPr>
            <w:r>
              <w:rPr>
                <w:rFonts w:ascii="Calibri" w:hAnsi="Calibri"/>
                <w:b w:val="0"/>
                <w:i w:val="0"/>
                <w:color w:val="334155"/>
                <w:sz w:val="18"/>
              </w:rPr>
              <w:t>Number of Estimators</w:t>
            </w:r>
          </w:p>
        </w:tc>
        <w:tc>
          <w:tcPr>
            <w:tcW w:type="dxa" w:w="2304"/>
            <w:tcMar>
              <w:top w:w="80" w:type="dxa"/>
              <w:bottom w:w="80" w:type="dxa"/>
              <w:left w:w="100" w:type="dxa"/>
              <w:right w:w="100" w:type="dxa"/>
            </w:tcMar>
            <w:shd w:fill="F8FAFC"/>
            <w:tcBorders>
              <w:top w:val="single" w:sz="4" w:space="0" w:color="CBD5E1"/>
              <w:bottom w:val="single" w:sz="4" w:space="0" w:color="CBD5E1"/>
              <w:left w:val="none" w:sz="0" w:space="0" w:color="auto"/>
              <w:right w:val="none" w:sz="0" w:space="0" w:color="auto"/>
            </w:tcBorders>
          </w:tcPr>
          <w:p>
            <w:pPr>
              <w:spacing w:before="0" w:after="0" w:line="252" w:lineRule="auto"/>
              <w:jc w:val="left"/>
            </w:pPr>
            <w:r>
              <w:rPr>
                <w:rFonts w:ascii="Calibri" w:hAnsi="Calibri"/>
                <w:b w:val="0"/>
                <w:i w:val="0"/>
                <w:color w:val="334155"/>
                <w:sz w:val="18"/>
              </w:rPr>
              <w:t>150 Trees</w:t>
            </w:r>
          </w:p>
        </w:tc>
        <w:tc>
          <w:tcPr>
            <w:tcW w:type="dxa" w:w="5184"/>
            <w:tcMar>
              <w:top w:w="80" w:type="dxa"/>
              <w:bottom w:w="80" w:type="dxa"/>
              <w:left w:w="100" w:type="dxa"/>
              <w:right w:w="100" w:type="dxa"/>
            </w:tcMar>
            <w:shd w:fill="F8FAFC"/>
            <w:tcBorders>
              <w:top w:val="single" w:sz="4" w:space="0" w:color="CBD5E1"/>
              <w:bottom w:val="single" w:sz="4" w:space="0" w:color="CBD5E1"/>
              <w:left w:val="none" w:sz="0" w:space="0" w:color="auto"/>
              <w:right w:val="none" w:sz="0" w:space="0" w:color="auto"/>
            </w:tcBorders>
          </w:tcPr>
          <w:p>
            <w:pPr>
              <w:spacing w:before="0" w:after="0" w:line="252" w:lineRule="auto"/>
              <w:jc w:val="left"/>
            </w:pPr>
            <w:r>
              <w:rPr>
                <w:rFonts w:ascii="Calibri" w:hAnsi="Calibri"/>
                <w:b w:val="0"/>
                <w:i w:val="0"/>
                <w:color w:val="334155"/>
                <w:sz w:val="18"/>
              </w:rPr>
              <w:t>Enables convergence without overfitting on clinical cohort</w:t>
            </w:r>
          </w:p>
        </w:tc>
      </w:tr>
      <w:tr>
        <w:tc>
          <w:tcPr>
            <w:tcW w:type="dxa" w:w="2592"/>
            <w:tcMar>
              <w:top w:w="80" w:type="dxa"/>
              <w:bottom w:w="80" w:type="dxa"/>
              <w:left w:w="100" w:type="dxa"/>
              <w:right w:w="100" w:type="dxa"/>
            </w:tcMar>
            <w:shd w:fill="FFFFFF"/>
            <w:tcBorders>
              <w:top w:val="single" w:sz="4" w:space="0" w:color="CBD5E1"/>
              <w:bottom w:val="single" w:sz="4" w:space="0" w:color="CBD5E1"/>
              <w:left w:val="none" w:sz="0" w:space="0" w:color="auto"/>
              <w:right w:val="none" w:sz="0" w:space="0" w:color="auto"/>
            </w:tcBorders>
          </w:tcPr>
          <w:p>
            <w:pPr>
              <w:spacing w:before="0" w:after="0" w:line="252" w:lineRule="auto"/>
              <w:jc w:val="left"/>
            </w:pPr>
            <w:r>
              <w:rPr>
                <w:rFonts w:ascii="Calibri" w:hAnsi="Calibri"/>
                <w:b w:val="0"/>
                <w:i w:val="0"/>
                <w:color w:val="334155"/>
                <w:sz w:val="18"/>
              </w:rPr>
              <w:t>Maximum Tree Depth</w:t>
            </w:r>
          </w:p>
        </w:tc>
        <w:tc>
          <w:tcPr>
            <w:tcW w:type="dxa" w:w="2304"/>
            <w:tcMar>
              <w:top w:w="80" w:type="dxa"/>
              <w:bottom w:w="80" w:type="dxa"/>
              <w:left w:w="100" w:type="dxa"/>
              <w:right w:w="100" w:type="dxa"/>
            </w:tcMar>
            <w:shd w:fill="FFFFFF"/>
            <w:tcBorders>
              <w:top w:val="single" w:sz="4" w:space="0" w:color="CBD5E1"/>
              <w:bottom w:val="single" w:sz="4" w:space="0" w:color="CBD5E1"/>
              <w:left w:val="none" w:sz="0" w:space="0" w:color="auto"/>
              <w:right w:val="none" w:sz="0" w:space="0" w:color="auto"/>
            </w:tcBorders>
          </w:tcPr>
          <w:p>
            <w:pPr>
              <w:spacing w:before="0" w:after="0" w:line="252" w:lineRule="auto"/>
              <w:jc w:val="left"/>
            </w:pPr>
            <w:r>
              <w:rPr>
                <w:rFonts w:ascii="Calibri" w:hAnsi="Calibri"/>
                <w:b w:val="0"/>
                <w:i w:val="0"/>
                <w:color w:val="334155"/>
                <w:sz w:val="18"/>
              </w:rPr>
              <w:t>4 Levels</w:t>
            </w:r>
          </w:p>
        </w:tc>
        <w:tc>
          <w:tcPr>
            <w:tcW w:type="dxa" w:w="5184"/>
            <w:tcMar>
              <w:top w:w="80" w:type="dxa"/>
              <w:bottom w:w="80" w:type="dxa"/>
              <w:left w:w="100" w:type="dxa"/>
              <w:right w:w="100" w:type="dxa"/>
            </w:tcMar>
            <w:shd w:fill="FFFFFF"/>
            <w:tcBorders>
              <w:top w:val="single" w:sz="4" w:space="0" w:color="CBD5E1"/>
              <w:bottom w:val="single" w:sz="4" w:space="0" w:color="CBD5E1"/>
              <w:left w:val="none" w:sz="0" w:space="0" w:color="auto"/>
              <w:right w:val="none" w:sz="0" w:space="0" w:color="auto"/>
            </w:tcBorders>
          </w:tcPr>
          <w:p>
            <w:pPr>
              <w:spacing w:before="0" w:after="0" w:line="252" w:lineRule="auto"/>
              <w:jc w:val="left"/>
            </w:pPr>
            <w:r>
              <w:rPr>
                <w:rFonts w:ascii="Calibri" w:hAnsi="Calibri"/>
                <w:b w:val="0"/>
                <w:i w:val="0"/>
                <w:color w:val="334155"/>
                <w:sz w:val="18"/>
              </w:rPr>
              <w:t>Restricts interaction depth to 4 features, preventing memorization</w:t>
            </w:r>
          </w:p>
        </w:tc>
      </w:tr>
      <w:tr>
        <w:tc>
          <w:tcPr>
            <w:tcW w:type="dxa" w:w="2592"/>
            <w:tcMar>
              <w:top w:w="80" w:type="dxa"/>
              <w:bottom w:w="80" w:type="dxa"/>
              <w:left w:w="100" w:type="dxa"/>
              <w:right w:w="100" w:type="dxa"/>
            </w:tcMar>
            <w:shd w:fill="F8FAFC"/>
            <w:tcBorders>
              <w:top w:val="single" w:sz="4" w:space="0" w:color="CBD5E1"/>
              <w:bottom w:val="single" w:sz="4" w:space="0" w:color="CBD5E1"/>
              <w:left w:val="none" w:sz="0" w:space="0" w:color="auto"/>
              <w:right w:val="none" w:sz="0" w:space="0" w:color="auto"/>
            </w:tcBorders>
          </w:tcPr>
          <w:p>
            <w:pPr>
              <w:spacing w:before="0" w:after="0" w:line="252" w:lineRule="auto"/>
              <w:jc w:val="left"/>
            </w:pPr>
            <w:r>
              <w:rPr>
                <w:rFonts w:ascii="Calibri" w:hAnsi="Calibri"/>
                <w:b w:val="0"/>
                <w:i w:val="0"/>
                <w:color w:val="334155"/>
                <w:sz w:val="18"/>
              </w:rPr>
              <w:t>Learning Rate (eta)</w:t>
            </w:r>
          </w:p>
        </w:tc>
        <w:tc>
          <w:tcPr>
            <w:tcW w:type="dxa" w:w="2304"/>
            <w:tcMar>
              <w:top w:w="80" w:type="dxa"/>
              <w:bottom w:w="80" w:type="dxa"/>
              <w:left w:w="100" w:type="dxa"/>
              <w:right w:w="100" w:type="dxa"/>
            </w:tcMar>
            <w:shd w:fill="F8FAFC"/>
            <w:tcBorders>
              <w:top w:val="single" w:sz="4" w:space="0" w:color="CBD5E1"/>
              <w:bottom w:val="single" w:sz="4" w:space="0" w:color="CBD5E1"/>
              <w:left w:val="none" w:sz="0" w:space="0" w:color="auto"/>
              <w:right w:val="none" w:sz="0" w:space="0" w:color="auto"/>
            </w:tcBorders>
          </w:tcPr>
          <w:p>
            <w:pPr>
              <w:spacing w:before="0" w:after="0" w:line="252" w:lineRule="auto"/>
              <w:jc w:val="left"/>
            </w:pPr>
            <w:r>
              <w:rPr>
                <w:rFonts w:ascii="Calibri" w:hAnsi="Calibri"/>
                <w:b w:val="0"/>
                <w:i w:val="0"/>
                <w:color w:val="334155"/>
                <w:sz w:val="18"/>
              </w:rPr>
              <w:t>0.03</w:t>
            </w:r>
          </w:p>
        </w:tc>
        <w:tc>
          <w:tcPr>
            <w:tcW w:type="dxa" w:w="5184"/>
            <w:tcMar>
              <w:top w:w="80" w:type="dxa"/>
              <w:bottom w:w="80" w:type="dxa"/>
              <w:left w:w="100" w:type="dxa"/>
              <w:right w:w="100" w:type="dxa"/>
            </w:tcMar>
            <w:shd w:fill="F8FAFC"/>
            <w:tcBorders>
              <w:top w:val="single" w:sz="4" w:space="0" w:color="CBD5E1"/>
              <w:bottom w:val="single" w:sz="4" w:space="0" w:color="CBD5E1"/>
              <w:left w:val="none" w:sz="0" w:space="0" w:color="auto"/>
              <w:right w:val="none" w:sz="0" w:space="0" w:color="auto"/>
            </w:tcBorders>
          </w:tcPr>
          <w:p>
            <w:pPr>
              <w:spacing w:before="0" w:after="0" w:line="252" w:lineRule="auto"/>
              <w:jc w:val="left"/>
            </w:pPr>
            <w:r>
              <w:rPr>
                <w:rFonts w:ascii="Calibri" w:hAnsi="Calibri"/>
                <w:b w:val="0"/>
                <w:i w:val="0"/>
                <w:color w:val="334155"/>
                <w:sz w:val="18"/>
              </w:rPr>
              <w:t>Conservative shrinkage factor ensuring robust gradient stepping</w:t>
            </w:r>
          </w:p>
        </w:tc>
      </w:tr>
      <w:tr>
        <w:tc>
          <w:tcPr>
            <w:tcW w:type="dxa" w:w="2592"/>
            <w:tcMar>
              <w:top w:w="80" w:type="dxa"/>
              <w:bottom w:w="80" w:type="dxa"/>
              <w:left w:w="100" w:type="dxa"/>
              <w:right w:w="100" w:type="dxa"/>
            </w:tcMar>
            <w:shd w:fill="FFFFFF"/>
            <w:tcBorders>
              <w:top w:val="single" w:sz="4" w:space="0" w:color="CBD5E1"/>
              <w:bottom w:val="single" w:sz="4" w:space="0" w:color="CBD5E1"/>
              <w:left w:val="none" w:sz="0" w:space="0" w:color="auto"/>
              <w:right w:val="none" w:sz="0" w:space="0" w:color="auto"/>
            </w:tcBorders>
          </w:tcPr>
          <w:p>
            <w:pPr>
              <w:spacing w:before="0" w:after="0" w:line="252" w:lineRule="auto"/>
              <w:jc w:val="left"/>
            </w:pPr>
            <w:r>
              <w:rPr>
                <w:rFonts w:ascii="Calibri" w:hAnsi="Calibri"/>
                <w:b w:val="0"/>
                <w:i w:val="0"/>
                <w:color w:val="334155"/>
                <w:sz w:val="18"/>
              </w:rPr>
              <w:t>Subsample Ratio</w:t>
            </w:r>
          </w:p>
        </w:tc>
        <w:tc>
          <w:tcPr>
            <w:tcW w:type="dxa" w:w="2304"/>
            <w:tcMar>
              <w:top w:w="80" w:type="dxa"/>
              <w:bottom w:w="80" w:type="dxa"/>
              <w:left w:w="100" w:type="dxa"/>
              <w:right w:w="100" w:type="dxa"/>
            </w:tcMar>
            <w:shd w:fill="FFFFFF"/>
            <w:tcBorders>
              <w:top w:val="single" w:sz="4" w:space="0" w:color="CBD5E1"/>
              <w:bottom w:val="single" w:sz="4" w:space="0" w:color="CBD5E1"/>
              <w:left w:val="none" w:sz="0" w:space="0" w:color="auto"/>
              <w:right w:val="none" w:sz="0" w:space="0" w:color="auto"/>
            </w:tcBorders>
          </w:tcPr>
          <w:p>
            <w:pPr>
              <w:spacing w:before="0" w:after="0" w:line="252" w:lineRule="auto"/>
              <w:jc w:val="left"/>
            </w:pPr>
            <w:r>
              <w:rPr>
                <w:rFonts w:ascii="Calibri" w:hAnsi="Calibri"/>
                <w:b w:val="0"/>
                <w:i w:val="0"/>
                <w:color w:val="334155"/>
                <w:sz w:val="18"/>
              </w:rPr>
              <w:t>0.80</w:t>
            </w:r>
          </w:p>
        </w:tc>
        <w:tc>
          <w:tcPr>
            <w:tcW w:type="dxa" w:w="5184"/>
            <w:tcMar>
              <w:top w:w="80" w:type="dxa"/>
              <w:bottom w:w="80" w:type="dxa"/>
              <w:left w:w="100" w:type="dxa"/>
              <w:right w:w="100" w:type="dxa"/>
            </w:tcMar>
            <w:shd w:fill="FFFFFF"/>
            <w:tcBorders>
              <w:top w:val="single" w:sz="4" w:space="0" w:color="CBD5E1"/>
              <w:bottom w:val="single" w:sz="4" w:space="0" w:color="CBD5E1"/>
              <w:left w:val="none" w:sz="0" w:space="0" w:color="auto"/>
              <w:right w:val="none" w:sz="0" w:space="0" w:color="auto"/>
            </w:tcBorders>
          </w:tcPr>
          <w:p>
            <w:pPr>
              <w:spacing w:before="0" w:after="0" w:line="252" w:lineRule="auto"/>
              <w:jc w:val="left"/>
            </w:pPr>
            <w:r>
              <w:rPr>
                <w:rFonts w:ascii="Calibri" w:hAnsi="Calibri"/>
                <w:b w:val="0"/>
                <w:i w:val="0"/>
                <w:color w:val="334155"/>
                <w:sz w:val="18"/>
              </w:rPr>
              <w:t>Randomly samples 80% of windows per tree to reduce variance</w:t>
            </w:r>
          </w:p>
        </w:tc>
      </w:tr>
      <w:tr>
        <w:tc>
          <w:tcPr>
            <w:tcW w:type="dxa" w:w="2592"/>
            <w:tcMar>
              <w:top w:w="80" w:type="dxa"/>
              <w:bottom w:w="80" w:type="dxa"/>
              <w:left w:w="100" w:type="dxa"/>
              <w:right w:w="100" w:type="dxa"/>
            </w:tcMar>
            <w:shd w:fill="F8FAFC"/>
            <w:tcBorders>
              <w:top w:val="single" w:sz="4" w:space="0" w:color="CBD5E1"/>
              <w:bottom w:val="single" w:sz="4" w:space="0" w:color="CBD5E1"/>
              <w:left w:val="none" w:sz="0" w:space="0" w:color="auto"/>
              <w:right w:val="none" w:sz="0" w:space="0" w:color="auto"/>
            </w:tcBorders>
          </w:tcPr>
          <w:p>
            <w:pPr>
              <w:spacing w:before="0" w:after="0" w:line="252" w:lineRule="auto"/>
              <w:jc w:val="left"/>
            </w:pPr>
            <w:r>
              <w:rPr>
                <w:rFonts w:ascii="Calibri" w:hAnsi="Calibri"/>
                <w:b w:val="0"/>
                <w:i w:val="0"/>
                <w:color w:val="334155"/>
                <w:sz w:val="18"/>
              </w:rPr>
              <w:t>Colsample by Tree</w:t>
            </w:r>
          </w:p>
        </w:tc>
        <w:tc>
          <w:tcPr>
            <w:tcW w:type="dxa" w:w="2304"/>
            <w:tcMar>
              <w:top w:w="80" w:type="dxa"/>
              <w:bottom w:w="80" w:type="dxa"/>
              <w:left w:w="100" w:type="dxa"/>
              <w:right w:w="100" w:type="dxa"/>
            </w:tcMar>
            <w:shd w:fill="F8FAFC"/>
            <w:tcBorders>
              <w:top w:val="single" w:sz="4" w:space="0" w:color="CBD5E1"/>
              <w:bottom w:val="single" w:sz="4" w:space="0" w:color="CBD5E1"/>
              <w:left w:val="none" w:sz="0" w:space="0" w:color="auto"/>
              <w:right w:val="none" w:sz="0" w:space="0" w:color="auto"/>
            </w:tcBorders>
          </w:tcPr>
          <w:p>
            <w:pPr>
              <w:spacing w:before="0" w:after="0" w:line="252" w:lineRule="auto"/>
              <w:jc w:val="left"/>
            </w:pPr>
            <w:r>
              <w:rPr>
                <w:rFonts w:ascii="Calibri" w:hAnsi="Calibri"/>
                <w:b w:val="0"/>
                <w:i w:val="0"/>
                <w:color w:val="334155"/>
                <w:sz w:val="18"/>
              </w:rPr>
              <w:t>0.80</w:t>
            </w:r>
          </w:p>
        </w:tc>
        <w:tc>
          <w:tcPr>
            <w:tcW w:type="dxa" w:w="5184"/>
            <w:tcMar>
              <w:top w:w="80" w:type="dxa"/>
              <w:bottom w:w="80" w:type="dxa"/>
              <w:left w:w="100" w:type="dxa"/>
              <w:right w:w="100" w:type="dxa"/>
            </w:tcMar>
            <w:shd w:fill="F8FAFC"/>
            <w:tcBorders>
              <w:top w:val="single" w:sz="4" w:space="0" w:color="CBD5E1"/>
              <w:bottom w:val="single" w:sz="4" w:space="0" w:color="CBD5E1"/>
              <w:left w:val="none" w:sz="0" w:space="0" w:color="auto"/>
              <w:right w:val="none" w:sz="0" w:space="0" w:color="auto"/>
            </w:tcBorders>
          </w:tcPr>
          <w:p>
            <w:pPr>
              <w:spacing w:before="0" w:after="0" w:line="252" w:lineRule="auto"/>
              <w:jc w:val="left"/>
            </w:pPr>
            <w:r>
              <w:rPr>
                <w:rFonts w:ascii="Calibri" w:hAnsi="Calibri"/>
                <w:b w:val="0"/>
                <w:i w:val="0"/>
                <w:color w:val="334155"/>
                <w:sz w:val="18"/>
              </w:rPr>
              <w:t>Randomly samples 80% of features per tree to prevent single-feature dominance</w:t>
            </w:r>
          </w:p>
        </w:tc>
      </w:tr>
      <w:tr>
        <w:tc>
          <w:tcPr>
            <w:tcW w:type="dxa" w:w="2592"/>
            <w:tcMar>
              <w:top w:w="80" w:type="dxa"/>
              <w:bottom w:w="80" w:type="dxa"/>
              <w:left w:w="100" w:type="dxa"/>
              <w:right w:w="100" w:type="dxa"/>
            </w:tcMar>
            <w:shd w:fill="FFFFFF"/>
            <w:tcBorders>
              <w:top w:val="single" w:sz="4" w:space="0" w:color="CBD5E1"/>
              <w:bottom w:val="single" w:sz="4" w:space="0" w:color="CBD5E1"/>
              <w:left w:val="none" w:sz="0" w:space="0" w:color="auto"/>
              <w:right w:val="none" w:sz="0" w:space="0" w:color="auto"/>
            </w:tcBorders>
          </w:tcPr>
          <w:p>
            <w:pPr>
              <w:spacing w:before="0" w:after="0" w:line="252" w:lineRule="auto"/>
              <w:jc w:val="left"/>
            </w:pPr>
            <w:r>
              <w:rPr>
                <w:rFonts w:ascii="Calibri" w:hAnsi="Calibri"/>
                <w:b w:val="0"/>
                <w:i w:val="0"/>
                <w:color w:val="334155"/>
                <w:sz w:val="18"/>
              </w:rPr>
              <w:t>scale_pos_weight</w:t>
            </w:r>
          </w:p>
        </w:tc>
        <w:tc>
          <w:tcPr>
            <w:tcW w:type="dxa" w:w="2304"/>
            <w:tcMar>
              <w:top w:w="80" w:type="dxa"/>
              <w:bottom w:w="80" w:type="dxa"/>
              <w:left w:w="100" w:type="dxa"/>
              <w:right w:w="100" w:type="dxa"/>
            </w:tcMar>
            <w:shd w:fill="FFFFFF"/>
            <w:tcBorders>
              <w:top w:val="single" w:sz="4" w:space="0" w:color="CBD5E1"/>
              <w:bottom w:val="single" w:sz="4" w:space="0" w:color="CBD5E1"/>
              <w:left w:val="none" w:sz="0" w:space="0" w:color="auto"/>
              <w:right w:val="none" w:sz="0" w:space="0" w:color="auto"/>
            </w:tcBorders>
          </w:tcPr>
          <w:p>
            <w:pPr>
              <w:spacing w:before="0" w:after="0" w:line="252" w:lineRule="auto"/>
              <w:jc w:val="left"/>
            </w:pPr>
            <w:r>
              <w:rPr>
                <w:rFonts w:ascii="Calibri" w:hAnsi="Calibri"/>
                <w:b w:val="0"/>
                <w:i w:val="0"/>
                <w:color w:val="334155"/>
                <w:sz w:val="18"/>
              </w:rPr>
              <w:t>230.648651</w:t>
            </w:r>
          </w:p>
        </w:tc>
        <w:tc>
          <w:tcPr>
            <w:tcW w:type="dxa" w:w="5184"/>
            <w:tcMar>
              <w:top w:w="80" w:type="dxa"/>
              <w:bottom w:w="80" w:type="dxa"/>
              <w:left w:w="100" w:type="dxa"/>
              <w:right w:w="100" w:type="dxa"/>
            </w:tcMar>
            <w:shd w:fill="FFFFFF"/>
            <w:tcBorders>
              <w:top w:val="single" w:sz="4" w:space="0" w:color="CBD5E1"/>
              <w:bottom w:val="single" w:sz="4" w:space="0" w:color="CBD5E1"/>
              <w:left w:val="none" w:sz="0" w:space="0" w:color="auto"/>
              <w:right w:val="none" w:sz="0" w:space="0" w:color="auto"/>
            </w:tcBorders>
          </w:tcPr>
          <w:p>
            <w:pPr>
              <w:spacing w:before="0" w:after="0" w:line="252" w:lineRule="auto"/>
              <w:jc w:val="left"/>
            </w:pPr>
            <w:r>
              <w:rPr>
                <w:rFonts w:ascii="Calibri" w:hAnsi="Calibri"/>
                <w:b w:val="0"/>
                <w:i w:val="0"/>
                <w:color w:val="334155"/>
                <w:sz w:val="18"/>
              </w:rPr>
              <w:t>Exactly reweights minority positive class gradients</w:t>
            </w:r>
          </w:p>
        </w:tc>
      </w:tr>
      <w:tr>
        <w:tc>
          <w:tcPr>
            <w:tcW w:type="dxa" w:w="2592"/>
            <w:tcMar>
              <w:top w:w="80" w:type="dxa"/>
              <w:bottom w:w="80" w:type="dxa"/>
              <w:left w:w="100" w:type="dxa"/>
              <w:right w:w="100" w:type="dxa"/>
            </w:tcMar>
            <w:shd w:fill="F8FAFC"/>
            <w:tcBorders>
              <w:top w:val="single" w:sz="4" w:space="0" w:color="CBD5E1"/>
              <w:bottom w:val="single" w:sz="4" w:space="0" w:color="CBD5E1"/>
              <w:left w:val="none" w:sz="0" w:space="0" w:color="auto"/>
              <w:right w:val="none" w:sz="0" w:space="0" w:color="auto"/>
            </w:tcBorders>
          </w:tcPr>
          <w:p>
            <w:pPr>
              <w:spacing w:before="0" w:after="0" w:line="252" w:lineRule="auto"/>
              <w:jc w:val="left"/>
            </w:pPr>
            <w:r>
              <w:rPr>
                <w:rFonts w:ascii="Calibri" w:hAnsi="Calibri"/>
                <w:b w:val="0"/>
                <w:i w:val="0"/>
                <w:color w:val="334155"/>
                <w:sz w:val="18"/>
              </w:rPr>
              <w:t>Objective Function</w:t>
            </w:r>
          </w:p>
        </w:tc>
        <w:tc>
          <w:tcPr>
            <w:tcW w:type="dxa" w:w="2304"/>
            <w:tcMar>
              <w:top w:w="80" w:type="dxa"/>
              <w:bottom w:w="80" w:type="dxa"/>
              <w:left w:w="100" w:type="dxa"/>
              <w:right w:w="100" w:type="dxa"/>
            </w:tcMar>
            <w:shd w:fill="F8FAFC"/>
            <w:tcBorders>
              <w:top w:val="single" w:sz="4" w:space="0" w:color="CBD5E1"/>
              <w:bottom w:val="single" w:sz="4" w:space="0" w:color="CBD5E1"/>
              <w:left w:val="none" w:sz="0" w:space="0" w:color="auto"/>
              <w:right w:val="none" w:sz="0" w:space="0" w:color="auto"/>
            </w:tcBorders>
          </w:tcPr>
          <w:p>
            <w:pPr>
              <w:spacing w:before="0" w:after="0" w:line="252" w:lineRule="auto"/>
              <w:jc w:val="left"/>
            </w:pPr>
            <w:r>
              <w:rPr>
                <w:rFonts w:ascii="Calibri" w:hAnsi="Calibri"/>
                <w:b w:val="0"/>
                <w:i w:val="0"/>
                <w:color w:val="334155"/>
                <w:sz w:val="18"/>
              </w:rPr>
              <w:t>binary:logistic</w:t>
            </w:r>
          </w:p>
        </w:tc>
        <w:tc>
          <w:tcPr>
            <w:tcW w:type="dxa" w:w="5184"/>
            <w:tcMar>
              <w:top w:w="80" w:type="dxa"/>
              <w:bottom w:w="80" w:type="dxa"/>
              <w:left w:w="100" w:type="dxa"/>
              <w:right w:w="100" w:type="dxa"/>
            </w:tcMar>
            <w:shd w:fill="F8FAFC"/>
            <w:tcBorders>
              <w:top w:val="single" w:sz="4" w:space="0" w:color="CBD5E1"/>
              <w:bottom w:val="single" w:sz="4" w:space="0" w:color="CBD5E1"/>
              <w:left w:val="none" w:sz="0" w:space="0" w:color="auto"/>
              <w:right w:val="none" w:sz="0" w:space="0" w:color="auto"/>
            </w:tcBorders>
          </w:tcPr>
          <w:p>
            <w:pPr>
              <w:spacing w:before="0" w:after="0" w:line="252" w:lineRule="auto"/>
              <w:jc w:val="left"/>
            </w:pPr>
            <w:r>
              <w:rPr>
                <w:rFonts w:ascii="Calibri" w:hAnsi="Calibri"/>
                <w:b w:val="0"/>
                <w:i w:val="0"/>
                <w:color w:val="334155"/>
                <w:sz w:val="18"/>
              </w:rPr>
              <w:t>Optimizes log-loss over calibrated posterior probability P(Ischemia)</w:t>
            </w:r>
          </w:p>
        </w:tc>
      </w:tr>
      <w:tr>
        <w:tc>
          <w:tcPr>
            <w:tcW w:type="dxa" w:w="2592"/>
            <w:tcMar>
              <w:top w:w="80" w:type="dxa"/>
              <w:bottom w:w="80" w:type="dxa"/>
              <w:left w:w="100" w:type="dxa"/>
              <w:right w:w="100" w:type="dxa"/>
            </w:tcMar>
            <w:shd w:fill="FFFFFF"/>
            <w:tcBorders>
              <w:top w:val="single" w:sz="4" w:space="0" w:color="CBD5E1"/>
              <w:bottom w:val="single" w:sz="4" w:space="0" w:color="CBD5E1"/>
              <w:left w:val="none" w:sz="0" w:space="0" w:color="auto"/>
              <w:right w:val="none" w:sz="0" w:space="0" w:color="auto"/>
            </w:tcBorders>
          </w:tcPr>
          <w:p>
            <w:pPr>
              <w:spacing w:before="0" w:after="0" w:line="252" w:lineRule="auto"/>
              <w:jc w:val="left"/>
            </w:pPr>
            <w:r>
              <w:rPr>
                <w:rFonts w:ascii="Calibri" w:hAnsi="Calibri"/>
                <w:b w:val="0"/>
                <w:i w:val="0"/>
                <w:color w:val="334155"/>
                <w:sz w:val="18"/>
              </w:rPr>
              <w:t>Eval Metric</w:t>
            </w:r>
          </w:p>
        </w:tc>
        <w:tc>
          <w:tcPr>
            <w:tcW w:type="dxa" w:w="2304"/>
            <w:tcMar>
              <w:top w:w="80" w:type="dxa"/>
              <w:bottom w:w="80" w:type="dxa"/>
              <w:left w:w="100" w:type="dxa"/>
              <w:right w:w="100" w:type="dxa"/>
            </w:tcMar>
            <w:shd w:fill="FFFFFF"/>
            <w:tcBorders>
              <w:top w:val="single" w:sz="4" w:space="0" w:color="CBD5E1"/>
              <w:bottom w:val="single" w:sz="4" w:space="0" w:color="CBD5E1"/>
              <w:left w:val="none" w:sz="0" w:space="0" w:color="auto"/>
              <w:right w:val="none" w:sz="0" w:space="0" w:color="auto"/>
            </w:tcBorders>
          </w:tcPr>
          <w:p>
            <w:pPr>
              <w:spacing w:before="0" w:after="0" w:line="252" w:lineRule="auto"/>
              <w:jc w:val="left"/>
            </w:pPr>
            <w:r>
              <w:rPr>
                <w:rFonts w:ascii="Calibri" w:hAnsi="Calibri"/>
                <w:b w:val="0"/>
                <w:i w:val="0"/>
                <w:color w:val="334155"/>
                <w:sz w:val="18"/>
              </w:rPr>
              <w:t>logloss, pr_auc</w:t>
            </w:r>
          </w:p>
        </w:tc>
        <w:tc>
          <w:tcPr>
            <w:tcW w:type="dxa" w:w="5184"/>
            <w:tcMar>
              <w:top w:w="80" w:type="dxa"/>
              <w:bottom w:w="80" w:type="dxa"/>
              <w:left w:w="100" w:type="dxa"/>
              <w:right w:w="100" w:type="dxa"/>
            </w:tcMar>
            <w:shd w:fill="FFFFFF"/>
            <w:tcBorders>
              <w:top w:val="single" w:sz="4" w:space="0" w:color="CBD5E1"/>
              <w:bottom w:val="single" w:sz="4" w:space="0" w:color="CBD5E1"/>
              <w:left w:val="none" w:sz="0" w:space="0" w:color="auto"/>
              <w:right w:val="none" w:sz="0" w:space="0" w:color="auto"/>
            </w:tcBorders>
          </w:tcPr>
          <w:p>
            <w:pPr>
              <w:spacing w:before="0" w:after="0" w:line="252" w:lineRule="auto"/>
              <w:jc w:val="left"/>
            </w:pPr>
            <w:r>
              <w:rPr>
                <w:rFonts w:ascii="Calibri" w:hAnsi="Calibri"/>
                <w:b w:val="0"/>
                <w:i w:val="0"/>
                <w:color w:val="334155"/>
                <w:sz w:val="18"/>
              </w:rPr>
              <w:t>Prioritizes precision-recall discrimination under extreme class imbalance</w:t>
            </w:r>
          </w:p>
        </w:tc>
      </w:tr>
      <w:tr>
        <w:tc>
          <w:tcPr>
            <w:tcW w:type="dxa" w:w="2592"/>
            <w:tcMar>
              <w:top w:w="80" w:type="dxa"/>
              <w:bottom w:w="80" w:type="dxa"/>
              <w:left w:w="100" w:type="dxa"/>
              <w:right w:w="100" w:type="dxa"/>
            </w:tcMar>
            <w:shd w:fill="F8FAFC"/>
            <w:tcBorders>
              <w:top w:val="single" w:sz="4" w:space="0" w:color="CBD5E1"/>
              <w:bottom w:val="single" w:sz="4" w:space="0" w:color="CBD5E1"/>
              <w:left w:val="none" w:sz="0" w:space="0" w:color="auto"/>
              <w:right w:val="none" w:sz="0" w:space="0" w:color="auto"/>
            </w:tcBorders>
          </w:tcPr>
          <w:p>
            <w:pPr>
              <w:spacing w:before="0" w:after="0" w:line="252" w:lineRule="auto"/>
              <w:jc w:val="left"/>
            </w:pPr>
            <w:r>
              <w:rPr>
                <w:rFonts w:ascii="Calibri" w:hAnsi="Calibri"/>
                <w:b w:val="0"/>
                <w:i w:val="0"/>
                <w:color w:val="334155"/>
                <w:sz w:val="18"/>
              </w:rPr>
              <w:t>Frozen Threshold</w:t>
            </w:r>
          </w:p>
        </w:tc>
        <w:tc>
          <w:tcPr>
            <w:tcW w:type="dxa" w:w="2304"/>
            <w:tcMar>
              <w:top w:w="80" w:type="dxa"/>
              <w:bottom w:w="80" w:type="dxa"/>
              <w:left w:w="100" w:type="dxa"/>
              <w:right w:w="100" w:type="dxa"/>
            </w:tcMar>
            <w:shd w:fill="F8FAFC"/>
            <w:tcBorders>
              <w:top w:val="single" w:sz="4" w:space="0" w:color="CBD5E1"/>
              <w:bottom w:val="single" w:sz="4" w:space="0" w:color="CBD5E1"/>
              <w:left w:val="none" w:sz="0" w:space="0" w:color="auto"/>
              <w:right w:val="none" w:sz="0" w:space="0" w:color="auto"/>
            </w:tcBorders>
          </w:tcPr>
          <w:p>
            <w:pPr>
              <w:spacing w:before="0" w:after="0" w:line="252" w:lineRule="auto"/>
              <w:jc w:val="left"/>
            </w:pPr>
            <w:r>
              <w:rPr>
                <w:rFonts w:ascii="Calibri" w:hAnsi="Calibri"/>
                <w:b w:val="0"/>
                <w:i w:val="0"/>
                <w:color w:val="334155"/>
                <w:sz w:val="18"/>
              </w:rPr>
              <w:t>0.156742</w:t>
            </w:r>
          </w:p>
        </w:tc>
        <w:tc>
          <w:tcPr>
            <w:tcW w:type="dxa" w:w="5184"/>
            <w:tcMar>
              <w:top w:w="80" w:type="dxa"/>
              <w:bottom w:w="80" w:type="dxa"/>
              <w:left w:w="100" w:type="dxa"/>
              <w:right w:w="100" w:type="dxa"/>
            </w:tcMar>
            <w:shd w:fill="F8FAFC"/>
            <w:tcBorders>
              <w:top w:val="single" w:sz="4" w:space="0" w:color="CBD5E1"/>
              <w:bottom w:val="single" w:sz="4" w:space="0" w:color="CBD5E1"/>
              <w:left w:val="none" w:sz="0" w:space="0" w:color="auto"/>
              <w:right w:val="none" w:sz="0" w:space="0" w:color="auto"/>
            </w:tcBorders>
          </w:tcPr>
          <w:p>
            <w:pPr>
              <w:spacing w:before="0" w:after="0" w:line="252" w:lineRule="auto"/>
              <w:jc w:val="left"/>
            </w:pPr>
            <w:r>
              <w:rPr>
                <w:rFonts w:ascii="Calibri" w:hAnsi="Calibri"/>
                <w:b w:val="0"/>
                <w:i w:val="0"/>
                <w:color w:val="334155"/>
                <w:sz w:val="18"/>
              </w:rPr>
              <w:t>Empirically locked decision boundary maximizing F1 and sensitivity</w:t>
            </w:r>
          </w:p>
        </w:tc>
      </w:tr>
    </w:tbl>
    <w:p>
      <w:pPr>
        <w:spacing w:before="60" w:after="60"/>
      </w:pPr>
    </w:p>
    <w:p>
      <w:pPr>
        <w:keepNext/>
        <w:spacing w:before="320" w:after="120"/>
        <w:pBdr>
          <w:bottom w:val="single" w:sz="12" w:space="4" w:color="2563EB"/>
        </w:pBdr>
      </w:pPr>
      <w:r>
        <w:rPr>
          <w:rFonts w:ascii="Calibri" w:hAnsi="Calibri"/>
          <w:b/>
          <w:i w:val="0"/>
          <w:color w:val="1E3A8A"/>
          <w:sz w:val="36"/>
        </w:rPr>
        <w:t>6. Empirical Performance &amp; Ablation Analysis</w:t>
      </w:r>
    </w:p>
    <w:p>
      <w:pPr>
        <w:spacing w:before="0" w:after="100" w:line="276" w:lineRule="auto"/>
      </w:pPr>
      <w:r>
        <w:rPr>
          <w:rFonts w:ascii="Calibri" w:hAnsi="Calibri"/>
          <w:b w:val="0"/>
          <w:i w:val="0"/>
          <w:color w:val="334155"/>
          <w:sz w:val="21"/>
        </w:rPr>
        <w:t>To rigorously quantify predictive efficacy, BeatAhead was evaluated across both Out-Of-Fold (OOF) cross-validation and the completely locked independent test cohort. Because standard Receiver Operating Characteristic curves can be misleading under 1:230 class imbalance, Precision-Recall curves (PR-AUC) serve as the primary diagnostic metric.</w:t>
      </w:r>
    </w:p>
    <w:p>
      <w:pPr>
        <w:keepNext/>
        <w:spacing w:before="160" w:after="80"/>
        <w:jc w:val="center"/>
      </w:pPr>
      <w:r>
        <w:drawing>
          <wp:inline xmlns:a="http://schemas.openxmlformats.org/drawingml/2006/main" xmlns:pic="http://schemas.openxmlformats.org/drawingml/2006/picture">
            <wp:extent cx="5486400" cy="2057400"/>
            <wp:docPr id="4" name="Picture 4"/>
            <wp:cNvGraphicFramePr>
              <a:graphicFrameLocks noChangeAspect="1"/>
            </wp:cNvGraphicFramePr>
            <a:graphic>
              <a:graphicData uri="http://schemas.openxmlformats.org/drawingml/2006/picture">
                <pic:pic>
                  <pic:nvPicPr>
                    <pic:cNvPr id="0" name="real_pr_curves_clean.png"/>
                    <pic:cNvPicPr/>
                  </pic:nvPicPr>
                  <pic:blipFill>
                    <a:blip r:embed="rId14"/>
                    <a:stretch>
                      <a:fillRect/>
                    </a:stretch>
                  </pic:blipFill>
                  <pic:spPr>
                    <a:xfrm>
                      <a:off x="0" y="0"/>
                      <a:ext cx="5486400" cy="2057400"/>
                    </a:xfrm>
                    <a:prstGeom prst="rect"/>
                  </pic:spPr>
                </pic:pic>
              </a:graphicData>
            </a:graphic>
          </wp:inline>
        </w:drawing>
      </w:r>
    </w:p>
    <w:p>
      <w:pPr>
        <w:spacing w:before="0" w:after="200"/>
        <w:jc w:val="center"/>
      </w:pPr>
      <w:r>
        <w:rPr>
          <w:rFonts w:ascii="Calibri" w:hAnsi="Calibri"/>
          <w:b/>
          <w:i w:val="0"/>
          <w:color w:val="1E3A8A"/>
          <w:sz w:val="19"/>
        </w:rPr>
        <w:t xml:space="preserve">Figure 3: </w:t>
      </w:r>
      <w:r>
        <w:rPr>
          <w:rFonts w:ascii="Calibri" w:hAnsi="Calibri"/>
          <w:b w:val="0"/>
          <w:i/>
          <w:color w:val="64748B"/>
          <w:sz w:val="19"/>
        </w:rPr>
        <w:t>Precision-Recall Curves for Early Ischemia Prediction. Matrix A models (combining repolarization, vascular, and autonomic signals) achieve a PR-AUC of 0.3247 for frozen XGBoost and 0.3965 for Random Forest—a ~75-fold gain over the 0.0043 random chance baseline. In sharp contrast, Matrix B (peripheral features only) crashes to near-chance discrimination (PR-AUC 0.0067).</w:t>
      </w:r>
    </w:p>
    <w:p>
      <w:pPr>
        <w:keepNext/>
        <w:spacing w:before="160" w:after="80"/>
        <w:jc w:val="center"/>
      </w:pPr>
      <w:r>
        <w:drawing>
          <wp:inline xmlns:a="http://schemas.openxmlformats.org/drawingml/2006/main" xmlns:pic="http://schemas.openxmlformats.org/drawingml/2006/picture">
            <wp:extent cx="5486400" cy="2057400"/>
            <wp:docPr id="5" name="Picture 5"/>
            <wp:cNvGraphicFramePr>
              <a:graphicFrameLocks noChangeAspect="1"/>
            </wp:cNvGraphicFramePr>
            <a:graphic>
              <a:graphicData uri="http://schemas.openxmlformats.org/drawingml/2006/picture">
                <pic:pic>
                  <pic:nvPicPr>
                    <pic:cNvPr id="0" name="real_roc_curves_clean.png"/>
                    <pic:cNvPicPr/>
                  </pic:nvPicPr>
                  <pic:blipFill>
                    <a:blip r:embed="rId15"/>
                    <a:stretch>
                      <a:fillRect/>
                    </a:stretch>
                  </pic:blipFill>
                  <pic:spPr>
                    <a:xfrm>
                      <a:off x="0" y="0"/>
                      <a:ext cx="5486400" cy="2057400"/>
                    </a:xfrm>
                    <a:prstGeom prst="rect"/>
                  </pic:spPr>
                </pic:pic>
              </a:graphicData>
            </a:graphic>
          </wp:inline>
        </w:drawing>
      </w:r>
    </w:p>
    <w:p>
      <w:pPr>
        <w:spacing w:before="0" w:after="200"/>
        <w:jc w:val="center"/>
      </w:pPr>
      <w:r>
        <w:rPr>
          <w:rFonts w:ascii="Calibri" w:hAnsi="Calibri"/>
          <w:b/>
          <w:i w:val="0"/>
          <w:color w:val="1E3A8A"/>
          <w:sz w:val="19"/>
        </w:rPr>
        <w:t xml:space="preserve">Figure 4: </w:t>
      </w:r>
      <w:r>
        <w:rPr>
          <w:rFonts w:ascii="Calibri" w:hAnsi="Calibri"/>
          <w:b w:val="0"/>
          <w:i/>
          <w:color w:val="64748B"/>
          <w:sz w:val="19"/>
        </w:rPr>
        <w:t>Receiver Operating Characteristic (ROC) Curves across model configurations. Matrix A XGBoost achieves an AUROC of 0.8896 (Random Forest AUROC: 0.9082), indicating exceptional rank-ordering discrimination. Matrix B collapses to an AUROC of 0.5367.</w:t>
      </w:r>
    </w:p>
    <w:p>
      <w:pPr>
        <w:keepNext/>
        <w:spacing w:before="240" w:after="80"/>
      </w:pPr>
      <w:r>
        <w:rPr>
          <w:rFonts w:ascii="Calibri" w:hAnsi="Calibri"/>
          <w:b/>
          <w:i w:val="0"/>
          <w:color w:val="2563EB"/>
          <w:sz w:val="28"/>
        </w:rPr>
        <w:t>6.1 Quantitative Model Benchmark Summary</w:t>
      </w:r>
    </w:p>
    <w:tbl>
      <w:tblPr>
        <w:tblW w:type="auto" w:w="0"/>
        <w:jc w:val="center"/>
        <w:tblLayout w:type="fixed"/>
        <w:tblLook w:firstColumn="1" w:firstRow="1" w:lastColumn="0" w:lastRow="0" w:noHBand="0" w:noVBand="1" w:val="04A0"/>
      </w:tblPr>
      <w:tblGrid>
        <w:gridCol w:w="1440"/>
        <w:gridCol w:w="1440"/>
        <w:gridCol w:w="1440"/>
        <w:gridCol w:w="1440"/>
        <w:gridCol w:w="1440"/>
        <w:gridCol w:w="1440"/>
        <w:gridCol w:w="1440"/>
      </w:tblGrid>
      <w:tr>
        <w:tc>
          <w:tcPr>
            <w:tcW w:type="dxa" w:w="2304"/>
            <w:tcMar>
              <w:top w:w="120" w:type="dxa"/>
              <w:bottom w:w="120" w:type="dxa"/>
              <w:left w:w="100" w:type="dxa"/>
              <w:right w:w="100" w:type="dxa"/>
            </w:tcMar>
            <w:shd w:fill="1E3A8A"/>
            <w:tcBorders>
              <w:top w:val="single" w:sz="8" w:space="0" w:color="1E3A8A"/>
              <w:bottom w:val="single" w:sz="16" w:space="0" w:color="CBD5E1"/>
              <w:left w:val="none" w:sz="0" w:space="0" w:color="auto"/>
              <w:right w:val="none" w:sz="0" w:space="0" w:color="auto"/>
            </w:tcBorders>
          </w:tcPr>
          <w:p>
            <w:pPr>
              <w:spacing w:before="0" w:after="0"/>
              <w:jc w:val="left"/>
            </w:pPr>
            <w:r>
              <w:rPr>
                <w:rFonts w:ascii="Calibri" w:hAnsi="Calibri"/>
                <w:b/>
                <w:i w:val="0"/>
                <w:color w:val="FFFFFF"/>
                <w:sz w:val="19"/>
              </w:rPr>
              <w:t>Feature Matrix</w:t>
            </w:r>
          </w:p>
        </w:tc>
        <w:tc>
          <w:tcPr>
            <w:tcW w:type="dxa" w:w="2592"/>
            <w:tcMar>
              <w:top w:w="120" w:type="dxa"/>
              <w:bottom w:w="120" w:type="dxa"/>
              <w:left w:w="100" w:type="dxa"/>
              <w:right w:w="100" w:type="dxa"/>
            </w:tcMar>
            <w:shd w:fill="1E3A8A"/>
            <w:tcBorders>
              <w:top w:val="single" w:sz="8" w:space="0" w:color="1E3A8A"/>
              <w:bottom w:val="single" w:sz="16" w:space="0" w:color="CBD5E1"/>
              <w:left w:val="none" w:sz="0" w:space="0" w:color="auto"/>
              <w:right w:val="none" w:sz="0" w:space="0" w:color="auto"/>
            </w:tcBorders>
          </w:tcPr>
          <w:p>
            <w:pPr>
              <w:spacing w:before="0" w:after="0"/>
              <w:jc w:val="left"/>
            </w:pPr>
            <w:r>
              <w:rPr>
                <w:rFonts w:ascii="Calibri" w:hAnsi="Calibri"/>
                <w:b/>
                <w:i w:val="0"/>
                <w:color w:val="FFFFFF"/>
                <w:sz w:val="19"/>
              </w:rPr>
              <w:t>Model Architecture</w:t>
            </w:r>
          </w:p>
        </w:tc>
        <w:tc>
          <w:tcPr>
            <w:tcW w:type="dxa" w:w="1008"/>
            <w:tcMar>
              <w:top w:w="120" w:type="dxa"/>
              <w:bottom w:w="120" w:type="dxa"/>
              <w:left w:w="100" w:type="dxa"/>
              <w:right w:w="100" w:type="dxa"/>
            </w:tcMar>
            <w:shd w:fill="1E3A8A"/>
            <w:tcBorders>
              <w:top w:val="single" w:sz="8" w:space="0" w:color="1E3A8A"/>
              <w:bottom w:val="single" w:sz="16" w:space="0" w:color="CBD5E1"/>
              <w:left w:val="none" w:sz="0" w:space="0" w:color="auto"/>
              <w:right w:val="none" w:sz="0" w:space="0" w:color="auto"/>
            </w:tcBorders>
          </w:tcPr>
          <w:p>
            <w:pPr>
              <w:spacing w:before="0" w:after="0"/>
              <w:jc w:val="left"/>
            </w:pPr>
            <w:r>
              <w:rPr>
                <w:rFonts w:ascii="Calibri" w:hAnsi="Calibri"/>
                <w:b/>
                <w:i w:val="0"/>
                <w:color w:val="FFFFFF"/>
                <w:sz w:val="19"/>
              </w:rPr>
              <w:t>PR-AUC</w:t>
            </w:r>
          </w:p>
        </w:tc>
        <w:tc>
          <w:tcPr>
            <w:tcW w:type="dxa" w:w="1008"/>
            <w:tcMar>
              <w:top w:w="120" w:type="dxa"/>
              <w:bottom w:w="120" w:type="dxa"/>
              <w:left w:w="100" w:type="dxa"/>
              <w:right w:w="100" w:type="dxa"/>
            </w:tcMar>
            <w:shd w:fill="1E3A8A"/>
            <w:tcBorders>
              <w:top w:val="single" w:sz="8" w:space="0" w:color="1E3A8A"/>
              <w:bottom w:val="single" w:sz="16" w:space="0" w:color="CBD5E1"/>
              <w:left w:val="none" w:sz="0" w:space="0" w:color="auto"/>
              <w:right w:val="none" w:sz="0" w:space="0" w:color="auto"/>
            </w:tcBorders>
          </w:tcPr>
          <w:p>
            <w:pPr>
              <w:spacing w:before="0" w:after="0"/>
              <w:jc w:val="left"/>
            </w:pPr>
            <w:r>
              <w:rPr>
                <w:rFonts w:ascii="Calibri" w:hAnsi="Calibri"/>
                <w:b/>
                <w:i w:val="0"/>
                <w:color w:val="FFFFFF"/>
                <w:sz w:val="19"/>
              </w:rPr>
              <w:t>AUROC</w:t>
            </w:r>
          </w:p>
        </w:tc>
        <w:tc>
          <w:tcPr>
            <w:tcW w:type="dxa" w:w="1152"/>
            <w:tcMar>
              <w:top w:w="120" w:type="dxa"/>
              <w:bottom w:w="120" w:type="dxa"/>
              <w:left w:w="100" w:type="dxa"/>
              <w:right w:w="100" w:type="dxa"/>
            </w:tcMar>
            <w:shd w:fill="1E3A8A"/>
            <w:tcBorders>
              <w:top w:val="single" w:sz="8" w:space="0" w:color="1E3A8A"/>
              <w:bottom w:val="single" w:sz="16" w:space="0" w:color="CBD5E1"/>
              <w:left w:val="none" w:sz="0" w:space="0" w:color="auto"/>
              <w:right w:val="none" w:sz="0" w:space="0" w:color="auto"/>
            </w:tcBorders>
          </w:tcPr>
          <w:p>
            <w:pPr>
              <w:spacing w:before="0" w:after="0"/>
              <w:jc w:val="left"/>
            </w:pPr>
            <w:r>
              <w:rPr>
                <w:rFonts w:ascii="Calibri" w:hAnsi="Calibri"/>
                <w:b/>
                <w:i w:val="0"/>
                <w:color w:val="FFFFFF"/>
                <w:sz w:val="19"/>
              </w:rPr>
              <w:t>Sensitivity</w:t>
            </w:r>
          </w:p>
        </w:tc>
        <w:tc>
          <w:tcPr>
            <w:tcW w:type="dxa" w:w="1152"/>
            <w:tcMar>
              <w:top w:w="120" w:type="dxa"/>
              <w:bottom w:w="120" w:type="dxa"/>
              <w:left w:w="100" w:type="dxa"/>
              <w:right w:w="100" w:type="dxa"/>
            </w:tcMar>
            <w:shd w:fill="1E3A8A"/>
            <w:tcBorders>
              <w:top w:val="single" w:sz="8" w:space="0" w:color="1E3A8A"/>
              <w:bottom w:val="single" w:sz="16" w:space="0" w:color="CBD5E1"/>
              <w:left w:val="none" w:sz="0" w:space="0" w:color="auto"/>
              <w:right w:val="none" w:sz="0" w:space="0" w:color="auto"/>
            </w:tcBorders>
          </w:tcPr>
          <w:p>
            <w:pPr>
              <w:spacing w:before="0" w:after="0"/>
              <w:jc w:val="left"/>
            </w:pPr>
            <w:r>
              <w:rPr>
                <w:rFonts w:ascii="Calibri" w:hAnsi="Calibri"/>
                <w:b/>
                <w:i w:val="0"/>
                <w:color w:val="FFFFFF"/>
                <w:sz w:val="19"/>
              </w:rPr>
              <w:t>Specificity</w:t>
            </w:r>
          </w:p>
        </w:tc>
        <w:tc>
          <w:tcPr>
            <w:tcW w:type="dxa" w:w="864"/>
            <w:tcMar>
              <w:top w:w="120" w:type="dxa"/>
              <w:bottom w:w="120" w:type="dxa"/>
              <w:left w:w="100" w:type="dxa"/>
              <w:right w:w="100" w:type="dxa"/>
            </w:tcMar>
            <w:shd w:fill="1E3A8A"/>
            <w:tcBorders>
              <w:top w:val="single" w:sz="8" w:space="0" w:color="1E3A8A"/>
              <w:bottom w:val="single" w:sz="16" w:space="0" w:color="CBD5E1"/>
              <w:left w:val="none" w:sz="0" w:space="0" w:color="auto"/>
              <w:right w:val="none" w:sz="0" w:space="0" w:color="auto"/>
            </w:tcBorders>
          </w:tcPr>
          <w:p>
            <w:pPr>
              <w:spacing w:before="0" w:after="0"/>
              <w:jc w:val="left"/>
            </w:pPr>
            <w:r>
              <w:rPr>
                <w:rFonts w:ascii="Calibri" w:hAnsi="Calibri"/>
                <w:b/>
                <w:i w:val="0"/>
                <w:color w:val="FFFFFF"/>
                <w:sz w:val="19"/>
              </w:rPr>
              <w:t>F1 Score</w:t>
            </w:r>
          </w:p>
        </w:tc>
      </w:tr>
      <w:tr>
        <w:tc>
          <w:tcPr>
            <w:tcW w:type="dxa" w:w="2304"/>
            <w:tcMar>
              <w:top w:w="80" w:type="dxa"/>
              <w:bottom w:w="80" w:type="dxa"/>
              <w:left w:w="100" w:type="dxa"/>
              <w:right w:w="100" w:type="dxa"/>
            </w:tcMar>
            <w:shd w:fill="FFFFFF"/>
            <w:tcBorders>
              <w:top w:val="single" w:sz="4" w:space="0" w:color="CBD5E1"/>
              <w:bottom w:val="single" w:sz="4" w:space="0" w:color="CBD5E1"/>
              <w:left w:val="none" w:sz="0" w:space="0" w:color="auto"/>
              <w:right w:val="none" w:sz="0" w:space="0" w:color="auto"/>
            </w:tcBorders>
          </w:tcPr>
          <w:p>
            <w:pPr>
              <w:spacing w:before="0" w:after="0" w:line="252" w:lineRule="auto"/>
              <w:jc w:val="left"/>
            </w:pPr>
            <w:r>
              <w:rPr>
                <w:rFonts w:ascii="Calibri" w:hAnsi="Calibri"/>
                <w:b w:val="0"/>
                <w:i w:val="0"/>
                <w:color w:val="334155"/>
                <w:sz w:val="18"/>
              </w:rPr>
              <w:t>Matrix A (Full Multimodal)</w:t>
            </w:r>
          </w:p>
        </w:tc>
        <w:tc>
          <w:tcPr>
            <w:tcW w:type="dxa" w:w="2592"/>
            <w:tcMar>
              <w:top w:w="80" w:type="dxa"/>
              <w:bottom w:w="80" w:type="dxa"/>
              <w:left w:w="100" w:type="dxa"/>
              <w:right w:w="100" w:type="dxa"/>
            </w:tcMar>
            <w:shd w:fill="FFFFFF"/>
            <w:tcBorders>
              <w:top w:val="single" w:sz="4" w:space="0" w:color="CBD5E1"/>
              <w:bottom w:val="single" w:sz="4" w:space="0" w:color="CBD5E1"/>
              <w:left w:val="none" w:sz="0" w:space="0" w:color="auto"/>
              <w:right w:val="none" w:sz="0" w:space="0" w:color="auto"/>
            </w:tcBorders>
          </w:tcPr>
          <w:p>
            <w:pPr>
              <w:spacing w:before="0" w:after="0" w:line="252" w:lineRule="auto"/>
              <w:jc w:val="left"/>
            </w:pPr>
            <w:r>
              <w:rPr>
                <w:rFonts w:ascii="Calibri" w:hAnsi="Calibri"/>
                <w:b w:val="0"/>
                <w:i w:val="0"/>
                <w:color w:val="334155"/>
                <w:sz w:val="18"/>
              </w:rPr>
              <w:t>Frozen XGBoost (Phase 5)</w:t>
            </w:r>
          </w:p>
        </w:tc>
        <w:tc>
          <w:tcPr>
            <w:tcW w:type="dxa" w:w="1008"/>
            <w:tcMar>
              <w:top w:w="80" w:type="dxa"/>
              <w:bottom w:w="80" w:type="dxa"/>
              <w:left w:w="100" w:type="dxa"/>
              <w:right w:w="100" w:type="dxa"/>
            </w:tcMar>
            <w:shd w:fill="FFFFFF"/>
            <w:tcBorders>
              <w:top w:val="single" w:sz="4" w:space="0" w:color="CBD5E1"/>
              <w:bottom w:val="single" w:sz="4" w:space="0" w:color="CBD5E1"/>
              <w:left w:val="none" w:sz="0" w:space="0" w:color="auto"/>
              <w:right w:val="none" w:sz="0" w:space="0" w:color="auto"/>
            </w:tcBorders>
          </w:tcPr>
          <w:p>
            <w:pPr>
              <w:spacing w:before="0" w:after="0" w:line="252" w:lineRule="auto"/>
              <w:jc w:val="left"/>
            </w:pPr>
            <w:r>
              <w:rPr>
                <w:rFonts w:ascii="Calibri" w:hAnsi="Calibri"/>
                <w:b w:val="0"/>
                <w:i w:val="0"/>
                <w:color w:val="334155"/>
                <w:sz w:val="18"/>
              </w:rPr>
              <w:t>0.3247</w:t>
            </w:r>
          </w:p>
        </w:tc>
        <w:tc>
          <w:tcPr>
            <w:tcW w:type="dxa" w:w="1008"/>
            <w:tcMar>
              <w:top w:w="80" w:type="dxa"/>
              <w:bottom w:w="80" w:type="dxa"/>
              <w:left w:w="100" w:type="dxa"/>
              <w:right w:w="100" w:type="dxa"/>
            </w:tcMar>
            <w:shd w:fill="FFFFFF"/>
            <w:tcBorders>
              <w:top w:val="single" w:sz="4" w:space="0" w:color="CBD5E1"/>
              <w:bottom w:val="single" w:sz="4" w:space="0" w:color="CBD5E1"/>
              <w:left w:val="none" w:sz="0" w:space="0" w:color="auto"/>
              <w:right w:val="none" w:sz="0" w:space="0" w:color="auto"/>
            </w:tcBorders>
          </w:tcPr>
          <w:p>
            <w:pPr>
              <w:spacing w:before="0" w:after="0" w:line="252" w:lineRule="auto"/>
              <w:jc w:val="left"/>
            </w:pPr>
            <w:r>
              <w:rPr>
                <w:rFonts w:ascii="Calibri" w:hAnsi="Calibri"/>
                <w:b w:val="0"/>
                <w:i w:val="0"/>
                <w:color w:val="334155"/>
                <w:sz w:val="18"/>
              </w:rPr>
              <w:t>0.8896</w:t>
            </w:r>
          </w:p>
        </w:tc>
        <w:tc>
          <w:tcPr>
            <w:tcW w:type="dxa" w:w="1152"/>
            <w:tcMar>
              <w:top w:w="80" w:type="dxa"/>
              <w:bottom w:w="80" w:type="dxa"/>
              <w:left w:w="100" w:type="dxa"/>
              <w:right w:w="100" w:type="dxa"/>
            </w:tcMar>
            <w:shd w:fill="FFFFFF"/>
            <w:tcBorders>
              <w:top w:val="single" w:sz="4" w:space="0" w:color="CBD5E1"/>
              <w:bottom w:val="single" w:sz="4" w:space="0" w:color="CBD5E1"/>
              <w:left w:val="none" w:sz="0" w:space="0" w:color="auto"/>
              <w:right w:val="none" w:sz="0" w:space="0" w:color="auto"/>
            </w:tcBorders>
          </w:tcPr>
          <w:p>
            <w:pPr>
              <w:spacing w:before="0" w:after="0" w:line="252" w:lineRule="auto"/>
              <w:jc w:val="left"/>
            </w:pPr>
            <w:r>
              <w:rPr>
                <w:rFonts w:ascii="Calibri" w:hAnsi="Calibri"/>
                <w:b w:val="0"/>
                <w:i w:val="0"/>
                <w:color w:val="334155"/>
                <w:sz w:val="18"/>
              </w:rPr>
              <w:t>81.08%</w:t>
            </w:r>
          </w:p>
        </w:tc>
        <w:tc>
          <w:tcPr>
            <w:tcW w:type="dxa" w:w="1152"/>
            <w:tcMar>
              <w:top w:w="80" w:type="dxa"/>
              <w:bottom w:w="80" w:type="dxa"/>
              <w:left w:w="100" w:type="dxa"/>
              <w:right w:w="100" w:type="dxa"/>
            </w:tcMar>
            <w:shd w:fill="FFFFFF"/>
            <w:tcBorders>
              <w:top w:val="single" w:sz="4" w:space="0" w:color="CBD5E1"/>
              <w:bottom w:val="single" w:sz="4" w:space="0" w:color="CBD5E1"/>
              <w:left w:val="none" w:sz="0" w:space="0" w:color="auto"/>
              <w:right w:val="none" w:sz="0" w:space="0" w:color="auto"/>
            </w:tcBorders>
          </w:tcPr>
          <w:p>
            <w:pPr>
              <w:spacing w:before="0" w:after="0" w:line="252" w:lineRule="auto"/>
              <w:jc w:val="left"/>
            </w:pPr>
            <w:r>
              <w:rPr>
                <w:rFonts w:ascii="Calibri" w:hAnsi="Calibri"/>
                <w:b w:val="0"/>
                <w:i w:val="0"/>
                <w:color w:val="334155"/>
                <w:sz w:val="18"/>
              </w:rPr>
              <w:t>83.42%</w:t>
            </w:r>
          </w:p>
        </w:tc>
        <w:tc>
          <w:tcPr>
            <w:tcW w:type="dxa" w:w="864"/>
            <w:tcMar>
              <w:top w:w="80" w:type="dxa"/>
              <w:bottom w:w="80" w:type="dxa"/>
              <w:left w:w="100" w:type="dxa"/>
              <w:right w:w="100" w:type="dxa"/>
            </w:tcMar>
            <w:shd w:fill="FFFFFF"/>
            <w:tcBorders>
              <w:top w:val="single" w:sz="4" w:space="0" w:color="CBD5E1"/>
              <w:bottom w:val="single" w:sz="4" w:space="0" w:color="CBD5E1"/>
              <w:left w:val="none" w:sz="0" w:space="0" w:color="auto"/>
              <w:right w:val="none" w:sz="0" w:space="0" w:color="auto"/>
            </w:tcBorders>
          </w:tcPr>
          <w:p>
            <w:pPr>
              <w:spacing w:before="0" w:after="0" w:line="252" w:lineRule="auto"/>
              <w:jc w:val="left"/>
            </w:pPr>
            <w:r>
              <w:rPr>
                <w:rFonts w:ascii="Calibri" w:hAnsi="Calibri"/>
                <w:b w:val="0"/>
                <w:i w:val="0"/>
                <w:color w:val="334155"/>
                <w:sz w:val="18"/>
              </w:rPr>
              <w:t>0.3871</w:t>
            </w:r>
          </w:p>
        </w:tc>
      </w:tr>
      <w:tr>
        <w:tc>
          <w:tcPr>
            <w:tcW w:type="dxa" w:w="2304"/>
            <w:tcMar>
              <w:top w:w="80" w:type="dxa"/>
              <w:bottom w:w="80" w:type="dxa"/>
              <w:left w:w="100" w:type="dxa"/>
              <w:right w:w="100" w:type="dxa"/>
            </w:tcMar>
            <w:shd w:fill="F8FAFC"/>
            <w:tcBorders>
              <w:top w:val="single" w:sz="4" w:space="0" w:color="CBD5E1"/>
              <w:bottom w:val="single" w:sz="4" w:space="0" w:color="CBD5E1"/>
              <w:left w:val="none" w:sz="0" w:space="0" w:color="auto"/>
              <w:right w:val="none" w:sz="0" w:space="0" w:color="auto"/>
            </w:tcBorders>
          </w:tcPr>
          <w:p>
            <w:pPr>
              <w:spacing w:before="0" w:after="0" w:line="252" w:lineRule="auto"/>
              <w:jc w:val="left"/>
            </w:pPr>
            <w:r>
              <w:rPr>
                <w:rFonts w:ascii="Calibri" w:hAnsi="Calibri"/>
                <w:b w:val="0"/>
                <w:i w:val="0"/>
                <w:color w:val="334155"/>
                <w:sz w:val="18"/>
              </w:rPr>
              <w:t>Matrix A (Full Multimodal)</w:t>
            </w:r>
          </w:p>
        </w:tc>
        <w:tc>
          <w:tcPr>
            <w:tcW w:type="dxa" w:w="2592"/>
            <w:tcMar>
              <w:top w:w="80" w:type="dxa"/>
              <w:bottom w:w="80" w:type="dxa"/>
              <w:left w:w="100" w:type="dxa"/>
              <w:right w:w="100" w:type="dxa"/>
            </w:tcMar>
            <w:shd w:fill="F8FAFC"/>
            <w:tcBorders>
              <w:top w:val="single" w:sz="4" w:space="0" w:color="CBD5E1"/>
              <w:bottom w:val="single" w:sz="4" w:space="0" w:color="CBD5E1"/>
              <w:left w:val="none" w:sz="0" w:space="0" w:color="auto"/>
              <w:right w:val="none" w:sz="0" w:space="0" w:color="auto"/>
            </w:tcBorders>
          </w:tcPr>
          <w:p>
            <w:pPr>
              <w:spacing w:before="0" w:after="0" w:line="252" w:lineRule="auto"/>
              <w:jc w:val="left"/>
            </w:pPr>
            <w:r>
              <w:rPr>
                <w:rFonts w:ascii="Calibri" w:hAnsi="Calibri"/>
                <w:b w:val="0"/>
                <w:i w:val="0"/>
                <w:color w:val="334155"/>
                <w:sz w:val="18"/>
              </w:rPr>
              <w:t>Random Forest (Benchmark)</w:t>
            </w:r>
          </w:p>
        </w:tc>
        <w:tc>
          <w:tcPr>
            <w:tcW w:type="dxa" w:w="1008"/>
            <w:tcMar>
              <w:top w:w="80" w:type="dxa"/>
              <w:bottom w:w="80" w:type="dxa"/>
              <w:left w:w="100" w:type="dxa"/>
              <w:right w:w="100" w:type="dxa"/>
            </w:tcMar>
            <w:shd w:fill="F8FAFC"/>
            <w:tcBorders>
              <w:top w:val="single" w:sz="4" w:space="0" w:color="CBD5E1"/>
              <w:bottom w:val="single" w:sz="4" w:space="0" w:color="CBD5E1"/>
              <w:left w:val="none" w:sz="0" w:space="0" w:color="auto"/>
              <w:right w:val="none" w:sz="0" w:space="0" w:color="auto"/>
            </w:tcBorders>
          </w:tcPr>
          <w:p>
            <w:pPr>
              <w:spacing w:before="0" w:after="0" w:line="252" w:lineRule="auto"/>
              <w:jc w:val="left"/>
            </w:pPr>
            <w:r>
              <w:rPr>
                <w:rFonts w:ascii="Calibri" w:hAnsi="Calibri"/>
                <w:b w:val="0"/>
                <w:i w:val="0"/>
                <w:color w:val="334155"/>
                <w:sz w:val="18"/>
              </w:rPr>
              <w:t>0.3965</w:t>
            </w:r>
          </w:p>
        </w:tc>
        <w:tc>
          <w:tcPr>
            <w:tcW w:type="dxa" w:w="1008"/>
            <w:tcMar>
              <w:top w:w="80" w:type="dxa"/>
              <w:bottom w:w="80" w:type="dxa"/>
              <w:left w:w="100" w:type="dxa"/>
              <w:right w:w="100" w:type="dxa"/>
            </w:tcMar>
            <w:shd w:fill="F8FAFC"/>
            <w:tcBorders>
              <w:top w:val="single" w:sz="4" w:space="0" w:color="CBD5E1"/>
              <w:bottom w:val="single" w:sz="4" w:space="0" w:color="CBD5E1"/>
              <w:left w:val="none" w:sz="0" w:space="0" w:color="auto"/>
              <w:right w:val="none" w:sz="0" w:space="0" w:color="auto"/>
            </w:tcBorders>
          </w:tcPr>
          <w:p>
            <w:pPr>
              <w:spacing w:before="0" w:after="0" w:line="252" w:lineRule="auto"/>
              <w:jc w:val="left"/>
            </w:pPr>
            <w:r>
              <w:rPr>
                <w:rFonts w:ascii="Calibri" w:hAnsi="Calibri"/>
                <w:b w:val="0"/>
                <w:i w:val="0"/>
                <w:color w:val="334155"/>
                <w:sz w:val="18"/>
              </w:rPr>
              <w:t>0.9082</w:t>
            </w:r>
          </w:p>
        </w:tc>
        <w:tc>
          <w:tcPr>
            <w:tcW w:type="dxa" w:w="1152"/>
            <w:tcMar>
              <w:top w:w="80" w:type="dxa"/>
              <w:bottom w:w="80" w:type="dxa"/>
              <w:left w:w="100" w:type="dxa"/>
              <w:right w:w="100" w:type="dxa"/>
            </w:tcMar>
            <w:shd w:fill="F8FAFC"/>
            <w:tcBorders>
              <w:top w:val="single" w:sz="4" w:space="0" w:color="CBD5E1"/>
              <w:bottom w:val="single" w:sz="4" w:space="0" w:color="CBD5E1"/>
              <w:left w:val="none" w:sz="0" w:space="0" w:color="auto"/>
              <w:right w:val="none" w:sz="0" w:space="0" w:color="auto"/>
            </w:tcBorders>
          </w:tcPr>
          <w:p>
            <w:pPr>
              <w:spacing w:before="0" w:after="0" w:line="252" w:lineRule="auto"/>
              <w:jc w:val="left"/>
            </w:pPr>
            <w:r>
              <w:rPr>
                <w:rFonts w:ascii="Calibri" w:hAnsi="Calibri"/>
                <w:b w:val="0"/>
                <w:i w:val="0"/>
                <w:color w:val="334155"/>
                <w:sz w:val="18"/>
              </w:rPr>
              <w:t>83.78%</w:t>
            </w:r>
          </w:p>
        </w:tc>
        <w:tc>
          <w:tcPr>
            <w:tcW w:type="dxa" w:w="1152"/>
            <w:tcMar>
              <w:top w:w="80" w:type="dxa"/>
              <w:bottom w:w="80" w:type="dxa"/>
              <w:left w:w="100" w:type="dxa"/>
              <w:right w:w="100" w:type="dxa"/>
            </w:tcMar>
            <w:shd w:fill="F8FAFC"/>
            <w:tcBorders>
              <w:top w:val="single" w:sz="4" w:space="0" w:color="CBD5E1"/>
              <w:bottom w:val="single" w:sz="4" w:space="0" w:color="CBD5E1"/>
              <w:left w:val="none" w:sz="0" w:space="0" w:color="auto"/>
              <w:right w:val="none" w:sz="0" w:space="0" w:color="auto"/>
            </w:tcBorders>
          </w:tcPr>
          <w:p>
            <w:pPr>
              <w:spacing w:before="0" w:after="0" w:line="252" w:lineRule="auto"/>
              <w:jc w:val="left"/>
            </w:pPr>
            <w:r>
              <w:rPr>
                <w:rFonts w:ascii="Calibri" w:hAnsi="Calibri"/>
                <w:b w:val="0"/>
                <w:i w:val="0"/>
                <w:color w:val="334155"/>
                <w:sz w:val="18"/>
              </w:rPr>
              <w:t>84.10%</w:t>
            </w:r>
          </w:p>
        </w:tc>
        <w:tc>
          <w:tcPr>
            <w:tcW w:type="dxa" w:w="864"/>
            <w:tcMar>
              <w:top w:w="80" w:type="dxa"/>
              <w:bottom w:w="80" w:type="dxa"/>
              <w:left w:w="100" w:type="dxa"/>
              <w:right w:w="100" w:type="dxa"/>
            </w:tcMar>
            <w:shd w:fill="F8FAFC"/>
            <w:tcBorders>
              <w:top w:val="single" w:sz="4" w:space="0" w:color="CBD5E1"/>
              <w:bottom w:val="single" w:sz="4" w:space="0" w:color="CBD5E1"/>
              <w:left w:val="none" w:sz="0" w:space="0" w:color="auto"/>
              <w:right w:val="none" w:sz="0" w:space="0" w:color="auto"/>
            </w:tcBorders>
          </w:tcPr>
          <w:p>
            <w:pPr>
              <w:spacing w:before="0" w:after="0" w:line="252" w:lineRule="auto"/>
              <w:jc w:val="left"/>
            </w:pPr>
            <w:r>
              <w:rPr>
                <w:rFonts w:ascii="Calibri" w:hAnsi="Calibri"/>
                <w:b w:val="0"/>
                <w:i w:val="0"/>
                <w:color w:val="334155"/>
                <w:sz w:val="18"/>
              </w:rPr>
              <w:t>0.4189</w:t>
            </w:r>
          </w:p>
        </w:tc>
      </w:tr>
      <w:tr>
        <w:tc>
          <w:tcPr>
            <w:tcW w:type="dxa" w:w="2304"/>
            <w:tcMar>
              <w:top w:w="80" w:type="dxa"/>
              <w:bottom w:w="80" w:type="dxa"/>
              <w:left w:w="100" w:type="dxa"/>
              <w:right w:w="100" w:type="dxa"/>
            </w:tcMar>
            <w:shd w:fill="FFFFFF"/>
            <w:tcBorders>
              <w:top w:val="single" w:sz="4" w:space="0" w:color="CBD5E1"/>
              <w:bottom w:val="single" w:sz="4" w:space="0" w:color="CBD5E1"/>
              <w:left w:val="none" w:sz="0" w:space="0" w:color="auto"/>
              <w:right w:val="none" w:sz="0" w:space="0" w:color="auto"/>
            </w:tcBorders>
          </w:tcPr>
          <w:p>
            <w:pPr>
              <w:spacing w:before="0" w:after="0" w:line="252" w:lineRule="auto"/>
              <w:jc w:val="left"/>
            </w:pPr>
            <w:r>
              <w:rPr>
                <w:rFonts w:ascii="Calibri" w:hAnsi="Calibri"/>
                <w:b w:val="0"/>
                <w:i w:val="0"/>
                <w:color w:val="334155"/>
                <w:sz w:val="18"/>
              </w:rPr>
              <w:t>Matrix A (Full Multimodal)</w:t>
            </w:r>
          </w:p>
        </w:tc>
        <w:tc>
          <w:tcPr>
            <w:tcW w:type="dxa" w:w="2592"/>
            <w:tcMar>
              <w:top w:w="80" w:type="dxa"/>
              <w:bottom w:w="80" w:type="dxa"/>
              <w:left w:w="100" w:type="dxa"/>
              <w:right w:w="100" w:type="dxa"/>
            </w:tcMar>
            <w:shd w:fill="FFFFFF"/>
            <w:tcBorders>
              <w:top w:val="single" w:sz="4" w:space="0" w:color="CBD5E1"/>
              <w:bottom w:val="single" w:sz="4" w:space="0" w:color="CBD5E1"/>
              <w:left w:val="none" w:sz="0" w:space="0" w:color="auto"/>
              <w:right w:val="none" w:sz="0" w:space="0" w:color="auto"/>
            </w:tcBorders>
          </w:tcPr>
          <w:p>
            <w:pPr>
              <w:spacing w:before="0" w:after="0" w:line="252" w:lineRule="auto"/>
              <w:jc w:val="left"/>
            </w:pPr>
            <w:r>
              <w:rPr>
                <w:rFonts w:ascii="Calibri" w:hAnsi="Calibri"/>
                <w:b w:val="0"/>
                <w:i w:val="0"/>
                <w:color w:val="334155"/>
                <w:sz w:val="18"/>
              </w:rPr>
              <w:t>Logistic Regression</w:t>
            </w:r>
          </w:p>
        </w:tc>
        <w:tc>
          <w:tcPr>
            <w:tcW w:type="dxa" w:w="1008"/>
            <w:tcMar>
              <w:top w:w="80" w:type="dxa"/>
              <w:bottom w:w="80" w:type="dxa"/>
              <w:left w:w="100" w:type="dxa"/>
              <w:right w:w="100" w:type="dxa"/>
            </w:tcMar>
            <w:shd w:fill="FFFFFF"/>
            <w:tcBorders>
              <w:top w:val="single" w:sz="4" w:space="0" w:color="CBD5E1"/>
              <w:bottom w:val="single" w:sz="4" w:space="0" w:color="CBD5E1"/>
              <w:left w:val="none" w:sz="0" w:space="0" w:color="auto"/>
              <w:right w:val="none" w:sz="0" w:space="0" w:color="auto"/>
            </w:tcBorders>
          </w:tcPr>
          <w:p>
            <w:pPr>
              <w:spacing w:before="0" w:after="0" w:line="252" w:lineRule="auto"/>
              <w:jc w:val="left"/>
            </w:pPr>
            <w:r>
              <w:rPr>
                <w:rFonts w:ascii="Calibri" w:hAnsi="Calibri"/>
                <w:b w:val="0"/>
                <w:i w:val="0"/>
                <w:color w:val="334155"/>
                <w:sz w:val="18"/>
              </w:rPr>
              <w:t>0.0812</w:t>
            </w:r>
          </w:p>
        </w:tc>
        <w:tc>
          <w:tcPr>
            <w:tcW w:type="dxa" w:w="1008"/>
            <w:tcMar>
              <w:top w:w="80" w:type="dxa"/>
              <w:bottom w:w="80" w:type="dxa"/>
              <w:left w:w="100" w:type="dxa"/>
              <w:right w:w="100" w:type="dxa"/>
            </w:tcMar>
            <w:shd w:fill="FFFFFF"/>
            <w:tcBorders>
              <w:top w:val="single" w:sz="4" w:space="0" w:color="CBD5E1"/>
              <w:bottom w:val="single" w:sz="4" w:space="0" w:color="CBD5E1"/>
              <w:left w:val="none" w:sz="0" w:space="0" w:color="auto"/>
              <w:right w:val="none" w:sz="0" w:space="0" w:color="auto"/>
            </w:tcBorders>
          </w:tcPr>
          <w:p>
            <w:pPr>
              <w:spacing w:before="0" w:after="0" w:line="252" w:lineRule="auto"/>
              <w:jc w:val="left"/>
            </w:pPr>
            <w:r>
              <w:rPr>
                <w:rFonts w:ascii="Calibri" w:hAnsi="Calibri"/>
                <w:b w:val="0"/>
                <w:i w:val="0"/>
                <w:color w:val="334155"/>
                <w:sz w:val="18"/>
              </w:rPr>
              <w:t>0.7245</w:t>
            </w:r>
          </w:p>
        </w:tc>
        <w:tc>
          <w:tcPr>
            <w:tcW w:type="dxa" w:w="1152"/>
            <w:tcMar>
              <w:top w:w="80" w:type="dxa"/>
              <w:bottom w:w="80" w:type="dxa"/>
              <w:left w:w="100" w:type="dxa"/>
              <w:right w:w="100" w:type="dxa"/>
            </w:tcMar>
            <w:shd w:fill="FFFFFF"/>
            <w:tcBorders>
              <w:top w:val="single" w:sz="4" w:space="0" w:color="CBD5E1"/>
              <w:bottom w:val="single" w:sz="4" w:space="0" w:color="CBD5E1"/>
              <w:left w:val="none" w:sz="0" w:space="0" w:color="auto"/>
              <w:right w:val="none" w:sz="0" w:space="0" w:color="auto"/>
            </w:tcBorders>
          </w:tcPr>
          <w:p>
            <w:pPr>
              <w:spacing w:before="0" w:after="0" w:line="252" w:lineRule="auto"/>
              <w:jc w:val="left"/>
            </w:pPr>
            <w:r>
              <w:rPr>
                <w:rFonts w:ascii="Calibri" w:hAnsi="Calibri"/>
                <w:b w:val="0"/>
                <w:i w:val="0"/>
                <w:color w:val="334155"/>
                <w:sz w:val="18"/>
              </w:rPr>
              <w:t>64.86%</w:t>
            </w:r>
          </w:p>
        </w:tc>
        <w:tc>
          <w:tcPr>
            <w:tcW w:type="dxa" w:w="1152"/>
            <w:tcMar>
              <w:top w:w="80" w:type="dxa"/>
              <w:bottom w:w="80" w:type="dxa"/>
              <w:left w:w="100" w:type="dxa"/>
              <w:right w:w="100" w:type="dxa"/>
            </w:tcMar>
            <w:shd w:fill="FFFFFF"/>
            <w:tcBorders>
              <w:top w:val="single" w:sz="4" w:space="0" w:color="CBD5E1"/>
              <w:bottom w:val="single" w:sz="4" w:space="0" w:color="CBD5E1"/>
              <w:left w:val="none" w:sz="0" w:space="0" w:color="auto"/>
              <w:right w:val="none" w:sz="0" w:space="0" w:color="auto"/>
            </w:tcBorders>
          </w:tcPr>
          <w:p>
            <w:pPr>
              <w:spacing w:before="0" w:after="0" w:line="252" w:lineRule="auto"/>
              <w:jc w:val="left"/>
            </w:pPr>
            <w:r>
              <w:rPr>
                <w:rFonts w:ascii="Calibri" w:hAnsi="Calibri"/>
                <w:b w:val="0"/>
                <w:i w:val="0"/>
                <w:color w:val="334155"/>
                <w:sz w:val="18"/>
              </w:rPr>
              <w:t>72.10%</w:t>
            </w:r>
          </w:p>
        </w:tc>
        <w:tc>
          <w:tcPr>
            <w:tcW w:type="dxa" w:w="864"/>
            <w:tcMar>
              <w:top w:w="80" w:type="dxa"/>
              <w:bottom w:w="80" w:type="dxa"/>
              <w:left w:w="100" w:type="dxa"/>
              <w:right w:w="100" w:type="dxa"/>
            </w:tcMar>
            <w:shd w:fill="FFFFFF"/>
            <w:tcBorders>
              <w:top w:val="single" w:sz="4" w:space="0" w:color="CBD5E1"/>
              <w:bottom w:val="single" w:sz="4" w:space="0" w:color="CBD5E1"/>
              <w:left w:val="none" w:sz="0" w:space="0" w:color="auto"/>
              <w:right w:val="none" w:sz="0" w:space="0" w:color="auto"/>
            </w:tcBorders>
          </w:tcPr>
          <w:p>
            <w:pPr>
              <w:spacing w:before="0" w:after="0" w:line="252" w:lineRule="auto"/>
              <w:jc w:val="left"/>
            </w:pPr>
            <w:r>
              <w:rPr>
                <w:rFonts w:ascii="Calibri" w:hAnsi="Calibri"/>
                <w:b w:val="0"/>
                <w:i w:val="0"/>
                <w:color w:val="334155"/>
                <w:sz w:val="18"/>
              </w:rPr>
              <w:t>0.1412</w:t>
            </w:r>
          </w:p>
        </w:tc>
      </w:tr>
      <w:tr>
        <w:tc>
          <w:tcPr>
            <w:tcW w:type="dxa" w:w="2304"/>
            <w:tcMar>
              <w:top w:w="80" w:type="dxa"/>
              <w:bottom w:w="80" w:type="dxa"/>
              <w:left w:w="100" w:type="dxa"/>
              <w:right w:w="100" w:type="dxa"/>
            </w:tcMar>
            <w:shd w:fill="F8FAFC"/>
            <w:tcBorders>
              <w:top w:val="single" w:sz="4" w:space="0" w:color="CBD5E1"/>
              <w:bottom w:val="single" w:sz="4" w:space="0" w:color="CBD5E1"/>
              <w:left w:val="none" w:sz="0" w:space="0" w:color="auto"/>
              <w:right w:val="none" w:sz="0" w:space="0" w:color="auto"/>
            </w:tcBorders>
          </w:tcPr>
          <w:p>
            <w:pPr>
              <w:spacing w:before="0" w:after="0" w:line="252" w:lineRule="auto"/>
              <w:jc w:val="left"/>
            </w:pPr>
            <w:r>
              <w:rPr>
                <w:rFonts w:ascii="Calibri" w:hAnsi="Calibri"/>
                <w:b w:val="0"/>
                <w:i w:val="0"/>
                <w:color w:val="334155"/>
                <w:sz w:val="18"/>
              </w:rPr>
              <w:t>Matrix B (Peripheral Only)</w:t>
            </w:r>
          </w:p>
        </w:tc>
        <w:tc>
          <w:tcPr>
            <w:tcW w:type="dxa" w:w="2592"/>
            <w:tcMar>
              <w:top w:w="80" w:type="dxa"/>
              <w:bottom w:w="80" w:type="dxa"/>
              <w:left w:w="100" w:type="dxa"/>
              <w:right w:w="100" w:type="dxa"/>
            </w:tcMar>
            <w:shd w:fill="F8FAFC"/>
            <w:tcBorders>
              <w:top w:val="single" w:sz="4" w:space="0" w:color="CBD5E1"/>
              <w:bottom w:val="single" w:sz="4" w:space="0" w:color="CBD5E1"/>
              <w:left w:val="none" w:sz="0" w:space="0" w:color="auto"/>
              <w:right w:val="none" w:sz="0" w:space="0" w:color="auto"/>
            </w:tcBorders>
          </w:tcPr>
          <w:p>
            <w:pPr>
              <w:spacing w:before="0" w:after="0" w:line="252" w:lineRule="auto"/>
              <w:jc w:val="left"/>
            </w:pPr>
            <w:r>
              <w:rPr>
                <w:rFonts w:ascii="Calibri" w:hAnsi="Calibri"/>
                <w:b w:val="0"/>
                <w:i w:val="0"/>
                <w:color w:val="334155"/>
                <w:sz w:val="18"/>
              </w:rPr>
              <w:t>XGBoost Ablation</w:t>
            </w:r>
          </w:p>
        </w:tc>
        <w:tc>
          <w:tcPr>
            <w:tcW w:type="dxa" w:w="1008"/>
            <w:tcMar>
              <w:top w:w="80" w:type="dxa"/>
              <w:bottom w:w="80" w:type="dxa"/>
              <w:left w:w="100" w:type="dxa"/>
              <w:right w:w="100" w:type="dxa"/>
            </w:tcMar>
            <w:shd w:fill="F8FAFC"/>
            <w:tcBorders>
              <w:top w:val="single" w:sz="4" w:space="0" w:color="CBD5E1"/>
              <w:bottom w:val="single" w:sz="4" w:space="0" w:color="CBD5E1"/>
              <w:left w:val="none" w:sz="0" w:space="0" w:color="auto"/>
              <w:right w:val="none" w:sz="0" w:space="0" w:color="auto"/>
            </w:tcBorders>
          </w:tcPr>
          <w:p>
            <w:pPr>
              <w:spacing w:before="0" w:after="0" w:line="252" w:lineRule="auto"/>
              <w:jc w:val="left"/>
            </w:pPr>
            <w:r>
              <w:rPr>
                <w:rFonts w:ascii="Calibri" w:hAnsi="Calibri"/>
                <w:b w:val="0"/>
                <w:i w:val="0"/>
                <w:color w:val="334155"/>
                <w:sz w:val="18"/>
              </w:rPr>
              <w:t>0.0067</w:t>
            </w:r>
          </w:p>
        </w:tc>
        <w:tc>
          <w:tcPr>
            <w:tcW w:type="dxa" w:w="1008"/>
            <w:tcMar>
              <w:top w:w="80" w:type="dxa"/>
              <w:bottom w:w="80" w:type="dxa"/>
              <w:left w:w="100" w:type="dxa"/>
              <w:right w:w="100" w:type="dxa"/>
            </w:tcMar>
            <w:shd w:fill="F8FAFC"/>
            <w:tcBorders>
              <w:top w:val="single" w:sz="4" w:space="0" w:color="CBD5E1"/>
              <w:bottom w:val="single" w:sz="4" w:space="0" w:color="CBD5E1"/>
              <w:left w:val="none" w:sz="0" w:space="0" w:color="auto"/>
              <w:right w:val="none" w:sz="0" w:space="0" w:color="auto"/>
            </w:tcBorders>
          </w:tcPr>
          <w:p>
            <w:pPr>
              <w:spacing w:before="0" w:after="0" w:line="252" w:lineRule="auto"/>
              <w:jc w:val="left"/>
            </w:pPr>
            <w:r>
              <w:rPr>
                <w:rFonts w:ascii="Calibri" w:hAnsi="Calibri"/>
                <w:b w:val="0"/>
                <w:i w:val="0"/>
                <w:color w:val="334155"/>
                <w:sz w:val="18"/>
              </w:rPr>
              <w:t>0.5367</w:t>
            </w:r>
          </w:p>
        </w:tc>
        <w:tc>
          <w:tcPr>
            <w:tcW w:type="dxa" w:w="1152"/>
            <w:tcMar>
              <w:top w:w="80" w:type="dxa"/>
              <w:bottom w:w="80" w:type="dxa"/>
              <w:left w:w="100" w:type="dxa"/>
              <w:right w:w="100" w:type="dxa"/>
            </w:tcMar>
            <w:shd w:fill="F8FAFC"/>
            <w:tcBorders>
              <w:top w:val="single" w:sz="4" w:space="0" w:color="CBD5E1"/>
              <w:bottom w:val="single" w:sz="4" w:space="0" w:color="CBD5E1"/>
              <w:left w:val="none" w:sz="0" w:space="0" w:color="auto"/>
              <w:right w:val="none" w:sz="0" w:space="0" w:color="auto"/>
            </w:tcBorders>
          </w:tcPr>
          <w:p>
            <w:pPr>
              <w:spacing w:before="0" w:after="0" w:line="252" w:lineRule="auto"/>
              <w:jc w:val="left"/>
            </w:pPr>
            <w:r>
              <w:rPr>
                <w:rFonts w:ascii="Calibri" w:hAnsi="Calibri"/>
                <w:b w:val="0"/>
                <w:i w:val="0"/>
                <w:color w:val="334155"/>
                <w:sz w:val="18"/>
              </w:rPr>
              <w:t>51.35%</w:t>
            </w:r>
          </w:p>
        </w:tc>
        <w:tc>
          <w:tcPr>
            <w:tcW w:type="dxa" w:w="1152"/>
            <w:tcMar>
              <w:top w:w="80" w:type="dxa"/>
              <w:bottom w:w="80" w:type="dxa"/>
              <w:left w:w="100" w:type="dxa"/>
              <w:right w:w="100" w:type="dxa"/>
            </w:tcMar>
            <w:shd w:fill="F8FAFC"/>
            <w:tcBorders>
              <w:top w:val="single" w:sz="4" w:space="0" w:color="CBD5E1"/>
              <w:bottom w:val="single" w:sz="4" w:space="0" w:color="CBD5E1"/>
              <w:left w:val="none" w:sz="0" w:space="0" w:color="auto"/>
              <w:right w:val="none" w:sz="0" w:space="0" w:color="auto"/>
            </w:tcBorders>
          </w:tcPr>
          <w:p>
            <w:pPr>
              <w:spacing w:before="0" w:after="0" w:line="252" w:lineRule="auto"/>
              <w:jc w:val="left"/>
            </w:pPr>
            <w:r>
              <w:rPr>
                <w:rFonts w:ascii="Calibri" w:hAnsi="Calibri"/>
                <w:b w:val="0"/>
                <w:i w:val="0"/>
                <w:color w:val="334155"/>
                <w:sz w:val="18"/>
              </w:rPr>
              <w:t>54.20%</w:t>
            </w:r>
          </w:p>
        </w:tc>
        <w:tc>
          <w:tcPr>
            <w:tcW w:type="dxa" w:w="864"/>
            <w:tcMar>
              <w:top w:w="80" w:type="dxa"/>
              <w:bottom w:w="80" w:type="dxa"/>
              <w:left w:w="100" w:type="dxa"/>
              <w:right w:w="100" w:type="dxa"/>
            </w:tcMar>
            <w:shd w:fill="F8FAFC"/>
            <w:tcBorders>
              <w:top w:val="single" w:sz="4" w:space="0" w:color="CBD5E1"/>
              <w:bottom w:val="single" w:sz="4" w:space="0" w:color="CBD5E1"/>
              <w:left w:val="none" w:sz="0" w:space="0" w:color="auto"/>
              <w:right w:val="none" w:sz="0" w:space="0" w:color="auto"/>
            </w:tcBorders>
          </w:tcPr>
          <w:p>
            <w:pPr>
              <w:spacing w:before="0" w:after="0" w:line="252" w:lineRule="auto"/>
              <w:jc w:val="left"/>
            </w:pPr>
            <w:r>
              <w:rPr>
                <w:rFonts w:ascii="Calibri" w:hAnsi="Calibri"/>
                <w:b w:val="0"/>
                <w:i w:val="0"/>
                <w:color w:val="334155"/>
                <w:sz w:val="18"/>
              </w:rPr>
              <w:t>0.0098</w:t>
            </w:r>
          </w:p>
        </w:tc>
      </w:tr>
      <w:tr>
        <w:tc>
          <w:tcPr>
            <w:tcW w:type="dxa" w:w="2304"/>
            <w:tcMar>
              <w:top w:w="80" w:type="dxa"/>
              <w:bottom w:w="80" w:type="dxa"/>
              <w:left w:w="100" w:type="dxa"/>
              <w:right w:w="100" w:type="dxa"/>
            </w:tcMar>
            <w:shd w:fill="FFFFFF"/>
            <w:tcBorders>
              <w:top w:val="single" w:sz="4" w:space="0" w:color="CBD5E1"/>
              <w:bottom w:val="single" w:sz="4" w:space="0" w:color="CBD5E1"/>
              <w:left w:val="none" w:sz="0" w:space="0" w:color="auto"/>
              <w:right w:val="none" w:sz="0" w:space="0" w:color="auto"/>
            </w:tcBorders>
          </w:tcPr>
          <w:p>
            <w:pPr>
              <w:spacing w:before="0" w:after="0" w:line="252" w:lineRule="auto"/>
              <w:jc w:val="left"/>
            </w:pPr>
            <w:r>
              <w:rPr>
                <w:rFonts w:ascii="Calibri" w:hAnsi="Calibri"/>
                <w:b w:val="0"/>
                <w:i w:val="0"/>
                <w:color w:val="334155"/>
                <w:sz w:val="18"/>
              </w:rPr>
              <w:t>Matrix B (Peripheral Only)</w:t>
            </w:r>
          </w:p>
        </w:tc>
        <w:tc>
          <w:tcPr>
            <w:tcW w:type="dxa" w:w="2592"/>
            <w:tcMar>
              <w:top w:w="80" w:type="dxa"/>
              <w:bottom w:w="80" w:type="dxa"/>
              <w:left w:w="100" w:type="dxa"/>
              <w:right w:w="100" w:type="dxa"/>
            </w:tcMar>
            <w:shd w:fill="FFFFFF"/>
            <w:tcBorders>
              <w:top w:val="single" w:sz="4" w:space="0" w:color="CBD5E1"/>
              <w:bottom w:val="single" w:sz="4" w:space="0" w:color="CBD5E1"/>
              <w:left w:val="none" w:sz="0" w:space="0" w:color="auto"/>
              <w:right w:val="none" w:sz="0" w:space="0" w:color="auto"/>
            </w:tcBorders>
          </w:tcPr>
          <w:p>
            <w:pPr>
              <w:spacing w:before="0" w:after="0" w:line="252" w:lineRule="auto"/>
              <w:jc w:val="left"/>
            </w:pPr>
            <w:r>
              <w:rPr>
                <w:rFonts w:ascii="Calibri" w:hAnsi="Calibri"/>
                <w:b w:val="0"/>
                <w:i w:val="0"/>
                <w:color w:val="334155"/>
                <w:sz w:val="18"/>
              </w:rPr>
              <w:t>Random Forest Ablation</w:t>
            </w:r>
          </w:p>
        </w:tc>
        <w:tc>
          <w:tcPr>
            <w:tcW w:type="dxa" w:w="1008"/>
            <w:tcMar>
              <w:top w:w="80" w:type="dxa"/>
              <w:bottom w:w="80" w:type="dxa"/>
              <w:left w:w="100" w:type="dxa"/>
              <w:right w:w="100" w:type="dxa"/>
            </w:tcMar>
            <w:shd w:fill="FFFFFF"/>
            <w:tcBorders>
              <w:top w:val="single" w:sz="4" w:space="0" w:color="CBD5E1"/>
              <w:bottom w:val="single" w:sz="4" w:space="0" w:color="CBD5E1"/>
              <w:left w:val="none" w:sz="0" w:space="0" w:color="auto"/>
              <w:right w:val="none" w:sz="0" w:space="0" w:color="auto"/>
            </w:tcBorders>
          </w:tcPr>
          <w:p>
            <w:pPr>
              <w:spacing w:before="0" w:after="0" w:line="252" w:lineRule="auto"/>
              <w:jc w:val="left"/>
            </w:pPr>
            <w:r>
              <w:rPr>
                <w:rFonts w:ascii="Calibri" w:hAnsi="Calibri"/>
                <w:b w:val="0"/>
                <w:i w:val="0"/>
                <w:color w:val="334155"/>
                <w:sz w:val="18"/>
              </w:rPr>
              <w:t>0.0051</w:t>
            </w:r>
          </w:p>
        </w:tc>
        <w:tc>
          <w:tcPr>
            <w:tcW w:type="dxa" w:w="1008"/>
            <w:tcMar>
              <w:top w:w="80" w:type="dxa"/>
              <w:bottom w:w="80" w:type="dxa"/>
              <w:left w:w="100" w:type="dxa"/>
              <w:right w:w="100" w:type="dxa"/>
            </w:tcMar>
            <w:shd w:fill="FFFFFF"/>
            <w:tcBorders>
              <w:top w:val="single" w:sz="4" w:space="0" w:color="CBD5E1"/>
              <w:bottom w:val="single" w:sz="4" w:space="0" w:color="CBD5E1"/>
              <w:left w:val="none" w:sz="0" w:space="0" w:color="auto"/>
              <w:right w:val="none" w:sz="0" w:space="0" w:color="auto"/>
            </w:tcBorders>
          </w:tcPr>
          <w:p>
            <w:pPr>
              <w:spacing w:before="0" w:after="0" w:line="252" w:lineRule="auto"/>
              <w:jc w:val="left"/>
            </w:pPr>
            <w:r>
              <w:rPr>
                <w:rFonts w:ascii="Calibri" w:hAnsi="Calibri"/>
                <w:b w:val="0"/>
                <w:i w:val="0"/>
                <w:color w:val="334155"/>
                <w:sz w:val="18"/>
              </w:rPr>
              <w:t>0.5281</w:t>
            </w:r>
          </w:p>
        </w:tc>
        <w:tc>
          <w:tcPr>
            <w:tcW w:type="dxa" w:w="1152"/>
            <w:tcMar>
              <w:top w:w="80" w:type="dxa"/>
              <w:bottom w:w="80" w:type="dxa"/>
              <w:left w:w="100" w:type="dxa"/>
              <w:right w:w="100" w:type="dxa"/>
            </w:tcMar>
            <w:shd w:fill="FFFFFF"/>
            <w:tcBorders>
              <w:top w:val="single" w:sz="4" w:space="0" w:color="CBD5E1"/>
              <w:bottom w:val="single" w:sz="4" w:space="0" w:color="CBD5E1"/>
              <w:left w:val="none" w:sz="0" w:space="0" w:color="auto"/>
              <w:right w:val="none" w:sz="0" w:space="0" w:color="auto"/>
            </w:tcBorders>
          </w:tcPr>
          <w:p>
            <w:pPr>
              <w:spacing w:before="0" w:after="0" w:line="252" w:lineRule="auto"/>
              <w:jc w:val="left"/>
            </w:pPr>
            <w:r>
              <w:rPr>
                <w:rFonts w:ascii="Calibri" w:hAnsi="Calibri"/>
                <w:b w:val="0"/>
                <w:i w:val="0"/>
                <w:color w:val="334155"/>
                <w:sz w:val="18"/>
              </w:rPr>
              <w:t>48.65%</w:t>
            </w:r>
          </w:p>
        </w:tc>
        <w:tc>
          <w:tcPr>
            <w:tcW w:type="dxa" w:w="1152"/>
            <w:tcMar>
              <w:top w:w="80" w:type="dxa"/>
              <w:bottom w:w="80" w:type="dxa"/>
              <w:left w:w="100" w:type="dxa"/>
              <w:right w:w="100" w:type="dxa"/>
            </w:tcMar>
            <w:shd w:fill="FFFFFF"/>
            <w:tcBorders>
              <w:top w:val="single" w:sz="4" w:space="0" w:color="CBD5E1"/>
              <w:bottom w:val="single" w:sz="4" w:space="0" w:color="CBD5E1"/>
              <w:left w:val="none" w:sz="0" w:space="0" w:color="auto"/>
              <w:right w:val="none" w:sz="0" w:space="0" w:color="auto"/>
            </w:tcBorders>
          </w:tcPr>
          <w:p>
            <w:pPr>
              <w:spacing w:before="0" w:after="0" w:line="252" w:lineRule="auto"/>
              <w:jc w:val="left"/>
            </w:pPr>
            <w:r>
              <w:rPr>
                <w:rFonts w:ascii="Calibri" w:hAnsi="Calibri"/>
                <w:b w:val="0"/>
                <w:i w:val="0"/>
                <w:color w:val="334155"/>
                <w:sz w:val="18"/>
              </w:rPr>
              <w:t>51.80%</w:t>
            </w:r>
          </w:p>
        </w:tc>
        <w:tc>
          <w:tcPr>
            <w:tcW w:type="dxa" w:w="864"/>
            <w:tcMar>
              <w:top w:w="80" w:type="dxa"/>
              <w:bottom w:w="80" w:type="dxa"/>
              <w:left w:w="100" w:type="dxa"/>
              <w:right w:w="100" w:type="dxa"/>
            </w:tcMar>
            <w:shd w:fill="FFFFFF"/>
            <w:tcBorders>
              <w:top w:val="single" w:sz="4" w:space="0" w:color="CBD5E1"/>
              <w:bottom w:val="single" w:sz="4" w:space="0" w:color="CBD5E1"/>
              <w:left w:val="none" w:sz="0" w:space="0" w:color="auto"/>
              <w:right w:val="none" w:sz="0" w:space="0" w:color="auto"/>
            </w:tcBorders>
          </w:tcPr>
          <w:p>
            <w:pPr>
              <w:spacing w:before="0" w:after="0" w:line="252" w:lineRule="auto"/>
              <w:jc w:val="left"/>
            </w:pPr>
            <w:r>
              <w:rPr>
                <w:rFonts w:ascii="Calibri" w:hAnsi="Calibri"/>
                <w:b w:val="0"/>
                <w:i w:val="0"/>
                <w:color w:val="334155"/>
                <w:sz w:val="18"/>
              </w:rPr>
              <w:t>0.0076</w:t>
            </w:r>
          </w:p>
        </w:tc>
      </w:tr>
      <w:tr>
        <w:tc>
          <w:tcPr>
            <w:tcW w:type="dxa" w:w="2304"/>
            <w:tcMar>
              <w:top w:w="80" w:type="dxa"/>
              <w:bottom w:w="80" w:type="dxa"/>
              <w:left w:w="100" w:type="dxa"/>
              <w:right w:w="100" w:type="dxa"/>
            </w:tcMar>
            <w:shd w:fill="F8FAFC"/>
            <w:tcBorders>
              <w:top w:val="single" w:sz="4" w:space="0" w:color="CBD5E1"/>
              <w:bottom w:val="single" w:sz="4" w:space="0" w:color="CBD5E1"/>
              <w:left w:val="none" w:sz="0" w:space="0" w:color="auto"/>
              <w:right w:val="none" w:sz="0" w:space="0" w:color="auto"/>
            </w:tcBorders>
          </w:tcPr>
          <w:p>
            <w:pPr>
              <w:spacing w:before="0" w:after="0" w:line="252" w:lineRule="auto"/>
              <w:jc w:val="left"/>
            </w:pPr>
            <w:r>
              <w:rPr>
                <w:rFonts w:ascii="Calibri" w:hAnsi="Calibri"/>
                <w:b w:val="0"/>
                <w:i w:val="0"/>
                <w:color w:val="334155"/>
                <w:sz w:val="18"/>
              </w:rPr>
              <w:t>Null Model / Baseline</w:t>
            </w:r>
          </w:p>
        </w:tc>
        <w:tc>
          <w:tcPr>
            <w:tcW w:type="dxa" w:w="2592"/>
            <w:tcMar>
              <w:top w:w="80" w:type="dxa"/>
              <w:bottom w:w="80" w:type="dxa"/>
              <w:left w:w="100" w:type="dxa"/>
              <w:right w:w="100" w:type="dxa"/>
            </w:tcMar>
            <w:shd w:fill="F8FAFC"/>
            <w:tcBorders>
              <w:top w:val="single" w:sz="4" w:space="0" w:color="CBD5E1"/>
              <w:bottom w:val="single" w:sz="4" w:space="0" w:color="CBD5E1"/>
              <w:left w:val="none" w:sz="0" w:space="0" w:color="auto"/>
              <w:right w:val="none" w:sz="0" w:space="0" w:color="auto"/>
            </w:tcBorders>
          </w:tcPr>
          <w:p>
            <w:pPr>
              <w:spacing w:before="0" w:after="0" w:line="252" w:lineRule="auto"/>
              <w:jc w:val="left"/>
            </w:pPr>
            <w:r>
              <w:rPr>
                <w:rFonts w:ascii="Calibri" w:hAnsi="Calibri"/>
                <w:b w:val="0"/>
                <w:i w:val="0"/>
                <w:color w:val="334155"/>
                <w:sz w:val="18"/>
              </w:rPr>
              <w:t>Random Guessing Baseline</w:t>
            </w:r>
          </w:p>
        </w:tc>
        <w:tc>
          <w:tcPr>
            <w:tcW w:type="dxa" w:w="1008"/>
            <w:tcMar>
              <w:top w:w="80" w:type="dxa"/>
              <w:bottom w:w="80" w:type="dxa"/>
              <w:left w:w="100" w:type="dxa"/>
              <w:right w:w="100" w:type="dxa"/>
            </w:tcMar>
            <w:shd w:fill="F8FAFC"/>
            <w:tcBorders>
              <w:top w:val="single" w:sz="4" w:space="0" w:color="CBD5E1"/>
              <w:bottom w:val="single" w:sz="4" w:space="0" w:color="CBD5E1"/>
              <w:left w:val="none" w:sz="0" w:space="0" w:color="auto"/>
              <w:right w:val="none" w:sz="0" w:space="0" w:color="auto"/>
            </w:tcBorders>
          </w:tcPr>
          <w:p>
            <w:pPr>
              <w:spacing w:before="0" w:after="0" w:line="252" w:lineRule="auto"/>
              <w:jc w:val="left"/>
            </w:pPr>
            <w:r>
              <w:rPr>
                <w:rFonts w:ascii="Calibri" w:hAnsi="Calibri"/>
                <w:b w:val="0"/>
                <w:i w:val="0"/>
                <w:color w:val="334155"/>
                <w:sz w:val="18"/>
              </w:rPr>
              <w:t>0.0043</w:t>
            </w:r>
          </w:p>
        </w:tc>
        <w:tc>
          <w:tcPr>
            <w:tcW w:type="dxa" w:w="1008"/>
            <w:tcMar>
              <w:top w:w="80" w:type="dxa"/>
              <w:bottom w:w="80" w:type="dxa"/>
              <w:left w:w="100" w:type="dxa"/>
              <w:right w:w="100" w:type="dxa"/>
            </w:tcMar>
            <w:shd w:fill="F8FAFC"/>
            <w:tcBorders>
              <w:top w:val="single" w:sz="4" w:space="0" w:color="CBD5E1"/>
              <w:bottom w:val="single" w:sz="4" w:space="0" w:color="CBD5E1"/>
              <w:left w:val="none" w:sz="0" w:space="0" w:color="auto"/>
              <w:right w:val="none" w:sz="0" w:space="0" w:color="auto"/>
            </w:tcBorders>
          </w:tcPr>
          <w:p>
            <w:pPr>
              <w:spacing w:before="0" w:after="0" w:line="252" w:lineRule="auto"/>
              <w:jc w:val="left"/>
            </w:pPr>
            <w:r>
              <w:rPr>
                <w:rFonts w:ascii="Calibri" w:hAnsi="Calibri"/>
                <w:b w:val="0"/>
                <w:i w:val="0"/>
                <w:color w:val="334155"/>
                <w:sz w:val="18"/>
              </w:rPr>
              <w:t>0.5000</w:t>
            </w:r>
          </w:p>
        </w:tc>
        <w:tc>
          <w:tcPr>
            <w:tcW w:type="dxa" w:w="1152"/>
            <w:tcMar>
              <w:top w:w="80" w:type="dxa"/>
              <w:bottom w:w="80" w:type="dxa"/>
              <w:left w:w="100" w:type="dxa"/>
              <w:right w:w="100" w:type="dxa"/>
            </w:tcMar>
            <w:shd w:fill="F8FAFC"/>
            <w:tcBorders>
              <w:top w:val="single" w:sz="4" w:space="0" w:color="CBD5E1"/>
              <w:bottom w:val="single" w:sz="4" w:space="0" w:color="CBD5E1"/>
              <w:left w:val="none" w:sz="0" w:space="0" w:color="auto"/>
              <w:right w:val="none" w:sz="0" w:space="0" w:color="auto"/>
            </w:tcBorders>
          </w:tcPr>
          <w:p>
            <w:pPr>
              <w:spacing w:before="0" w:after="0" w:line="252" w:lineRule="auto"/>
              <w:jc w:val="left"/>
            </w:pPr>
            <w:r>
              <w:rPr>
                <w:rFonts w:ascii="Calibri" w:hAnsi="Calibri"/>
                <w:b w:val="0"/>
                <w:i w:val="0"/>
                <w:color w:val="334155"/>
                <w:sz w:val="18"/>
              </w:rPr>
              <w:t>0.43%</w:t>
            </w:r>
          </w:p>
        </w:tc>
        <w:tc>
          <w:tcPr>
            <w:tcW w:type="dxa" w:w="1152"/>
            <w:tcMar>
              <w:top w:w="80" w:type="dxa"/>
              <w:bottom w:w="80" w:type="dxa"/>
              <w:left w:w="100" w:type="dxa"/>
              <w:right w:w="100" w:type="dxa"/>
            </w:tcMar>
            <w:shd w:fill="F8FAFC"/>
            <w:tcBorders>
              <w:top w:val="single" w:sz="4" w:space="0" w:color="CBD5E1"/>
              <w:bottom w:val="single" w:sz="4" w:space="0" w:color="CBD5E1"/>
              <w:left w:val="none" w:sz="0" w:space="0" w:color="auto"/>
              <w:right w:val="none" w:sz="0" w:space="0" w:color="auto"/>
            </w:tcBorders>
          </w:tcPr>
          <w:p>
            <w:pPr>
              <w:spacing w:before="0" w:after="0" w:line="252" w:lineRule="auto"/>
              <w:jc w:val="left"/>
            </w:pPr>
            <w:r>
              <w:rPr>
                <w:rFonts w:ascii="Calibri" w:hAnsi="Calibri"/>
                <w:b w:val="0"/>
                <w:i w:val="0"/>
                <w:color w:val="334155"/>
                <w:sz w:val="18"/>
              </w:rPr>
              <w:t>99.57%</w:t>
            </w:r>
          </w:p>
        </w:tc>
        <w:tc>
          <w:tcPr>
            <w:tcW w:type="dxa" w:w="864"/>
            <w:tcMar>
              <w:top w:w="80" w:type="dxa"/>
              <w:bottom w:w="80" w:type="dxa"/>
              <w:left w:w="100" w:type="dxa"/>
              <w:right w:w="100" w:type="dxa"/>
            </w:tcMar>
            <w:shd w:fill="F8FAFC"/>
            <w:tcBorders>
              <w:top w:val="single" w:sz="4" w:space="0" w:color="CBD5E1"/>
              <w:bottom w:val="single" w:sz="4" w:space="0" w:color="CBD5E1"/>
              <w:left w:val="none" w:sz="0" w:space="0" w:color="auto"/>
              <w:right w:val="none" w:sz="0" w:space="0" w:color="auto"/>
            </w:tcBorders>
          </w:tcPr>
          <w:p>
            <w:pPr>
              <w:spacing w:before="0" w:after="0" w:line="252" w:lineRule="auto"/>
              <w:jc w:val="left"/>
            </w:pPr>
            <w:r>
              <w:rPr>
                <w:rFonts w:ascii="Calibri" w:hAnsi="Calibri"/>
                <w:b w:val="0"/>
                <w:i w:val="0"/>
                <w:color w:val="334155"/>
                <w:sz w:val="18"/>
              </w:rPr>
              <w:t>0.0086</w:t>
            </w:r>
          </w:p>
        </w:tc>
      </w:tr>
    </w:tbl>
    <w:p>
      <w:pPr>
        <w:spacing w:before="60" w:after="60"/>
      </w:pPr>
    </w:p>
    <w:p>
      <w:pPr>
        <w:keepNext/>
        <w:spacing w:before="240" w:after="80"/>
      </w:pPr>
      <w:r>
        <w:rPr>
          <w:rFonts w:ascii="Calibri" w:hAnsi="Calibri"/>
          <w:b/>
          <w:i w:val="0"/>
          <w:color w:val="2563EB"/>
          <w:sz w:val="28"/>
        </w:rPr>
        <w:t>6.2 Scientific Honesty: The Matrix A vs Matrix B Ablation</w:t>
      </w:r>
    </w:p>
    <w:p>
      <w:pPr>
        <w:spacing w:before="0" w:after="100" w:line="276" w:lineRule="auto"/>
      </w:pPr>
      <w:r>
        <w:rPr>
          <w:rFonts w:ascii="Calibri" w:hAnsi="Calibri"/>
          <w:b w:val="0"/>
          <w:i w:val="0"/>
          <w:color w:val="334155"/>
          <w:sz w:val="21"/>
        </w:rPr>
        <w:t>A critical scientific question in cardiology AI is whether consumer smartwatches (which typically possess only PPG and single-lead heart rate sensors, but lack continuous multi-lead ST tracking) can reliably predict myocardial ischemia before it strikes. To answer this conclusively, BeatAhead conducted an exhaustive ablation study comparing Matrix A (all 26 features including ST repolarization) against Matrix B (19 features with all ST features excised).</w:t>
      </w:r>
    </w:p>
    <w:p>
      <w:pPr>
        <w:keepNext/>
        <w:spacing w:before="160" w:after="80"/>
        <w:jc w:val="center"/>
      </w:pPr>
      <w:r>
        <w:drawing>
          <wp:inline xmlns:a="http://schemas.openxmlformats.org/drawingml/2006/main" xmlns:pic="http://schemas.openxmlformats.org/drawingml/2006/picture">
            <wp:extent cx="5486400" cy="3323968"/>
            <wp:docPr id="6" name="Picture 6"/>
            <wp:cNvGraphicFramePr>
              <a:graphicFrameLocks noChangeAspect="1"/>
            </wp:cNvGraphicFramePr>
            <a:graphic>
              <a:graphicData uri="http://schemas.openxmlformats.org/drawingml/2006/picture">
                <pic:pic>
                  <pic:nvPicPr>
                    <pic:cNvPr id="0" name="fig4_matrix_comparison.png"/>
                    <pic:cNvPicPr/>
                  </pic:nvPicPr>
                  <pic:blipFill>
                    <a:blip r:embed="rId16"/>
                    <a:stretch>
                      <a:fillRect/>
                    </a:stretch>
                  </pic:blipFill>
                  <pic:spPr>
                    <a:xfrm>
                      <a:off x="0" y="0"/>
                      <a:ext cx="5486400" cy="3323968"/>
                    </a:xfrm>
                    <a:prstGeom prst="rect"/>
                  </pic:spPr>
                </pic:pic>
              </a:graphicData>
            </a:graphic>
          </wp:inline>
        </w:drawing>
      </w:r>
    </w:p>
    <w:p>
      <w:pPr>
        <w:spacing w:before="0" w:after="200"/>
        <w:jc w:val="center"/>
      </w:pPr>
      <w:r>
        <w:rPr>
          <w:rFonts w:ascii="Calibri" w:hAnsi="Calibri"/>
          <w:b/>
          <w:i w:val="0"/>
          <w:color w:val="1E3A8A"/>
          <w:sz w:val="19"/>
        </w:rPr>
        <w:t xml:space="preserve">Figure 5: </w:t>
      </w:r>
      <w:r>
        <w:rPr>
          <w:rFonts w:ascii="Calibri" w:hAnsi="Calibri"/>
          <w:b w:val="0"/>
          <w:i/>
          <w:color w:val="64748B"/>
          <w:sz w:val="19"/>
        </w:rPr>
        <w:t>Empirical Matrix A vs Matrix B Comparison. Removal of ST repolarization features in Matrix B causes predictive discrimination to collapse across every tested algorithm (PR-AUC drops from ~0.39 to ~0.006, AUROC drops from ~0.90 to ~0.53).</w:t>
      </w:r>
    </w:p>
    <w:tbl>
      <w:tblPr>
        <w:tblW w:type="auto" w:w="0"/>
        <w:jc w:val="center"/>
        <w:tblLayout w:type="fixed"/>
        <w:tblLook w:firstColumn="1" w:firstRow="1" w:lastColumn="0" w:lastRow="0" w:noHBand="0" w:noVBand="1" w:val="04A0"/>
      </w:tblPr>
      <w:tblGrid>
        <w:gridCol w:w="10080"/>
      </w:tblGrid>
      <w:tr>
        <w:tc>
          <w:tcPr>
            <w:tcW w:type="dxa" w:w="10080"/>
            <w:tcMar>
              <w:top w:w="140" w:type="dxa"/>
              <w:bottom w:w="140" w:type="dxa"/>
              <w:left w:w="180" w:type="dxa"/>
              <w:right w:w="160" w:type="dxa"/>
            </w:tcMar>
            <w:shd w:fill="FEF2F2"/>
            <w:tcBorders>
              <w:top w:val="none" w:sz="0" w:space="0" w:color="auto"/>
              <w:bottom w:val="none" w:sz="0" w:space="0" w:color="auto"/>
              <w:left w:val="single" w:sz="36" w:space="0" w:color="DC2626"/>
              <w:right w:val="none" w:sz="0" w:space="0" w:color="auto"/>
            </w:tcBorders>
          </w:tcPr>
          <w:p>
            <w:pPr>
              <w:spacing w:before="0" w:after="60" w:line="276" w:lineRule="auto"/>
            </w:pPr>
            <w:r>
              <w:rPr>
                <w:rFonts w:ascii="Calibri" w:hAnsi="Calibri"/>
                <w:b/>
                <w:i w:val="0"/>
                <w:color w:val="DC2626"/>
                <w:sz w:val="22"/>
              </w:rPr>
              <w:t>✦ Critical Scientific Discovery</w:t>
              <w:br/>
            </w:r>
            <w:r>
              <w:rPr>
                <w:rFonts w:ascii="Calibri" w:hAnsi="Calibri"/>
                <w:b w:val="0"/>
                <w:i w:val="0"/>
                <w:color w:val="0F172A"/>
                <w:sz w:val="20"/>
              </w:rPr>
              <w:t>Peripheral autonomic and vascular biomarkers alone (HR, HRV, PPG amplitude, Pulse Arrival Time, SpO2) are physiologically INSUFFICIENT for prospective prediction of myocardial ischemia without cardiac repolarization (ST) features.</w:t>
              <w:br/>
              <w:br/>
              <w:t>While peripheral metrics indicate generalized sympathetic arousal and vasoconstriction, cardiac repolarization strain is the mandatory hallmark that differentiates ischemic coronary hypoperfusion from harmless emotional stress or exercise.</w:t>
            </w:r>
          </w:p>
        </w:tc>
      </w:tr>
    </w:tbl>
    <w:p>
      <w:pPr>
        <w:spacing w:before="40" w:after="40"/>
      </w:pPr>
    </w:p>
    <w:p>
      <w:pPr>
        <w:keepNext/>
        <w:spacing w:before="160" w:after="80"/>
        <w:jc w:val="center"/>
      </w:pPr>
      <w:r>
        <w:drawing>
          <wp:inline xmlns:a="http://schemas.openxmlformats.org/drawingml/2006/main" xmlns:pic="http://schemas.openxmlformats.org/drawingml/2006/picture">
            <wp:extent cx="5303520" cy="3437070"/>
            <wp:docPr id="7" name="Picture 7"/>
            <wp:cNvGraphicFramePr>
              <a:graphicFrameLocks noChangeAspect="1"/>
            </wp:cNvGraphicFramePr>
            <a:graphic>
              <a:graphicData uri="http://schemas.openxmlformats.org/drawingml/2006/picture">
                <pic:pic>
                  <pic:nvPicPr>
                    <pic:cNvPr id="0" name="fig7_feature_importance.png"/>
                    <pic:cNvPicPr/>
                  </pic:nvPicPr>
                  <pic:blipFill>
                    <a:blip r:embed="rId17"/>
                    <a:stretch>
                      <a:fillRect/>
                    </a:stretch>
                  </pic:blipFill>
                  <pic:spPr>
                    <a:xfrm>
                      <a:off x="0" y="0"/>
                      <a:ext cx="5303520" cy="3437070"/>
                    </a:xfrm>
                    <a:prstGeom prst="rect"/>
                  </pic:spPr>
                </pic:pic>
              </a:graphicData>
            </a:graphic>
          </wp:inline>
        </w:drawing>
      </w:r>
    </w:p>
    <w:p>
      <w:pPr>
        <w:spacing w:before="0" w:after="200"/>
        <w:jc w:val="center"/>
      </w:pPr>
      <w:r>
        <w:rPr>
          <w:rFonts w:ascii="Calibri" w:hAnsi="Calibri"/>
          <w:b/>
          <w:i w:val="0"/>
          <w:color w:val="1E3A8A"/>
          <w:sz w:val="19"/>
        </w:rPr>
        <w:t xml:space="preserve">Figure 6: </w:t>
      </w:r>
      <w:r>
        <w:rPr>
          <w:rFonts w:ascii="Calibri" w:hAnsi="Calibri"/>
          <w:b w:val="0"/>
          <w:i/>
          <w:color w:val="64748B"/>
          <w:sz w:val="19"/>
        </w:rPr>
        <w:t>Qualitative Feature Importance Ranking from XGBoost. Repolarization metrics (ST median, ST delta baseline, and ST min) dominate tree split gains, followed closely by autonomic dynamics (RMSSD, HR mean) and vascular transit stability (PAT IQR).</w:t>
      </w:r>
    </w:p>
    <w:p>
      <w:pPr>
        <w:keepNext/>
        <w:spacing w:before="160" w:after="80"/>
        <w:jc w:val="center"/>
      </w:pPr>
      <w:r>
        <w:drawing>
          <wp:inline xmlns:a="http://schemas.openxmlformats.org/drawingml/2006/main" xmlns:pic="http://schemas.openxmlformats.org/drawingml/2006/picture">
            <wp:extent cx="5029200" cy="4597314"/>
            <wp:docPr id="8" name="Picture 8"/>
            <wp:cNvGraphicFramePr>
              <a:graphicFrameLocks noChangeAspect="1"/>
            </wp:cNvGraphicFramePr>
            <a:graphic>
              <a:graphicData uri="http://schemas.openxmlformats.org/drawingml/2006/picture">
                <pic:pic>
                  <pic:nvPicPr>
                    <pic:cNvPr id="0" name="fig6_confusion_matrix.png"/>
                    <pic:cNvPicPr/>
                  </pic:nvPicPr>
                  <pic:blipFill>
                    <a:blip r:embed="rId18"/>
                    <a:stretch>
                      <a:fillRect/>
                    </a:stretch>
                  </pic:blipFill>
                  <pic:spPr>
                    <a:xfrm>
                      <a:off x="0" y="0"/>
                      <a:ext cx="5029200" cy="4597314"/>
                    </a:xfrm>
                    <a:prstGeom prst="rect"/>
                  </pic:spPr>
                </pic:pic>
              </a:graphicData>
            </a:graphic>
          </wp:inline>
        </w:drawing>
      </w:r>
    </w:p>
    <w:p>
      <w:pPr>
        <w:spacing w:before="0" w:after="200"/>
        <w:jc w:val="center"/>
      </w:pPr>
      <w:r>
        <w:rPr>
          <w:rFonts w:ascii="Calibri" w:hAnsi="Calibri"/>
          <w:b/>
          <w:i w:val="0"/>
          <w:color w:val="1E3A8A"/>
          <w:sz w:val="19"/>
        </w:rPr>
        <w:t xml:space="preserve">Figure 7: </w:t>
      </w:r>
      <w:r>
        <w:rPr>
          <w:rFonts w:ascii="Calibri" w:hAnsi="Calibri"/>
          <w:b w:val="0"/>
          <w:i/>
          <w:color w:val="64748B"/>
          <w:sz w:val="19"/>
        </w:rPr>
        <w:t>Diagnostic Confusion Matrix at Frozen Decision Threshold (0.156742). Over 81% of true prospective ischemic episodes are successfully flagged with a 5-minute advance lead time, providing actionable warning with a Negative Predictive Value &gt; 99.8%.</w:t>
      </w:r>
    </w:p>
    <w:p>
      <w:pPr>
        <w:keepNext/>
        <w:spacing w:before="320" w:after="120"/>
        <w:pBdr>
          <w:bottom w:val="single" w:sz="12" w:space="4" w:color="2563EB"/>
        </w:pBdr>
      </w:pPr>
      <w:r>
        <w:rPr>
          <w:rFonts w:ascii="Calibri" w:hAnsi="Calibri"/>
          <w:b/>
          <w:i w:val="0"/>
          <w:color w:val="1E3A8A"/>
          <w:sz w:val="36"/>
        </w:rPr>
        <w:t>7. Ischemic Stress Index (ISI) &amp; Personal Baseline Architecture</w:t>
      </w:r>
    </w:p>
    <w:p>
      <w:pPr>
        <w:spacing w:before="0" w:after="100" w:line="276" w:lineRule="auto"/>
      </w:pPr>
      <w:r>
        <w:rPr>
          <w:rFonts w:ascii="Calibri" w:hAnsi="Calibri"/>
          <w:b w:val="0"/>
          <w:i w:val="0"/>
          <w:color w:val="334155"/>
          <w:sz w:val="21"/>
        </w:rPr>
        <w:t>While raw machine learning probabilities provide vital diagnostic evidence, clinical adoption requires a normalized, intuitive, and longitudinally consistent metric. BeatAhead synthesizes raw model evidence, personal baseline deviations, peripheral perfusion factors, and temporal trajectories into a single composite score: the Ischemic Stress Index (ISI: 0 to 100).</w:t>
      </w:r>
    </w:p>
    <w:p>
      <w:pPr>
        <w:keepNext/>
        <w:spacing w:before="240" w:after="80"/>
      </w:pPr>
      <w:r>
        <w:rPr>
          <w:rFonts w:ascii="Calibri" w:hAnsi="Calibri"/>
          <w:b/>
          <w:i w:val="0"/>
          <w:color w:val="2563EB"/>
          <w:sz w:val="28"/>
        </w:rPr>
        <w:t>7.1 Rolling Personal Baseline Formulation</w:t>
      </w:r>
    </w:p>
    <w:p>
      <w:pPr>
        <w:spacing w:before="0" w:after="100" w:line="276" w:lineRule="auto"/>
      </w:pPr>
      <w:r>
        <w:rPr>
          <w:rFonts w:ascii="Calibri" w:hAnsi="Calibri"/>
          <w:b w:val="0"/>
          <w:i w:val="0"/>
          <w:color w:val="334155"/>
          <w:sz w:val="21"/>
        </w:rPr>
        <w:t>Every individual possesses a unique physiological signature governed by age, baseline fitness, autonomic tone, and medications (e.g., beta-blockers, ACE inhibitors). BeatAhead dynamically tracks each user's rolling 7-day resting baseline across heart rate, HRV (SDNN), SpO2, and ST-segment position. Current physiological observations are evaluated as z-score deviations from the user's personal baseline:</w:t>
      </w:r>
    </w:p>
    <w:p>
      <w:pPr>
        <w:spacing w:before="0" w:after="100" w:line="276" w:lineRule="auto"/>
      </w:pPr>
      <w:r>
        <w:rPr>
          <w:rFonts w:ascii="Calibri" w:hAnsi="Calibri"/>
          <w:b w:val="0"/>
          <w:i w:val="0"/>
          <w:color w:val="334155"/>
          <w:sz w:val="21"/>
        </w:rPr>
        <w:t>Δ_ST = ST_observed - ST_personal_baseline</w:t>
        <w:br/>
        <w:t>Δ_HR = (HR_observed - HR_personal_baseline) / σ_HR</w:t>
        <w:br/>
        <w:t>Δ_HRV = (HRV_personal_baseline - HRV_observed) / σ_HRV</w:t>
      </w:r>
    </w:p>
    <w:p>
      <w:pPr>
        <w:keepNext/>
        <w:spacing w:before="240" w:after="80"/>
      </w:pPr>
      <w:r>
        <w:rPr>
          <w:rFonts w:ascii="Calibri" w:hAnsi="Calibri"/>
          <w:b/>
          <w:i w:val="0"/>
          <w:color w:val="2563EB"/>
          <w:sz w:val="28"/>
        </w:rPr>
        <w:t>7.2 The Composite ISI Formula</w:t>
      </w:r>
    </w:p>
    <w:p>
      <w:pPr>
        <w:spacing w:before="0" w:after="100" w:line="276" w:lineRule="auto"/>
      </w:pPr>
      <w:r>
        <w:rPr>
          <w:rFonts w:ascii="Calibri" w:hAnsi="Calibri"/>
          <w:b w:val="0"/>
          <w:i w:val="0"/>
          <w:color w:val="334155"/>
          <w:sz w:val="21"/>
        </w:rPr>
        <w:t>The Ischemic Stress Index is computed via calibrated multi-factor synthesis:</w:t>
      </w:r>
    </w:p>
    <w:p>
      <w:pPr>
        <w:spacing w:before="0" w:after="100" w:line="276" w:lineRule="auto"/>
      </w:pPr>
      <w:r>
        <w:rPr>
          <w:rFonts w:ascii="Calibri" w:hAnsi="Calibri"/>
          <w:b w:val="0"/>
          <w:i w:val="0"/>
          <w:color w:val="334155"/>
          <w:sz w:val="21"/>
        </w:rPr>
        <w:t>ISI = 100 × [ w_model · P(Ischemia) + w_st · f(Δ_ST) + w_autonomic · g(Δ_HR, Δ_HRV) + w_perfusion · h(PPG_PI, SpO2) ] × C_signal_quality</w:t>
      </w:r>
    </w:p>
    <w:p>
      <w:pPr>
        <w:pStyle w:val="ListBullet"/>
        <w:spacing w:before="20" w:after="60" w:line="276" w:lineRule="auto"/>
      </w:pPr>
      <w:r>
        <w:rPr>
          <w:rFonts w:ascii="Calibri" w:hAnsi="Calibri"/>
          <w:b/>
          <w:i w:val="0"/>
          <w:color w:val="0F172A"/>
          <w:sz w:val="21"/>
        </w:rPr>
        <w:t xml:space="preserve">Model Evidence (w_model = 0.50): </w:t>
      </w:r>
      <w:r>
        <w:rPr>
          <w:rFonts w:ascii="Calibri" w:hAnsi="Calibri"/>
          <w:b w:val="0"/>
          <w:i w:val="0"/>
          <w:color w:val="334155"/>
          <w:sz w:val="21"/>
        </w:rPr>
        <w:t>Continuous probability from the frozen 150-tree XGBoost model.</w:t>
      </w:r>
    </w:p>
    <w:p>
      <w:pPr>
        <w:pStyle w:val="ListBullet"/>
        <w:spacing w:before="20" w:after="60" w:line="276" w:lineRule="auto"/>
      </w:pPr>
      <w:r>
        <w:rPr>
          <w:rFonts w:ascii="Calibri" w:hAnsi="Calibri"/>
          <w:b/>
          <w:i w:val="0"/>
          <w:color w:val="0F172A"/>
          <w:sz w:val="21"/>
        </w:rPr>
        <w:t xml:space="preserve">Repolarization Deviation (w_st = 0.25): </w:t>
      </w:r>
      <w:r>
        <w:rPr>
          <w:rFonts w:ascii="Calibri" w:hAnsi="Calibri"/>
          <w:b w:val="0"/>
          <w:i w:val="0"/>
          <w:color w:val="334155"/>
          <w:sz w:val="21"/>
        </w:rPr>
        <w:t>Magnified penalty for progressive subendocardial ST depression below personal baseline.</w:t>
      </w:r>
    </w:p>
    <w:p>
      <w:pPr>
        <w:pStyle w:val="ListBullet"/>
        <w:spacing w:before="20" w:after="60" w:line="276" w:lineRule="auto"/>
      </w:pPr>
      <w:r>
        <w:rPr>
          <w:rFonts w:ascii="Calibri" w:hAnsi="Calibri"/>
          <w:b/>
          <w:i w:val="0"/>
          <w:color w:val="0F172A"/>
          <w:sz w:val="21"/>
        </w:rPr>
        <w:t xml:space="preserve">Autonomic Stress Factor (w_autonomic = 0.15): </w:t>
      </w:r>
      <w:r>
        <w:rPr>
          <w:rFonts w:ascii="Calibri" w:hAnsi="Calibri"/>
          <w:b w:val="0"/>
          <w:i w:val="0"/>
          <w:color w:val="334155"/>
          <w:sz w:val="21"/>
        </w:rPr>
        <w:t>Detects vagal withdrawal (dropping RMSSD) paired with tachycardia.</w:t>
      </w:r>
    </w:p>
    <w:p>
      <w:pPr>
        <w:pStyle w:val="ListBullet"/>
        <w:spacing w:before="20" w:after="60" w:line="276" w:lineRule="auto"/>
      </w:pPr>
      <w:r>
        <w:rPr>
          <w:rFonts w:ascii="Calibri" w:hAnsi="Calibri"/>
          <w:b/>
          <w:i w:val="0"/>
          <w:color w:val="0F172A"/>
          <w:sz w:val="21"/>
        </w:rPr>
        <w:t xml:space="preserve">Peripheral Perfusion Penalty (w_perfusion = 0.10): </w:t>
      </w:r>
      <w:r>
        <w:rPr>
          <w:rFonts w:ascii="Calibri" w:hAnsi="Calibri"/>
          <w:b w:val="0"/>
          <w:i w:val="0"/>
          <w:color w:val="334155"/>
          <w:sz w:val="21"/>
        </w:rPr>
        <w:t>Penalizes microvascular vasoconstriction (low Perfusion Index) or arterial desaturations.</w:t>
      </w:r>
    </w:p>
    <w:p>
      <w:pPr>
        <w:pStyle w:val="ListBullet"/>
        <w:spacing w:before="20" w:after="60" w:line="276" w:lineRule="auto"/>
      </w:pPr>
      <w:r>
        <w:rPr>
          <w:rFonts w:ascii="Calibri" w:hAnsi="Calibri"/>
          <w:b/>
          <w:i w:val="0"/>
          <w:color w:val="0F172A"/>
          <w:sz w:val="21"/>
        </w:rPr>
        <w:t xml:space="preserve">Signal Quality Gating (C_signal_quality): </w:t>
      </w:r>
      <w:r>
        <w:rPr>
          <w:rFonts w:ascii="Calibri" w:hAnsi="Calibri"/>
          <w:b w:val="0"/>
          <w:i w:val="0"/>
          <w:color w:val="334155"/>
          <w:sz w:val="21"/>
        </w:rPr>
        <w:t>Multiplicative confidence factor that damps false alarms when motion artifacts degrade ECG or PPG quality.</w:t>
      </w:r>
    </w:p>
    <w:p>
      <w:pPr>
        <w:keepNext/>
        <w:spacing w:before="240" w:after="80"/>
      </w:pPr>
      <w:r>
        <w:rPr>
          <w:rFonts w:ascii="Calibri" w:hAnsi="Calibri"/>
          <w:b/>
          <w:i w:val="0"/>
          <w:color w:val="2563EB"/>
          <w:sz w:val="28"/>
        </w:rPr>
        <w:t>7.3 ISI Clinical Tiers &amp; Action Protocols</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1440"/>
            <w:tcMar>
              <w:top w:w="120" w:type="dxa"/>
              <w:bottom w:w="120" w:type="dxa"/>
              <w:left w:w="100" w:type="dxa"/>
              <w:right w:w="100" w:type="dxa"/>
            </w:tcMar>
            <w:shd w:fill="1E3A8A"/>
            <w:tcBorders>
              <w:top w:val="single" w:sz="8" w:space="0" w:color="1E3A8A"/>
              <w:bottom w:val="single" w:sz="16" w:space="0" w:color="CBD5E1"/>
              <w:left w:val="none" w:sz="0" w:space="0" w:color="auto"/>
              <w:right w:val="none" w:sz="0" w:space="0" w:color="auto"/>
            </w:tcBorders>
          </w:tcPr>
          <w:p>
            <w:pPr>
              <w:spacing w:before="0" w:after="0"/>
              <w:jc w:val="left"/>
            </w:pPr>
            <w:r>
              <w:rPr>
                <w:rFonts w:ascii="Calibri" w:hAnsi="Calibri"/>
                <w:b/>
                <w:i w:val="0"/>
                <w:color w:val="FFFFFF"/>
                <w:sz w:val="19"/>
              </w:rPr>
              <w:t>Score Range</w:t>
            </w:r>
          </w:p>
        </w:tc>
        <w:tc>
          <w:tcPr>
            <w:tcW w:type="dxa" w:w="2304"/>
            <w:tcMar>
              <w:top w:w="120" w:type="dxa"/>
              <w:bottom w:w="120" w:type="dxa"/>
              <w:left w:w="100" w:type="dxa"/>
              <w:right w:w="100" w:type="dxa"/>
            </w:tcMar>
            <w:shd w:fill="1E3A8A"/>
            <w:tcBorders>
              <w:top w:val="single" w:sz="8" w:space="0" w:color="1E3A8A"/>
              <w:bottom w:val="single" w:sz="16" w:space="0" w:color="CBD5E1"/>
              <w:left w:val="none" w:sz="0" w:space="0" w:color="auto"/>
              <w:right w:val="none" w:sz="0" w:space="0" w:color="auto"/>
            </w:tcBorders>
          </w:tcPr>
          <w:p>
            <w:pPr>
              <w:spacing w:before="0" w:after="0"/>
              <w:jc w:val="left"/>
            </w:pPr>
            <w:r>
              <w:rPr>
                <w:rFonts w:ascii="Calibri" w:hAnsi="Calibri"/>
                <w:b/>
                <w:i w:val="0"/>
                <w:color w:val="FFFFFF"/>
                <w:sz w:val="19"/>
              </w:rPr>
              <w:t>Clinical Risk Tier</w:t>
            </w:r>
          </w:p>
        </w:tc>
        <w:tc>
          <w:tcPr>
            <w:tcW w:type="dxa" w:w="3168"/>
            <w:tcMar>
              <w:top w:w="120" w:type="dxa"/>
              <w:bottom w:w="120" w:type="dxa"/>
              <w:left w:w="100" w:type="dxa"/>
              <w:right w:w="100" w:type="dxa"/>
            </w:tcMar>
            <w:shd w:fill="1E3A8A"/>
            <w:tcBorders>
              <w:top w:val="single" w:sz="8" w:space="0" w:color="1E3A8A"/>
              <w:bottom w:val="single" w:sz="16" w:space="0" w:color="CBD5E1"/>
              <w:left w:val="none" w:sz="0" w:space="0" w:color="auto"/>
              <w:right w:val="none" w:sz="0" w:space="0" w:color="auto"/>
            </w:tcBorders>
          </w:tcPr>
          <w:p>
            <w:pPr>
              <w:spacing w:before="0" w:after="0"/>
              <w:jc w:val="left"/>
            </w:pPr>
            <w:r>
              <w:rPr>
                <w:rFonts w:ascii="Calibri" w:hAnsi="Calibri"/>
                <w:b/>
                <w:i w:val="0"/>
                <w:color w:val="FFFFFF"/>
                <w:sz w:val="19"/>
              </w:rPr>
              <w:t>Physiological State</w:t>
            </w:r>
          </w:p>
        </w:tc>
        <w:tc>
          <w:tcPr>
            <w:tcW w:type="dxa" w:w="3168"/>
            <w:tcMar>
              <w:top w:w="120" w:type="dxa"/>
              <w:bottom w:w="120" w:type="dxa"/>
              <w:left w:w="100" w:type="dxa"/>
              <w:right w:w="100" w:type="dxa"/>
            </w:tcMar>
            <w:shd w:fill="1E3A8A"/>
            <w:tcBorders>
              <w:top w:val="single" w:sz="8" w:space="0" w:color="1E3A8A"/>
              <w:bottom w:val="single" w:sz="16" w:space="0" w:color="CBD5E1"/>
              <w:left w:val="none" w:sz="0" w:space="0" w:color="auto"/>
              <w:right w:val="none" w:sz="0" w:space="0" w:color="auto"/>
            </w:tcBorders>
          </w:tcPr>
          <w:p>
            <w:pPr>
              <w:spacing w:before="0" w:after="0"/>
              <w:jc w:val="left"/>
            </w:pPr>
            <w:r>
              <w:rPr>
                <w:rFonts w:ascii="Calibri" w:hAnsi="Calibri"/>
                <w:b/>
                <w:i w:val="0"/>
                <w:color w:val="FFFFFF"/>
                <w:sz w:val="19"/>
              </w:rPr>
              <w:t>System Action &amp; Recommendation</w:t>
            </w:r>
          </w:p>
        </w:tc>
      </w:tr>
      <w:tr>
        <w:tc>
          <w:tcPr>
            <w:tcW w:type="dxa" w:w="1440"/>
            <w:tcMar>
              <w:top w:w="80" w:type="dxa"/>
              <w:bottom w:w="80" w:type="dxa"/>
              <w:left w:w="100" w:type="dxa"/>
              <w:right w:w="100" w:type="dxa"/>
            </w:tcMar>
            <w:shd w:fill="FFFFFF"/>
            <w:tcBorders>
              <w:top w:val="single" w:sz="4" w:space="0" w:color="CBD5E1"/>
              <w:bottom w:val="single" w:sz="4" w:space="0" w:color="CBD5E1"/>
              <w:left w:val="none" w:sz="0" w:space="0" w:color="auto"/>
              <w:right w:val="none" w:sz="0" w:space="0" w:color="auto"/>
            </w:tcBorders>
          </w:tcPr>
          <w:p>
            <w:pPr>
              <w:spacing w:before="0" w:after="0" w:line="252" w:lineRule="auto"/>
              <w:jc w:val="left"/>
            </w:pPr>
            <w:r>
              <w:rPr>
                <w:rFonts w:ascii="Calibri" w:hAnsi="Calibri"/>
                <w:b w:val="0"/>
                <w:i w:val="0"/>
                <w:color w:val="334155"/>
                <w:sz w:val="18"/>
              </w:rPr>
              <w:t>0 — 35</w:t>
            </w:r>
          </w:p>
        </w:tc>
        <w:tc>
          <w:tcPr>
            <w:tcW w:type="dxa" w:w="2304"/>
            <w:tcMar>
              <w:top w:w="80" w:type="dxa"/>
              <w:bottom w:w="80" w:type="dxa"/>
              <w:left w:w="100" w:type="dxa"/>
              <w:right w:w="100" w:type="dxa"/>
            </w:tcMar>
            <w:shd w:fill="FFFFFF"/>
            <w:tcBorders>
              <w:top w:val="single" w:sz="4" w:space="0" w:color="CBD5E1"/>
              <w:bottom w:val="single" w:sz="4" w:space="0" w:color="CBD5E1"/>
              <w:left w:val="none" w:sz="0" w:space="0" w:color="auto"/>
              <w:right w:val="none" w:sz="0" w:space="0" w:color="auto"/>
            </w:tcBorders>
          </w:tcPr>
          <w:p>
            <w:pPr>
              <w:spacing w:before="0" w:after="0" w:line="252" w:lineRule="auto"/>
              <w:jc w:val="left"/>
            </w:pPr>
            <w:r>
              <w:rPr>
                <w:rFonts w:ascii="Calibri" w:hAnsi="Calibri"/>
                <w:b w:val="0"/>
                <w:i w:val="0"/>
                <w:color w:val="334155"/>
                <w:sz w:val="18"/>
              </w:rPr>
              <w:t>Normal / Protected</w:t>
            </w:r>
          </w:p>
        </w:tc>
        <w:tc>
          <w:tcPr>
            <w:tcW w:type="dxa" w:w="3168"/>
            <w:tcMar>
              <w:top w:w="80" w:type="dxa"/>
              <w:bottom w:w="80" w:type="dxa"/>
              <w:left w:w="100" w:type="dxa"/>
              <w:right w:w="100" w:type="dxa"/>
            </w:tcMar>
            <w:shd w:fill="FFFFFF"/>
            <w:tcBorders>
              <w:top w:val="single" w:sz="4" w:space="0" w:color="CBD5E1"/>
              <w:bottom w:val="single" w:sz="4" w:space="0" w:color="CBD5E1"/>
              <w:left w:val="none" w:sz="0" w:space="0" w:color="auto"/>
              <w:right w:val="none" w:sz="0" w:space="0" w:color="auto"/>
            </w:tcBorders>
          </w:tcPr>
          <w:p>
            <w:pPr>
              <w:spacing w:before="0" w:after="0" w:line="252" w:lineRule="auto"/>
              <w:jc w:val="left"/>
            </w:pPr>
            <w:r>
              <w:rPr>
                <w:rFonts w:ascii="Calibri" w:hAnsi="Calibri"/>
                <w:b w:val="0"/>
                <w:i w:val="0"/>
                <w:color w:val="334155"/>
                <w:sz w:val="18"/>
              </w:rPr>
              <w:t>Stable resting vitals; signals within personal baseline range</w:t>
            </w:r>
          </w:p>
        </w:tc>
        <w:tc>
          <w:tcPr>
            <w:tcW w:type="dxa" w:w="3168"/>
            <w:tcMar>
              <w:top w:w="80" w:type="dxa"/>
              <w:bottom w:w="80" w:type="dxa"/>
              <w:left w:w="100" w:type="dxa"/>
              <w:right w:w="100" w:type="dxa"/>
            </w:tcMar>
            <w:shd w:fill="FFFFFF"/>
            <w:tcBorders>
              <w:top w:val="single" w:sz="4" w:space="0" w:color="CBD5E1"/>
              <w:bottom w:val="single" w:sz="4" w:space="0" w:color="CBD5E1"/>
              <w:left w:val="none" w:sz="0" w:space="0" w:color="auto"/>
              <w:right w:val="none" w:sz="0" w:space="0" w:color="auto"/>
            </w:tcBorders>
          </w:tcPr>
          <w:p>
            <w:pPr>
              <w:spacing w:before="0" w:after="0" w:line="252" w:lineRule="auto"/>
              <w:jc w:val="left"/>
            </w:pPr>
            <w:r>
              <w:rPr>
                <w:rFonts w:ascii="Calibri" w:hAnsi="Calibri"/>
                <w:b w:val="0"/>
                <w:i w:val="0"/>
                <w:color w:val="334155"/>
                <w:sz w:val="18"/>
              </w:rPr>
              <w:t>Green Status: Normal daily activity; continue passive background monitoring</w:t>
            </w:r>
          </w:p>
        </w:tc>
      </w:tr>
      <w:tr>
        <w:tc>
          <w:tcPr>
            <w:tcW w:type="dxa" w:w="1440"/>
            <w:tcMar>
              <w:top w:w="80" w:type="dxa"/>
              <w:bottom w:w="80" w:type="dxa"/>
              <w:left w:w="100" w:type="dxa"/>
              <w:right w:w="100" w:type="dxa"/>
            </w:tcMar>
            <w:shd w:fill="F8FAFC"/>
            <w:tcBorders>
              <w:top w:val="single" w:sz="4" w:space="0" w:color="CBD5E1"/>
              <w:bottom w:val="single" w:sz="4" w:space="0" w:color="CBD5E1"/>
              <w:left w:val="none" w:sz="0" w:space="0" w:color="auto"/>
              <w:right w:val="none" w:sz="0" w:space="0" w:color="auto"/>
            </w:tcBorders>
          </w:tcPr>
          <w:p>
            <w:pPr>
              <w:spacing w:before="0" w:after="0" w:line="252" w:lineRule="auto"/>
              <w:jc w:val="left"/>
            </w:pPr>
            <w:r>
              <w:rPr>
                <w:rFonts w:ascii="Calibri" w:hAnsi="Calibri"/>
                <w:b w:val="0"/>
                <w:i w:val="0"/>
                <w:color w:val="334155"/>
                <w:sz w:val="18"/>
              </w:rPr>
              <w:t>36 — 55</w:t>
            </w:r>
          </w:p>
        </w:tc>
        <w:tc>
          <w:tcPr>
            <w:tcW w:type="dxa" w:w="2304"/>
            <w:tcMar>
              <w:top w:w="80" w:type="dxa"/>
              <w:bottom w:w="80" w:type="dxa"/>
              <w:left w:w="100" w:type="dxa"/>
              <w:right w:w="100" w:type="dxa"/>
            </w:tcMar>
            <w:shd w:fill="F8FAFC"/>
            <w:tcBorders>
              <w:top w:val="single" w:sz="4" w:space="0" w:color="CBD5E1"/>
              <w:bottom w:val="single" w:sz="4" w:space="0" w:color="CBD5E1"/>
              <w:left w:val="none" w:sz="0" w:space="0" w:color="auto"/>
              <w:right w:val="none" w:sz="0" w:space="0" w:color="auto"/>
            </w:tcBorders>
          </w:tcPr>
          <w:p>
            <w:pPr>
              <w:spacing w:before="0" w:after="0" w:line="252" w:lineRule="auto"/>
              <w:jc w:val="left"/>
            </w:pPr>
            <w:r>
              <w:rPr>
                <w:rFonts w:ascii="Calibri" w:hAnsi="Calibri"/>
                <w:b w:val="0"/>
                <w:i w:val="0"/>
                <w:color w:val="334155"/>
                <w:sz w:val="18"/>
              </w:rPr>
              <w:t>Mild Physiological Strain</w:t>
            </w:r>
          </w:p>
        </w:tc>
        <w:tc>
          <w:tcPr>
            <w:tcW w:type="dxa" w:w="3168"/>
            <w:tcMar>
              <w:top w:w="80" w:type="dxa"/>
              <w:bottom w:w="80" w:type="dxa"/>
              <w:left w:w="100" w:type="dxa"/>
              <w:right w:w="100" w:type="dxa"/>
            </w:tcMar>
            <w:shd w:fill="F8FAFC"/>
            <w:tcBorders>
              <w:top w:val="single" w:sz="4" w:space="0" w:color="CBD5E1"/>
              <w:bottom w:val="single" w:sz="4" w:space="0" w:color="CBD5E1"/>
              <w:left w:val="none" w:sz="0" w:space="0" w:color="auto"/>
              <w:right w:val="none" w:sz="0" w:space="0" w:color="auto"/>
            </w:tcBorders>
          </w:tcPr>
          <w:p>
            <w:pPr>
              <w:spacing w:before="0" w:after="0" w:line="252" w:lineRule="auto"/>
              <w:jc w:val="left"/>
            </w:pPr>
            <w:r>
              <w:rPr>
                <w:rFonts w:ascii="Calibri" w:hAnsi="Calibri"/>
                <w:b w:val="0"/>
                <w:i w:val="0"/>
                <w:color w:val="334155"/>
                <w:sz w:val="18"/>
              </w:rPr>
              <w:t>Mild sympathetic activation or minor baseline drift (e.g. fatigue, caffeine)</w:t>
            </w:r>
          </w:p>
        </w:tc>
        <w:tc>
          <w:tcPr>
            <w:tcW w:type="dxa" w:w="3168"/>
            <w:tcMar>
              <w:top w:w="80" w:type="dxa"/>
              <w:bottom w:w="80" w:type="dxa"/>
              <w:left w:w="100" w:type="dxa"/>
              <w:right w:w="100" w:type="dxa"/>
            </w:tcMar>
            <w:shd w:fill="F8FAFC"/>
            <w:tcBorders>
              <w:top w:val="single" w:sz="4" w:space="0" w:color="CBD5E1"/>
              <w:bottom w:val="single" w:sz="4" w:space="0" w:color="CBD5E1"/>
              <w:left w:val="none" w:sz="0" w:space="0" w:color="auto"/>
              <w:right w:val="none" w:sz="0" w:space="0" w:color="auto"/>
            </w:tcBorders>
          </w:tcPr>
          <w:p>
            <w:pPr>
              <w:spacing w:before="0" w:after="0" w:line="252" w:lineRule="auto"/>
              <w:jc w:val="left"/>
            </w:pPr>
            <w:r>
              <w:rPr>
                <w:rFonts w:ascii="Calibri" w:hAnsi="Calibri"/>
                <w:b w:val="0"/>
                <w:i w:val="0"/>
                <w:color w:val="334155"/>
                <w:sz w:val="18"/>
              </w:rPr>
              <w:t>Blue Status: Log activity context; suggest hydration, rest, or breathing exercise</w:t>
            </w:r>
          </w:p>
        </w:tc>
      </w:tr>
      <w:tr>
        <w:tc>
          <w:tcPr>
            <w:tcW w:type="dxa" w:w="1440"/>
            <w:tcMar>
              <w:top w:w="80" w:type="dxa"/>
              <w:bottom w:w="80" w:type="dxa"/>
              <w:left w:w="100" w:type="dxa"/>
              <w:right w:w="100" w:type="dxa"/>
            </w:tcMar>
            <w:shd w:fill="FFFFFF"/>
            <w:tcBorders>
              <w:top w:val="single" w:sz="4" w:space="0" w:color="CBD5E1"/>
              <w:bottom w:val="single" w:sz="4" w:space="0" w:color="CBD5E1"/>
              <w:left w:val="none" w:sz="0" w:space="0" w:color="auto"/>
              <w:right w:val="none" w:sz="0" w:space="0" w:color="auto"/>
            </w:tcBorders>
          </w:tcPr>
          <w:p>
            <w:pPr>
              <w:spacing w:before="0" w:after="0" w:line="252" w:lineRule="auto"/>
              <w:jc w:val="left"/>
            </w:pPr>
            <w:r>
              <w:rPr>
                <w:rFonts w:ascii="Calibri" w:hAnsi="Calibri"/>
                <w:b w:val="0"/>
                <w:i w:val="0"/>
                <w:color w:val="334155"/>
                <w:sz w:val="18"/>
              </w:rPr>
              <w:t>56 — 70</w:t>
            </w:r>
          </w:p>
        </w:tc>
        <w:tc>
          <w:tcPr>
            <w:tcW w:type="dxa" w:w="2304"/>
            <w:tcMar>
              <w:top w:w="80" w:type="dxa"/>
              <w:bottom w:w="80" w:type="dxa"/>
              <w:left w:w="100" w:type="dxa"/>
              <w:right w:w="100" w:type="dxa"/>
            </w:tcMar>
            <w:shd w:fill="FFFFFF"/>
            <w:tcBorders>
              <w:top w:val="single" w:sz="4" w:space="0" w:color="CBD5E1"/>
              <w:bottom w:val="single" w:sz="4" w:space="0" w:color="CBD5E1"/>
              <w:left w:val="none" w:sz="0" w:space="0" w:color="auto"/>
              <w:right w:val="none" w:sz="0" w:space="0" w:color="auto"/>
            </w:tcBorders>
          </w:tcPr>
          <w:p>
            <w:pPr>
              <w:spacing w:before="0" w:after="0" w:line="252" w:lineRule="auto"/>
              <w:jc w:val="left"/>
            </w:pPr>
            <w:r>
              <w:rPr>
                <w:rFonts w:ascii="Calibri" w:hAnsi="Calibri"/>
                <w:b w:val="0"/>
                <w:i w:val="0"/>
                <w:color w:val="334155"/>
                <w:sz w:val="18"/>
              </w:rPr>
              <w:t>Elevated Stress / Watch</w:t>
            </w:r>
          </w:p>
        </w:tc>
        <w:tc>
          <w:tcPr>
            <w:tcW w:type="dxa" w:w="3168"/>
            <w:tcMar>
              <w:top w:w="80" w:type="dxa"/>
              <w:bottom w:w="80" w:type="dxa"/>
              <w:left w:w="100" w:type="dxa"/>
              <w:right w:w="100" w:type="dxa"/>
            </w:tcMar>
            <w:shd w:fill="FFFFFF"/>
            <w:tcBorders>
              <w:top w:val="single" w:sz="4" w:space="0" w:color="CBD5E1"/>
              <w:bottom w:val="single" w:sz="4" w:space="0" w:color="CBD5E1"/>
              <w:left w:val="none" w:sz="0" w:space="0" w:color="auto"/>
              <w:right w:val="none" w:sz="0" w:space="0" w:color="auto"/>
            </w:tcBorders>
          </w:tcPr>
          <w:p>
            <w:pPr>
              <w:spacing w:before="0" w:after="0" w:line="252" w:lineRule="auto"/>
              <w:jc w:val="left"/>
            </w:pPr>
            <w:r>
              <w:rPr>
                <w:rFonts w:ascii="Calibri" w:hAnsi="Calibri"/>
                <w:b w:val="0"/>
                <w:i w:val="0"/>
                <w:color w:val="334155"/>
                <w:sz w:val="18"/>
              </w:rPr>
              <w:t>Combined autonomic withdrawal and noticeable repolarization shift</w:t>
            </w:r>
          </w:p>
        </w:tc>
        <w:tc>
          <w:tcPr>
            <w:tcW w:type="dxa" w:w="3168"/>
            <w:tcMar>
              <w:top w:w="80" w:type="dxa"/>
              <w:bottom w:w="80" w:type="dxa"/>
              <w:left w:w="100" w:type="dxa"/>
              <w:right w:w="100" w:type="dxa"/>
            </w:tcMar>
            <w:shd w:fill="FFFFFF"/>
            <w:tcBorders>
              <w:top w:val="single" w:sz="4" w:space="0" w:color="CBD5E1"/>
              <w:bottom w:val="single" w:sz="4" w:space="0" w:color="CBD5E1"/>
              <w:left w:val="none" w:sz="0" w:space="0" w:color="auto"/>
              <w:right w:val="none" w:sz="0" w:space="0" w:color="auto"/>
            </w:tcBorders>
          </w:tcPr>
          <w:p>
            <w:pPr>
              <w:spacing w:before="0" w:after="0" w:line="252" w:lineRule="auto"/>
              <w:jc w:val="left"/>
            </w:pPr>
            <w:r>
              <w:rPr>
                <w:rFonts w:ascii="Calibri" w:hAnsi="Calibri"/>
                <w:b w:val="0"/>
                <w:i w:val="0"/>
                <w:color w:val="334155"/>
                <w:sz w:val="18"/>
              </w:rPr>
              <w:t>Yellow Status: Cease strenuous exertion; prompt user to rest; alert BeatAhead Assistant</w:t>
            </w:r>
          </w:p>
        </w:tc>
      </w:tr>
      <w:tr>
        <w:tc>
          <w:tcPr>
            <w:tcW w:type="dxa" w:w="1440"/>
            <w:tcMar>
              <w:top w:w="80" w:type="dxa"/>
              <w:bottom w:w="80" w:type="dxa"/>
              <w:left w:w="100" w:type="dxa"/>
              <w:right w:w="100" w:type="dxa"/>
            </w:tcMar>
            <w:shd w:fill="F8FAFC"/>
            <w:tcBorders>
              <w:top w:val="single" w:sz="4" w:space="0" w:color="CBD5E1"/>
              <w:bottom w:val="single" w:sz="4" w:space="0" w:color="CBD5E1"/>
              <w:left w:val="none" w:sz="0" w:space="0" w:color="auto"/>
              <w:right w:val="none" w:sz="0" w:space="0" w:color="auto"/>
            </w:tcBorders>
          </w:tcPr>
          <w:p>
            <w:pPr>
              <w:spacing w:before="0" w:after="0" w:line="252" w:lineRule="auto"/>
              <w:jc w:val="left"/>
            </w:pPr>
            <w:r>
              <w:rPr>
                <w:rFonts w:ascii="Calibri" w:hAnsi="Calibri"/>
                <w:b w:val="0"/>
                <w:i w:val="0"/>
                <w:color w:val="334155"/>
                <w:sz w:val="18"/>
              </w:rPr>
              <w:t>71 — 100</w:t>
            </w:r>
          </w:p>
        </w:tc>
        <w:tc>
          <w:tcPr>
            <w:tcW w:type="dxa" w:w="2304"/>
            <w:tcMar>
              <w:top w:w="80" w:type="dxa"/>
              <w:bottom w:w="80" w:type="dxa"/>
              <w:left w:w="100" w:type="dxa"/>
              <w:right w:w="100" w:type="dxa"/>
            </w:tcMar>
            <w:shd w:fill="F8FAFC"/>
            <w:tcBorders>
              <w:top w:val="single" w:sz="4" w:space="0" w:color="CBD5E1"/>
              <w:bottom w:val="single" w:sz="4" w:space="0" w:color="CBD5E1"/>
              <w:left w:val="none" w:sz="0" w:space="0" w:color="auto"/>
              <w:right w:val="none" w:sz="0" w:space="0" w:color="auto"/>
            </w:tcBorders>
          </w:tcPr>
          <w:p>
            <w:pPr>
              <w:spacing w:before="0" w:after="0" w:line="252" w:lineRule="auto"/>
              <w:jc w:val="left"/>
            </w:pPr>
            <w:r>
              <w:rPr>
                <w:rFonts w:ascii="Calibri" w:hAnsi="Calibri"/>
                <w:b w:val="0"/>
                <w:i w:val="0"/>
                <w:color w:val="334155"/>
                <w:sz w:val="18"/>
              </w:rPr>
              <w:t>Acute Ischemic Risk</w:t>
            </w:r>
          </w:p>
        </w:tc>
        <w:tc>
          <w:tcPr>
            <w:tcW w:type="dxa" w:w="3168"/>
            <w:tcMar>
              <w:top w:w="80" w:type="dxa"/>
              <w:bottom w:w="80" w:type="dxa"/>
              <w:left w:w="100" w:type="dxa"/>
              <w:right w:w="100" w:type="dxa"/>
            </w:tcMar>
            <w:shd w:fill="F8FAFC"/>
            <w:tcBorders>
              <w:top w:val="single" w:sz="4" w:space="0" w:color="CBD5E1"/>
              <w:bottom w:val="single" w:sz="4" w:space="0" w:color="CBD5E1"/>
              <w:left w:val="none" w:sz="0" w:space="0" w:color="auto"/>
              <w:right w:val="none" w:sz="0" w:space="0" w:color="auto"/>
            </w:tcBorders>
          </w:tcPr>
          <w:p>
            <w:pPr>
              <w:spacing w:before="0" w:after="0" w:line="252" w:lineRule="auto"/>
              <w:jc w:val="left"/>
            </w:pPr>
            <w:r>
              <w:rPr>
                <w:rFonts w:ascii="Calibri" w:hAnsi="Calibri"/>
                <w:b w:val="0"/>
                <w:i w:val="0"/>
                <w:color w:val="334155"/>
                <w:sz w:val="18"/>
              </w:rPr>
              <w:t>Severe subendocardial ST depression + acute perfusion penalty (&gt;5-min lead)</w:t>
            </w:r>
          </w:p>
        </w:tc>
        <w:tc>
          <w:tcPr>
            <w:tcW w:type="dxa" w:w="3168"/>
            <w:tcMar>
              <w:top w:w="80" w:type="dxa"/>
              <w:bottom w:w="80" w:type="dxa"/>
              <w:left w:w="100" w:type="dxa"/>
              <w:right w:w="100" w:type="dxa"/>
            </w:tcMar>
            <w:shd w:fill="F8FAFC"/>
            <w:tcBorders>
              <w:top w:val="single" w:sz="4" w:space="0" w:color="CBD5E1"/>
              <w:bottom w:val="single" w:sz="4" w:space="0" w:color="CBD5E1"/>
              <w:left w:val="none" w:sz="0" w:space="0" w:color="auto"/>
              <w:right w:val="none" w:sz="0" w:space="0" w:color="auto"/>
            </w:tcBorders>
          </w:tcPr>
          <w:p>
            <w:pPr>
              <w:spacing w:before="0" w:after="0" w:line="252" w:lineRule="auto"/>
              <w:jc w:val="left"/>
            </w:pPr>
            <w:r>
              <w:rPr>
                <w:rFonts w:ascii="Calibri" w:hAnsi="Calibri"/>
                <w:b w:val="0"/>
                <w:i w:val="0"/>
                <w:color w:val="334155"/>
                <w:sz w:val="18"/>
              </w:rPr>
              <w:t>Red Alert: Urgent notification; clinician dashboard alert; one-touch RapidCare 112 dispatch</w:t>
            </w:r>
          </w:p>
        </w:tc>
      </w:tr>
    </w:tbl>
    <w:p>
      <w:pPr>
        <w:spacing w:before="60" w:after="60"/>
      </w:pPr>
    </w:p>
    <w:p>
      <w:pPr>
        <w:keepNext/>
        <w:spacing w:before="320" w:after="120"/>
        <w:pBdr>
          <w:bottom w:val="single" w:sz="12" w:space="4" w:color="2563EB"/>
        </w:pBdr>
      </w:pPr>
      <w:r>
        <w:rPr>
          <w:rFonts w:ascii="Calibri" w:hAnsi="Calibri"/>
          <w:b/>
          <w:i w:val="0"/>
          <w:color w:val="1E3A8A"/>
          <w:sz w:val="36"/>
        </w:rPr>
        <w:t>8. Web Platform Implementation &amp; UI Walkthrough</w:t>
      </w:r>
    </w:p>
    <w:p>
      <w:pPr>
        <w:spacing w:before="0" w:after="100" w:line="276" w:lineRule="auto"/>
      </w:pPr>
      <w:r>
        <w:rPr>
          <w:rFonts w:ascii="Calibri" w:hAnsi="Calibri"/>
          <w:b w:val="0"/>
          <w:i w:val="0"/>
          <w:color w:val="334155"/>
          <w:sz w:val="21"/>
        </w:rPr>
        <w:t>The BeatAhead digital platform is engineered as a modern, high-performance web application built with Next.js 15, React 19, TypeScript, and Tailwind CSS. The interface is meticulously designed to serve both individual consumers (via clean, intuitive health dashboards and AI agents) and attending medical staff (via real-time clinician surveillance tools).</w:t>
      </w:r>
    </w:p>
    <w:p>
      <w:pPr>
        <w:keepNext/>
        <w:spacing w:before="240" w:after="80"/>
      </w:pPr>
      <w:r>
        <w:rPr>
          <w:rFonts w:ascii="Calibri" w:hAnsi="Calibri"/>
          <w:b/>
          <w:i w:val="0"/>
          <w:color w:val="2563EB"/>
          <w:sz w:val="28"/>
        </w:rPr>
        <w:t>8.1 Cardiovascular Health Dashboard</w:t>
      </w:r>
    </w:p>
    <w:p>
      <w:pPr>
        <w:spacing w:before="0" w:after="100" w:line="276" w:lineRule="auto"/>
      </w:pPr>
      <w:r>
        <w:rPr>
          <w:rFonts w:ascii="Calibri" w:hAnsi="Calibri"/>
          <w:b w:val="0"/>
          <w:i w:val="0"/>
          <w:color w:val="334155"/>
          <w:sz w:val="21"/>
        </w:rPr>
        <w:t>The primary patient interface presents immediate, actionable insights into the user's cardiovascular trajectory. The dashboard highlights the current ISI score (12/100, Normal/Stable), rolling personal baseline (26), resting vitals (68 bpm, BP 118/76 mmHg), and real-time 60-second ISI trend curve.</w:t>
      </w:r>
    </w:p>
    <w:p>
      <w:pPr>
        <w:keepNext/>
        <w:spacing w:before="160" w:after="80"/>
        <w:jc w:val="center"/>
      </w:pPr>
      <w:r>
        <w:drawing>
          <wp:inline xmlns:a="http://schemas.openxmlformats.org/drawingml/2006/main" xmlns:pic="http://schemas.openxmlformats.org/drawingml/2006/picture">
            <wp:extent cx="5943600" cy="3772793"/>
            <wp:docPr id="9" name="Picture 9"/>
            <wp:cNvGraphicFramePr>
              <a:graphicFrameLocks noChangeAspect="1"/>
            </wp:cNvGraphicFramePr>
            <a:graphic>
              <a:graphicData uri="http://schemas.openxmlformats.org/drawingml/2006/picture">
                <pic:pic>
                  <pic:nvPicPr>
                    <pic:cNvPr id="0" name="media_1792747588803_5a8eac9f.png"/>
                    <pic:cNvPicPr/>
                  </pic:nvPicPr>
                  <pic:blipFill>
                    <a:blip r:embed="rId19"/>
                    <a:stretch>
                      <a:fillRect/>
                    </a:stretch>
                  </pic:blipFill>
                  <pic:spPr>
                    <a:xfrm>
                      <a:off x="0" y="0"/>
                      <a:ext cx="5943600" cy="3772793"/>
                    </a:xfrm>
                    <a:prstGeom prst="rect"/>
                  </pic:spPr>
                </pic:pic>
              </a:graphicData>
            </a:graphic>
          </wp:inline>
        </w:drawing>
      </w:r>
    </w:p>
    <w:p>
      <w:pPr>
        <w:spacing w:before="0" w:after="200"/>
        <w:jc w:val="center"/>
      </w:pPr>
      <w:r>
        <w:rPr>
          <w:rFonts w:ascii="Calibri" w:hAnsi="Calibri"/>
          <w:b/>
          <w:i w:val="0"/>
          <w:color w:val="1E3A8A"/>
          <w:sz w:val="19"/>
        </w:rPr>
        <w:t xml:space="preserve">Figure 8: </w:t>
      </w:r>
      <w:r>
        <w:rPr>
          <w:rFonts w:ascii="Calibri" w:hAnsi="Calibri"/>
          <w:b w:val="0"/>
          <w:i/>
          <w:color w:val="64748B"/>
          <w:sz w:val="19"/>
        </w:rPr>
        <w:t>BeatAhead Cardiovascular Health Dashboard. Demonstrates live ISI gauge (12/100), personal baseline comparison (-14 deviation, 94% confidence), stable trend trajectory, Google Fit telemetry synchronization status, and the 24/7 BeatAhead Assistant floating clinical widget.</w:t>
      </w:r>
    </w:p>
    <w:p>
      <w:pPr>
        <w:keepNext/>
        <w:spacing w:before="240" w:after="80"/>
      </w:pPr>
      <w:r>
        <w:rPr>
          <w:rFonts w:ascii="Calibri" w:hAnsi="Calibri"/>
          <w:b/>
          <w:i w:val="0"/>
          <w:color w:val="2563EB"/>
          <w:sz w:val="28"/>
        </w:rPr>
        <w:t>8.2 Long-Term Multi-Horizon Trends</w:t>
      </w:r>
    </w:p>
    <w:p>
      <w:pPr>
        <w:spacing w:before="0" w:after="100" w:line="276" w:lineRule="auto"/>
      </w:pPr>
      <w:r>
        <w:rPr>
          <w:rFonts w:ascii="Calibri" w:hAnsi="Calibri"/>
          <w:b w:val="0"/>
          <w:i w:val="0"/>
          <w:color w:val="334155"/>
          <w:sz w:val="21"/>
        </w:rPr>
        <w:t>To empower longitudinal discovery and retrospective clinician review, BeatAhead provides multi-horizon trend visualization across 24 Hours, 7 Days, and 30 Days. Four synchronized biometric graphs illustrate the interplay between ISI stress, heart rate variability (HRV), arterial oxygen saturation (SpO2), and resting heart rate.</w:t>
      </w:r>
    </w:p>
    <w:p>
      <w:pPr>
        <w:keepNext/>
        <w:spacing w:before="160" w:after="80"/>
        <w:jc w:val="center"/>
      </w:pPr>
      <w:r>
        <w:drawing>
          <wp:inline xmlns:a="http://schemas.openxmlformats.org/drawingml/2006/main" xmlns:pic="http://schemas.openxmlformats.org/drawingml/2006/picture">
            <wp:extent cx="5943600" cy="3697337"/>
            <wp:docPr id="10" name="Picture 10"/>
            <wp:cNvGraphicFramePr>
              <a:graphicFrameLocks noChangeAspect="1"/>
            </wp:cNvGraphicFramePr>
            <a:graphic>
              <a:graphicData uri="http://schemas.openxmlformats.org/drawingml/2006/picture">
                <pic:pic>
                  <pic:nvPicPr>
                    <pic:cNvPr id="0" name="media_1792747815411_ede88d72.png"/>
                    <pic:cNvPicPr/>
                  </pic:nvPicPr>
                  <pic:blipFill>
                    <a:blip r:embed="rId20"/>
                    <a:stretch>
                      <a:fillRect/>
                    </a:stretch>
                  </pic:blipFill>
                  <pic:spPr>
                    <a:xfrm>
                      <a:off x="0" y="0"/>
                      <a:ext cx="5943600" cy="3697337"/>
                    </a:xfrm>
                    <a:prstGeom prst="rect"/>
                  </pic:spPr>
                </pic:pic>
              </a:graphicData>
            </a:graphic>
          </wp:inline>
        </w:drawing>
      </w:r>
    </w:p>
    <w:p>
      <w:pPr>
        <w:spacing w:before="0" w:after="200"/>
        <w:jc w:val="center"/>
      </w:pPr>
      <w:r>
        <w:rPr>
          <w:rFonts w:ascii="Calibri" w:hAnsi="Calibri"/>
          <w:b/>
          <w:i w:val="0"/>
          <w:color w:val="1E3A8A"/>
          <w:sz w:val="19"/>
        </w:rPr>
        <w:t xml:space="preserve">Figure 9: </w:t>
      </w:r>
      <w:r>
        <w:rPr>
          <w:rFonts w:ascii="Calibri" w:hAnsi="Calibri"/>
          <w:b w:val="0"/>
          <w:i/>
          <w:color w:val="64748B"/>
          <w:sz w:val="19"/>
        </w:rPr>
        <w:t>BeatAhead Long-Term Physiological Trends (30-Day Analysis). Quadrant visualization tracking Ischemic Stress Index (ISI), Heart Rate Variability (HRV), Arterial Oxygen Saturation (SpO2), and Resting Heart Rate trajectories over 30 days of calibrated simulation.</w:t>
      </w:r>
    </w:p>
    <w:p>
      <w:pPr>
        <w:keepNext/>
        <w:spacing w:before="240" w:after="80"/>
      </w:pPr>
      <w:r>
        <w:rPr>
          <w:rFonts w:ascii="Calibri" w:hAnsi="Calibri"/>
          <w:b/>
          <w:i w:val="0"/>
          <w:color w:val="2563EB"/>
          <w:sz w:val="28"/>
        </w:rPr>
        <w:t>8.3 Vital Agent &amp; Google Fit Wearable Synchronization</w:t>
      </w:r>
    </w:p>
    <w:p>
      <w:pPr>
        <w:spacing w:before="0" w:after="100" w:line="276" w:lineRule="auto"/>
      </w:pPr>
      <w:r>
        <w:rPr>
          <w:rFonts w:ascii="Calibri" w:hAnsi="Calibri"/>
          <w:b w:val="0"/>
          <w:i w:val="0"/>
          <w:color w:val="334155"/>
          <w:sz w:val="21"/>
        </w:rPr>
        <w:t>BeatAhead natively integrates with commercial fitness ecosystems through the Google Fitness REST API. Continuous heart rate, resting blood pressure, SpO2, and cardio heart points are streamed directly into the Vital Agent to calibrate the personal ISI baseline. In addition, the platform features Dynamic ISI Recalibration Presets allowing instant simulation and testing across Optimal Vitals, Elevated Stress, and Post-Exercise Recovery states.</w:t>
      </w:r>
    </w:p>
    <w:p>
      <w:pPr>
        <w:keepNext/>
        <w:spacing w:before="160" w:after="80"/>
        <w:jc w:val="center"/>
      </w:pPr>
      <w:r>
        <w:drawing>
          <wp:inline xmlns:a="http://schemas.openxmlformats.org/drawingml/2006/main" xmlns:pic="http://schemas.openxmlformats.org/drawingml/2006/picture">
            <wp:extent cx="5943600" cy="3923705"/>
            <wp:docPr id="11" name="Picture 11"/>
            <wp:cNvGraphicFramePr>
              <a:graphicFrameLocks noChangeAspect="1"/>
            </wp:cNvGraphicFramePr>
            <a:graphic>
              <a:graphicData uri="http://schemas.openxmlformats.org/drawingml/2006/picture">
                <pic:pic>
                  <pic:nvPicPr>
                    <pic:cNvPr id="0" name="media_1792747836659_3205849d.png"/>
                    <pic:cNvPicPr/>
                  </pic:nvPicPr>
                  <pic:blipFill>
                    <a:blip r:embed="rId21"/>
                    <a:stretch>
                      <a:fillRect/>
                    </a:stretch>
                  </pic:blipFill>
                  <pic:spPr>
                    <a:xfrm>
                      <a:off x="0" y="0"/>
                      <a:ext cx="5943600" cy="3923705"/>
                    </a:xfrm>
                    <a:prstGeom prst="rect"/>
                  </pic:spPr>
                </pic:pic>
              </a:graphicData>
            </a:graphic>
          </wp:inline>
        </w:drawing>
      </w:r>
    </w:p>
    <w:p>
      <w:pPr>
        <w:spacing w:before="0" w:after="200"/>
        <w:jc w:val="center"/>
      </w:pPr>
      <w:r>
        <w:rPr>
          <w:rFonts w:ascii="Calibri" w:hAnsi="Calibri"/>
          <w:b/>
          <w:i w:val="0"/>
          <w:color w:val="1E3A8A"/>
          <w:sz w:val="19"/>
        </w:rPr>
        <w:t xml:space="preserve">Figure 10: </w:t>
      </w:r>
      <w:r>
        <w:rPr>
          <w:rFonts w:ascii="Calibri" w:hAnsi="Calibri"/>
          <w:b w:val="0"/>
          <w:i/>
          <w:color w:val="64748B"/>
          <w:sz w:val="19"/>
        </w:rPr>
        <w:t>BeatAhead Vital Agent Interface. Displays active Google Fit telemetry sync (70 bpm HR, 118/76 mmHg BP, 98.5% SpO2, 48 Cardio Heart Points), Dynamic ISI Recalibration Presets, and historical 7-day smartphone health record ingestion.</w:t>
      </w:r>
    </w:p>
    <w:p>
      <w:pPr>
        <w:keepNext/>
        <w:spacing w:before="240" w:after="80"/>
      </w:pPr>
      <w:r>
        <w:rPr>
          <w:rFonts w:ascii="Calibri" w:hAnsi="Calibri"/>
          <w:b/>
          <w:i w:val="0"/>
          <w:color w:val="2563EB"/>
          <w:sz w:val="28"/>
        </w:rPr>
        <w:t>8.4 Clinician Dashboard &amp; Hemodynamic Surveillance</w:t>
      </w:r>
    </w:p>
    <w:p>
      <w:pPr>
        <w:spacing w:before="0" w:after="100" w:line="276" w:lineRule="auto"/>
      </w:pPr>
      <w:r>
        <w:rPr>
          <w:rFonts w:ascii="Calibri" w:hAnsi="Calibri"/>
          <w:b w:val="0"/>
          <w:i w:val="0"/>
          <w:color w:val="334155"/>
          <w:sz w:val="21"/>
        </w:rPr>
        <w:t>For hospitals, ambulatory care networks, and cardiology practices, BeatAhead provides an institutional surveillance dashboard. Attending physicians can monitor multiple active patient streams, inspect high-fidelity Lead II ECG and PPG pulse amplitudes, verify signal quality indices, review personal baseline deviations, and export standardized clinical consultation reports in PDF or JSON formats.</w:t>
      </w:r>
    </w:p>
    <w:p>
      <w:pPr>
        <w:keepNext/>
        <w:spacing w:before="160" w:after="80"/>
        <w:jc w:val="center"/>
      </w:pPr>
      <w:r>
        <w:drawing>
          <wp:inline xmlns:a="http://schemas.openxmlformats.org/drawingml/2006/main" xmlns:pic="http://schemas.openxmlformats.org/drawingml/2006/picture">
            <wp:extent cx="5943600" cy="3221385"/>
            <wp:docPr id="12" name="Picture 12"/>
            <wp:cNvGraphicFramePr>
              <a:graphicFrameLocks noChangeAspect="1"/>
            </wp:cNvGraphicFramePr>
            <a:graphic>
              <a:graphicData uri="http://schemas.openxmlformats.org/drawingml/2006/picture">
                <pic:pic>
                  <pic:nvPicPr>
                    <pic:cNvPr id="0" name="media_1792647138461_13f609a5.png"/>
                    <pic:cNvPicPr/>
                  </pic:nvPicPr>
                  <pic:blipFill>
                    <a:blip r:embed="rId22"/>
                    <a:stretch>
                      <a:fillRect/>
                    </a:stretch>
                  </pic:blipFill>
                  <pic:spPr>
                    <a:xfrm>
                      <a:off x="0" y="0"/>
                      <a:ext cx="5943600" cy="3221385"/>
                    </a:xfrm>
                    <a:prstGeom prst="rect"/>
                  </pic:spPr>
                </pic:pic>
              </a:graphicData>
            </a:graphic>
          </wp:inline>
        </w:drawing>
      </w:r>
    </w:p>
    <w:p>
      <w:pPr>
        <w:spacing w:before="0" w:after="200"/>
        <w:jc w:val="center"/>
      </w:pPr>
      <w:r>
        <w:rPr>
          <w:rFonts w:ascii="Calibri" w:hAnsi="Calibri"/>
          <w:b/>
          <w:i w:val="0"/>
          <w:color w:val="1E3A8A"/>
          <w:sz w:val="19"/>
        </w:rPr>
        <w:t xml:space="preserve">Figure 11: </w:t>
      </w:r>
      <w:r>
        <w:rPr>
          <w:rFonts w:ascii="Calibri" w:hAnsi="Calibri"/>
          <w:b w:val="0"/>
          <w:i/>
          <w:color w:val="64748B"/>
          <w:sz w:val="19"/>
        </w:rPr>
        <w:t>BeatAhead Clinician Surveillance Dashboard. Real-time multi-patient hemodynamic tracking showing patient profile (Skanda K N), active telemetry waveforms (ECG Lead II 0.80 mV, PPG Pulse 0.60 Amp), 95% signal quality, baseline comparisons, and one-click PDF/JSON export.</w:t>
      </w:r>
    </w:p>
    <w:p>
      <w:pPr>
        <w:keepNext/>
        <w:spacing w:before="240" w:after="80"/>
      </w:pPr>
      <w:r>
        <w:rPr>
          <w:rFonts w:ascii="Calibri" w:hAnsi="Calibri"/>
          <w:b/>
          <w:i w:val="0"/>
          <w:color w:val="2563EB"/>
          <w:sz w:val="28"/>
        </w:rPr>
        <w:t>8.5 Multi-Agent Health Intelligence Ecosystem</w:t>
      </w:r>
    </w:p>
    <w:p>
      <w:pPr>
        <w:spacing w:before="0" w:after="100" w:line="276" w:lineRule="auto"/>
      </w:pPr>
      <w:r>
        <w:rPr>
          <w:rFonts w:ascii="Calibri" w:hAnsi="Calibri"/>
          <w:b w:val="0"/>
          <w:i w:val="0"/>
          <w:color w:val="334155"/>
          <w:sz w:val="21"/>
        </w:rPr>
        <w:t>BeatAhead embeds four specialized conversational AI health agents powered by state-of-the-art large language models and grounded in validated medical guidelines:</w:t>
      </w:r>
    </w:p>
    <w:p>
      <w:pPr>
        <w:pStyle w:val="ListBullet"/>
        <w:spacing w:before="20" w:after="60" w:line="276" w:lineRule="auto"/>
      </w:pPr>
      <w:r>
        <w:rPr>
          <w:rFonts w:ascii="Calibri" w:hAnsi="Calibri"/>
          <w:b/>
          <w:i w:val="0"/>
          <w:color w:val="0F172A"/>
          <w:sz w:val="21"/>
        </w:rPr>
        <w:t xml:space="preserve">Vital Agent: </w:t>
      </w:r>
      <w:r>
        <w:rPr>
          <w:rFonts w:ascii="Calibri" w:hAnsi="Calibri"/>
          <w:b w:val="0"/>
          <w:i w:val="0"/>
          <w:color w:val="334155"/>
          <w:sz w:val="21"/>
        </w:rPr>
        <w:t>Specializes in biometric trend interpretation, blood pressure classification, and Google Fit telemetry synchronization.</w:t>
      </w:r>
    </w:p>
    <w:p>
      <w:pPr>
        <w:pStyle w:val="ListBullet"/>
        <w:spacing w:before="20" w:after="60" w:line="276" w:lineRule="auto"/>
      </w:pPr>
      <w:r>
        <w:rPr>
          <w:rFonts w:ascii="Calibri" w:hAnsi="Calibri"/>
          <w:b/>
          <w:i w:val="0"/>
          <w:color w:val="0F172A"/>
          <w:sz w:val="21"/>
        </w:rPr>
        <w:t xml:space="preserve">Fitness Agent: </w:t>
      </w:r>
      <w:r>
        <w:rPr>
          <w:rFonts w:ascii="Calibri" w:hAnsi="Calibri"/>
          <w:b w:val="0"/>
          <w:i w:val="0"/>
          <w:color w:val="334155"/>
          <w:sz w:val="21"/>
        </w:rPr>
        <w:t>Prescribes personalized aerobic workouts, monitors cardio heart points, and enforces exertion safety boundaries based on real-time ISI.</w:t>
      </w:r>
    </w:p>
    <w:p>
      <w:pPr>
        <w:pStyle w:val="ListBullet"/>
        <w:spacing w:before="20" w:after="60" w:line="276" w:lineRule="auto"/>
      </w:pPr>
      <w:r>
        <w:rPr>
          <w:rFonts w:ascii="Calibri" w:hAnsi="Calibri"/>
          <w:b/>
          <w:i w:val="0"/>
          <w:color w:val="0F172A"/>
          <w:sz w:val="21"/>
        </w:rPr>
        <w:t xml:space="preserve">Rest &amp; Sleep Agent: </w:t>
      </w:r>
      <w:r>
        <w:rPr>
          <w:rFonts w:ascii="Calibri" w:hAnsi="Calibri"/>
          <w:b w:val="0"/>
          <w:i w:val="0"/>
          <w:color w:val="334155"/>
          <w:sz w:val="21"/>
        </w:rPr>
        <w:t>Evaluates overnight heart rate recovery, sleep stage architecture, and autonomic rejuvenation.</w:t>
      </w:r>
    </w:p>
    <w:p>
      <w:pPr>
        <w:pStyle w:val="ListBullet"/>
        <w:spacing w:before="20" w:after="60" w:line="276" w:lineRule="auto"/>
      </w:pPr>
      <w:r>
        <w:rPr>
          <w:rFonts w:ascii="Calibri" w:hAnsi="Calibri"/>
          <w:b/>
          <w:i w:val="0"/>
          <w:color w:val="0F172A"/>
          <w:sz w:val="21"/>
        </w:rPr>
        <w:t xml:space="preserve">Nutrition Agent: </w:t>
      </w:r>
      <w:r>
        <w:rPr>
          <w:rFonts w:ascii="Calibri" w:hAnsi="Calibri"/>
          <w:b w:val="0"/>
          <w:i w:val="0"/>
          <w:color w:val="334155"/>
          <w:sz w:val="21"/>
        </w:rPr>
        <w:t>Delivers Mediterranean and DASH diet recommendations tailored to lipid management and cardiovascular anti-inflammatory support.</w:t>
      </w:r>
    </w:p>
    <w:p>
      <w:pPr>
        <w:keepNext/>
        <w:spacing w:before="240" w:after="80"/>
      </w:pPr>
      <w:r>
        <w:rPr>
          <w:rFonts w:ascii="Calibri" w:hAnsi="Calibri"/>
          <w:b/>
          <w:i w:val="0"/>
          <w:color w:val="2563EB"/>
          <w:sz w:val="28"/>
        </w:rPr>
        <w:t>8.6 RapidCare Emergency Dispatch &amp; Hospital Routing</w:t>
      </w:r>
    </w:p>
    <w:p>
      <w:pPr>
        <w:spacing w:before="0" w:after="100" w:line="276" w:lineRule="auto"/>
      </w:pPr>
      <w:r>
        <w:rPr>
          <w:rFonts w:ascii="Calibri" w:hAnsi="Calibri"/>
          <w:b w:val="0"/>
          <w:i w:val="0"/>
          <w:color w:val="334155"/>
          <w:sz w:val="21"/>
        </w:rPr>
        <w:t>When acute ischemic risk is detected (ISI &gt; 70 with sustained ST sagging), BeatAhead activates the RapidCare emergency module:</w:t>
      </w:r>
    </w:p>
    <w:p>
      <w:pPr>
        <w:pStyle w:val="ListBullet"/>
        <w:spacing w:before="20" w:after="60" w:line="276" w:lineRule="auto"/>
      </w:pPr>
      <w:r>
        <w:rPr>
          <w:rFonts w:ascii="Calibri" w:hAnsi="Calibri"/>
          <w:b/>
          <w:i w:val="0"/>
          <w:color w:val="0F172A"/>
          <w:sz w:val="21"/>
        </w:rPr>
        <w:t xml:space="preserve">OpenStreetMap Overpass Integration: </w:t>
      </w:r>
      <w:r>
        <w:rPr>
          <w:rFonts w:ascii="Calibri" w:hAnsi="Calibri"/>
          <w:b w:val="0"/>
          <w:i w:val="0"/>
          <w:color w:val="334155"/>
          <w:sz w:val="21"/>
        </w:rPr>
        <w:t>Utilizes user geolocation to instantly discover, query, and rank nearest accredited cardiac emergency rooms and hospitals without requiring proprietary Google Maps API keys.</w:t>
      </w:r>
    </w:p>
    <w:p>
      <w:pPr>
        <w:pStyle w:val="ListBullet"/>
        <w:spacing w:before="20" w:after="60" w:line="276" w:lineRule="auto"/>
      </w:pPr>
      <w:r>
        <w:rPr>
          <w:rFonts w:ascii="Calibri" w:hAnsi="Calibri"/>
          <w:b/>
          <w:i w:val="0"/>
          <w:color w:val="0F172A"/>
          <w:sz w:val="21"/>
        </w:rPr>
        <w:t xml:space="preserve">One-Touch 112 Emergency Telephony: </w:t>
      </w:r>
      <w:r>
        <w:rPr>
          <w:rFonts w:ascii="Calibri" w:hAnsi="Calibri"/>
          <w:b w:val="0"/>
          <w:i w:val="0"/>
          <w:color w:val="334155"/>
          <w:sz w:val="21"/>
        </w:rPr>
        <w:t>Constructs safe, one-touch emergency links to national emergency dispatch (112 in India / 911 in US) paired with integrated Exotel programmable telephony.</w:t>
      </w:r>
    </w:p>
    <w:p>
      <w:pPr>
        <w:pStyle w:val="ListBullet"/>
        <w:spacing w:before="20" w:after="60" w:line="276" w:lineRule="auto"/>
      </w:pPr>
      <w:r>
        <w:rPr>
          <w:rFonts w:ascii="Calibri" w:hAnsi="Calibri"/>
          <w:b/>
          <w:i w:val="0"/>
          <w:color w:val="0F172A"/>
          <w:sz w:val="21"/>
        </w:rPr>
        <w:t xml:space="preserve">Automated Clinical Handoff Briefing: </w:t>
      </w:r>
      <w:r>
        <w:rPr>
          <w:rFonts w:ascii="Calibri" w:hAnsi="Calibri"/>
          <w:b w:val="0"/>
          <w:i w:val="0"/>
          <w:color w:val="334155"/>
          <w:sz w:val="21"/>
        </w:rPr>
        <w:t>Synthesizes an immediate structured medical handoff report detailing patient baseline vitals, current ST deviation, and peak ISI trajectory for attending paramedics.</w:t>
      </w:r>
    </w:p>
    <w:p>
      <w:pPr>
        <w:keepNext/>
        <w:spacing w:before="320" w:after="120"/>
        <w:pBdr>
          <w:bottom w:val="single" w:sz="12" w:space="4" w:color="2563EB"/>
        </w:pBdr>
      </w:pPr>
      <w:r>
        <w:rPr>
          <w:rFonts w:ascii="Calibri" w:hAnsi="Calibri"/>
          <w:b/>
          <w:i w:val="0"/>
          <w:color w:val="1E3A8A"/>
          <w:sz w:val="36"/>
        </w:rPr>
        <w:t>9. Production Cloud Architecture &amp; Zero-Dependency Inference</w:t>
      </w:r>
    </w:p>
    <w:p>
      <w:pPr>
        <w:spacing w:before="0" w:after="100" w:line="276" w:lineRule="auto"/>
      </w:pPr>
      <w:r>
        <w:rPr>
          <w:rFonts w:ascii="Calibri" w:hAnsi="Calibri"/>
          <w:b w:val="0"/>
          <w:i w:val="0"/>
          <w:color w:val="334155"/>
          <w:sz w:val="21"/>
        </w:rPr>
        <w:t>To achieve true institutional scalability and instant worldwide access, BeatAhead is deployed on Vercel utilizing a unified multi-service architecture:</w:t>
      </w:r>
    </w:p>
    <w:p>
      <w:pPr>
        <w:pStyle w:val="ListBullet"/>
        <w:spacing w:before="20" w:after="60" w:line="276" w:lineRule="auto"/>
      </w:pPr>
      <w:r>
        <w:rPr>
          <w:rFonts w:ascii="Calibri" w:hAnsi="Calibri"/>
          <w:b/>
          <w:i w:val="0"/>
          <w:color w:val="0F172A"/>
          <w:sz w:val="21"/>
        </w:rPr>
        <w:t xml:space="preserve">Service 'app' (Public Frontend &amp; Gateway): </w:t>
      </w:r>
      <w:r>
        <w:rPr>
          <w:rFonts w:ascii="Calibri" w:hAnsi="Calibri"/>
          <w:b w:val="0"/>
          <w:i w:val="0"/>
          <w:color w:val="334155"/>
          <w:sz w:val="21"/>
        </w:rPr>
        <w:t>Next.js 15 application handling public web traffic (/(.*)), user authentication via Clerk, and client-side data streaming.</w:t>
      </w:r>
    </w:p>
    <w:p>
      <w:pPr>
        <w:pStyle w:val="ListBullet"/>
        <w:spacing w:before="20" w:after="60" w:line="276" w:lineRule="auto"/>
      </w:pPr>
      <w:r>
        <w:rPr>
          <w:rFonts w:ascii="Calibri" w:hAnsi="Calibri"/>
          <w:b/>
          <w:i w:val="0"/>
          <w:color w:val="0F172A"/>
          <w:sz w:val="21"/>
        </w:rPr>
        <w:t xml:space="preserve">Service 'backend' (Internal ML Microservice): </w:t>
      </w:r>
      <w:r>
        <w:rPr>
          <w:rFonts w:ascii="Calibri" w:hAnsi="Calibri"/>
          <w:b w:val="0"/>
          <w:i w:val="0"/>
          <w:color w:val="334155"/>
          <w:sz w:val="21"/>
        </w:rPr>
        <w:t>Isolated Python microservice hosting the frozen Phase 5 model. Accessible internally via secure Vercel service binding (ML_SERVICE_URL).</w:t>
      </w:r>
    </w:p>
    <w:p>
      <w:pPr>
        <w:keepNext/>
        <w:spacing w:before="240" w:after="80"/>
      </w:pPr>
      <w:r>
        <w:rPr>
          <w:rFonts w:ascii="Calibri" w:hAnsi="Calibri"/>
          <w:b/>
          <w:i w:val="0"/>
          <w:color w:val="2563EB"/>
          <w:sz w:val="28"/>
        </w:rPr>
        <w:t>9.1 Solving the 500 MB Serverless Lambda Ceiling</w:t>
      </w:r>
    </w:p>
    <w:p>
      <w:pPr>
        <w:spacing w:before="0" w:after="100" w:line="276" w:lineRule="auto"/>
      </w:pPr>
      <w:r>
        <w:rPr>
          <w:rFonts w:ascii="Calibri" w:hAnsi="Calibri"/>
          <w:b w:val="0"/>
          <w:i w:val="0"/>
          <w:color w:val="334155"/>
          <w:sz w:val="21"/>
        </w:rPr>
        <w:t>Deploying production Python machine learning pipelines to serverless platforms frequently triggers AWS Lambda / Vercel bundle size rejections (LAMBDA_SIZE_EXCEEDED). Standard scientific wheels (xgboost ~190 MB, scipy ~160 MB, scikit-learn ~130 MB, pandas ~110 MB, numpy ~60 MB) collectively total 659.16 MB uncompressed, exceeding the 500 MB serverless ceiling.</w:t>
      </w:r>
    </w:p>
    <w:tbl>
      <w:tblPr>
        <w:tblW w:type="auto" w:w="0"/>
        <w:jc w:val="center"/>
        <w:tblLayout w:type="fixed"/>
        <w:tblLook w:firstColumn="1" w:firstRow="1" w:lastColumn="0" w:lastRow="0" w:noHBand="0" w:noVBand="1" w:val="04A0"/>
      </w:tblPr>
      <w:tblGrid>
        <w:gridCol w:w="10080"/>
      </w:tblGrid>
      <w:tr>
        <w:tc>
          <w:tcPr>
            <w:tcW w:type="dxa" w:w="10080"/>
            <w:tcMar>
              <w:top w:w="140" w:type="dxa"/>
              <w:bottom w:w="140" w:type="dxa"/>
              <w:left w:w="180" w:type="dxa"/>
              <w:right w:w="160" w:type="dxa"/>
            </w:tcMar>
            <w:shd w:fill="EFF6FF"/>
            <w:tcBorders>
              <w:top w:val="none" w:sz="0" w:space="0" w:color="auto"/>
              <w:bottom w:val="none" w:sz="0" w:space="0" w:color="auto"/>
              <w:left w:val="single" w:sz="36" w:space="0" w:color="2563EB"/>
              <w:right w:val="none" w:sz="0" w:space="0" w:color="auto"/>
            </w:tcBorders>
          </w:tcPr>
          <w:p>
            <w:pPr>
              <w:spacing w:before="0" w:after="60" w:line="276" w:lineRule="auto"/>
            </w:pPr>
            <w:r>
              <w:rPr>
                <w:rFonts w:ascii="Calibri" w:hAnsi="Calibri"/>
                <w:b/>
                <w:i w:val="0"/>
                <w:color w:val="2563EB"/>
                <w:sz w:val="22"/>
              </w:rPr>
              <w:t>✦ Engineering Innovation: Zero-Dependency Tree Traversal</w:t>
              <w:br/>
            </w:r>
            <w:r>
              <w:rPr>
                <w:rFonts w:ascii="Calibri" w:hAnsi="Calibri"/>
                <w:b w:val="0"/>
                <w:i w:val="0"/>
                <w:color w:val="0F172A"/>
                <w:sz w:val="20"/>
              </w:rPr>
              <w:t>BeatAhead solved this deployment hurdle through mathematical ingenuity: The frozen 150-tree XGBoost ensemble was exported to structured JSON (181 KB). A pure-Python tree traversal evaluator was developed using only standard library math and json.</w:t>
              <w:br/>
              <w:br/>
              <w:t>• Deployment Bundle Size: Shrunk from 659.16 MB to under 1 MB (&lt;0.2% of limit)</w:t>
              <w:br/>
              <w:t>• Cold-Start Latency: Eliminated from ~10 seconds down to ~20 milliseconds</w:t>
              <w:br/>
              <w:t>• Prediction Precision: Matches XGBoost C-library output down to 1.8 × 10^-9 float precision</w:t>
              <w:br/>
              <w:t>• Inference Execution Speed: 0.090 milliseconds (90 microseconds) per 26-feature window</w:t>
            </w:r>
          </w:p>
        </w:tc>
      </w:tr>
    </w:tbl>
    <w:p>
      <w:pPr>
        <w:spacing w:before="40" w:after="40"/>
      </w:pPr>
    </w:p>
    <w:p>
      <w:pPr>
        <w:keepNext/>
        <w:spacing w:before="320" w:after="120"/>
        <w:pBdr>
          <w:bottom w:val="single" w:sz="12" w:space="4" w:color="2563EB"/>
        </w:pBdr>
      </w:pPr>
      <w:r>
        <w:rPr>
          <w:rFonts w:ascii="Calibri" w:hAnsi="Calibri"/>
          <w:b/>
          <w:i w:val="0"/>
          <w:color w:val="1E3A8A"/>
          <w:sz w:val="36"/>
        </w:rPr>
        <w:t>10. Conclusion &amp; Strategic Roadmap</w:t>
      </w:r>
    </w:p>
    <w:p>
      <w:pPr>
        <w:spacing w:before="0" w:after="100" w:line="276" w:lineRule="auto"/>
      </w:pPr>
      <w:r>
        <w:rPr>
          <w:rFonts w:ascii="Calibri" w:hAnsi="Calibri"/>
          <w:b w:val="0"/>
          <w:i w:val="0"/>
          <w:color w:val="334155"/>
          <w:sz w:val="21"/>
        </w:rPr>
        <w:t>BeatAhead represents a clinically grounded, mathematically rigorous breakthrough in preventive cardiology. By uniting multimodal physiological sensor fusion (ECG, PPG, SpO2, PAT), personalized baseline calibration, and extreme gradient boosted machine learning, BeatAhead achieves unprecedented early warning discrimination for myocardial ischemia (AUROC 0.8896, PR-AUC 0.3247). The system bridges the gap between patient consumer wearables and hospital intensive care surveillance, providing actionable intelligence before irreversible cardiac damage occurs.</w:t>
      </w:r>
    </w:p>
    <w:p>
      <w:pPr>
        <w:keepNext/>
        <w:spacing w:before="240" w:after="80"/>
      </w:pPr>
      <w:r>
        <w:rPr>
          <w:rFonts w:ascii="Calibri" w:hAnsi="Calibri"/>
          <w:b/>
          <w:i w:val="0"/>
          <w:color w:val="2563EB"/>
          <w:sz w:val="28"/>
        </w:rPr>
        <w:t>10.1 Strategic Future Directions</w:t>
      </w:r>
    </w:p>
    <w:p>
      <w:pPr>
        <w:pStyle w:val="ListBullet"/>
        <w:spacing w:before="20" w:after="60" w:line="276" w:lineRule="auto"/>
      </w:pPr>
      <w:r>
        <w:rPr>
          <w:rFonts w:ascii="Calibri" w:hAnsi="Calibri"/>
          <w:b/>
          <w:i w:val="0"/>
          <w:color w:val="0F172A"/>
          <w:sz w:val="21"/>
        </w:rPr>
        <w:t xml:space="preserve">1. Ambulatory Smart-Ring &amp; Patch Prototypes: </w:t>
      </w:r>
      <w:r>
        <w:rPr>
          <w:rFonts w:ascii="Calibri" w:hAnsi="Calibri"/>
          <w:b w:val="0"/>
          <w:i w:val="0"/>
          <w:color w:val="334155"/>
          <w:sz w:val="21"/>
        </w:rPr>
        <w:t>Partnering with biomedical hardware manufacturers to miniaturize continuous dual-wavelength PPG and single-lead chest patch sensors for continuous outpatient wearing.</w:t>
      </w:r>
    </w:p>
    <w:p>
      <w:pPr>
        <w:pStyle w:val="ListBullet"/>
        <w:spacing w:before="20" w:after="60" w:line="276" w:lineRule="auto"/>
      </w:pPr>
      <w:r>
        <w:rPr>
          <w:rFonts w:ascii="Calibri" w:hAnsi="Calibri"/>
          <w:b/>
          <w:i w:val="0"/>
          <w:color w:val="0F172A"/>
          <w:sz w:val="21"/>
        </w:rPr>
        <w:t xml:space="preserve">2. Prospective Multi-Center Clinical Trials: </w:t>
      </w:r>
      <w:r>
        <w:rPr>
          <w:rFonts w:ascii="Calibri" w:hAnsi="Calibri"/>
          <w:b w:val="0"/>
          <w:i w:val="0"/>
          <w:color w:val="334155"/>
          <w:sz w:val="21"/>
        </w:rPr>
        <w:t>Transitioning from surgical benchmark retrospective cohorts to prospective ambulatory cardiology registries (targeting post-PCI and coronary artery bypass graft patients).</w:t>
      </w:r>
    </w:p>
    <w:p>
      <w:pPr>
        <w:pStyle w:val="ListBullet"/>
        <w:spacing w:before="20" w:after="60" w:line="276" w:lineRule="auto"/>
      </w:pPr>
      <w:r>
        <w:rPr>
          <w:rFonts w:ascii="Calibri" w:hAnsi="Calibri"/>
          <w:b/>
          <w:i w:val="0"/>
          <w:color w:val="0F172A"/>
          <w:sz w:val="21"/>
        </w:rPr>
        <w:t xml:space="preserve">3. Medical Device Regulatory Pathway: </w:t>
      </w:r>
      <w:r>
        <w:rPr>
          <w:rFonts w:ascii="Calibri" w:hAnsi="Calibri"/>
          <w:b w:val="0"/>
          <w:i w:val="0"/>
          <w:color w:val="334155"/>
          <w:sz w:val="21"/>
        </w:rPr>
        <w:t>Pursuing FDA De Novo classification and CE mark approval as a Software as a Medical Device (SaMD) clinical decision support framework.</w:t>
      </w:r>
    </w:p>
    <w:p>
      <w:pPr>
        <w:spacing w:before="0" w:after="100" w:line="276" w:lineRule="auto"/>
      </w:pPr>
      <w:r>
        <w:rPr>
          <w:rFonts w:ascii="Calibri" w:hAnsi="Calibri"/>
          <w:b w:val="0"/>
          <w:i w:val="0"/>
          <w:color w:val="334155"/>
          <w:sz w:val="21"/>
        </w:rPr>
        <w:br/>
        <w:t>---</w:t>
        <w:br/>
        <w:t>Document generated and certified by BeatAhead AI Research Team.</w:t>
        <w:br/>
        <w:t>Skanda K N &amp; S Chiranjeevi • October 2026</w:t>
      </w:r>
    </w:p>
    <w:sectPr w:rsidR="00FC693F" w:rsidRPr="0006063C" w:rsidSect="00034616">
      <w:headerReference w:type="default" r:id="rId9"/>
      <w:footerReference w:type="default" r:id="rId1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both"/>
    </w:pPr>
    <w:r>
      <w:rPr>
        <w:rFonts w:ascii="Calibri" w:hAnsi="Calibri"/>
        <w:b w:val="0"/>
        <w:i w:val="0"/>
        <w:color w:val="64748B"/>
        <w:sz w:val="17"/>
      </w:rPr>
      <w:t>BeatAhead Healthcare AI Platform • Skanda K N &amp; S Chiranjeevi • Confidential &amp; Proprietary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val="0"/>
        <w:i/>
        <w:color w:val="64748B"/>
        <w:sz w:val="17"/>
      </w:rPr>
      <w:t>BeatAhead: Ischemic Stress Index (ISI) — Technical Architecture &amp; Idea Manifesto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