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Arial" w:cs="Arial" w:eastAsia="Arial" w:hAnsi="Arial"/>
          <w:b/>
          <w:bCs/>
          <w:color w:val="1B3A5C"/>
          <w:sz w:val="56"/>
          <w:szCs w:val="56"/>
        </w:rPr>
        <w:t xml:space="preserve">SPECTRAL ANALYSIS FEATURE</w:t>
      </w:r>
    </w:p>
    <w:p>
      <w:pPr>
        <w:spacing w:after="200"/>
        <w:jc w:val="center"/>
      </w:pPr>
      <w:r>
        <w:rPr>
          <w:rFonts w:ascii="Arial" w:cs="Arial" w:eastAsia="Arial" w:hAnsi="Arial"/>
          <w:color w:val="2E75B6"/>
          <w:sz w:val="36"/>
          <w:szCs w:val="36"/>
        </w:rPr>
        <w:t xml:space="preserve">Architecture &amp; Design Document</w:t>
      </w:r>
    </w:p>
    <w:p>
      <w:pPr>
        <w:spacing w:after="80"/>
        <w:jc w:val="center"/>
      </w:pPr>
      <w:r>
        <w:rPr>
          <w:rFonts w:ascii="Arial" w:cs="Arial" w:eastAsia="Arial" w:hAnsi="Arial"/>
          <w:color w:val="555555"/>
          <w:sz w:val="28"/>
          <w:szCs w:val="28"/>
        </w:rPr>
        <w:t xml:space="preserve">Perceptiv Admin Dashboard</w:t>
      </w:r>
    </w:p>
    <w:p>
      <w:pPr>
        <w:spacing w:after="400"/>
      </w:pPr>
    </w:p>
    <w:p>
      <w:pPr>
        <w:pBdr>
          <w:top w:val="single" w:color="2E75B6" w:sz="2" w:space="8"/>
        </w:pBdr>
        <w:spacing w:before="200"/>
        <w:jc w:val="center"/>
      </w:pPr>
    </w:p>
    <w:p>
      <w:pPr>
        <w:spacing w:after="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1B3A5C"/>
                <w:sz w:val="22"/>
                <w:szCs w:val="22"/>
              </w:rPr>
              <w:t xml:space="preserve">Version</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555555"/>
                <w:sz w:val="22"/>
                <w:szCs w:val="22"/>
              </w:rPr>
              <w:t xml:space="preserve">1.0</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1B3A5C"/>
                <w:sz w:val="22"/>
                <w:szCs w:val="22"/>
              </w:rPr>
              <w:t xml:space="preserve">Author</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555555"/>
                <w:sz w:val="22"/>
                <w:szCs w:val="22"/>
              </w:rPr>
              <w:t xml:space="preserve">Harsha</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1B3A5C"/>
                <w:sz w:val="22"/>
                <w:szCs w:val="22"/>
              </w:rPr>
              <w:t xml:space="preserve">Date</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555555"/>
                <w:sz w:val="22"/>
                <w:szCs w:val="22"/>
              </w:rPr>
              <w:t xml:space="preserve">February 2026</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1B3A5C"/>
                <w:sz w:val="22"/>
                <w:szCs w:val="22"/>
              </w:rPr>
              <w:t xml:space="preserve">Status</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555555"/>
                <w:sz w:val="22"/>
                <w:szCs w:val="22"/>
              </w:rPr>
              <w:t xml:space="preserve">Draft</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1B3A5C"/>
                <w:sz w:val="22"/>
                <w:szCs w:val="22"/>
              </w:rPr>
              <w:t xml:space="preserve">Phase</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555555"/>
                <w:sz w:val="22"/>
                <w:szCs w:val="22"/>
              </w:rPr>
              <w:t xml:space="preserve">MVP / Phase 1</w:t>
            </w:r>
          </w:p>
        </w:tc>
      </w:tr>
    </w:tbl>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color w:val="000000"/>
          <w:sz w:val="22"/>
          <w:szCs w:val="22"/>
        </w:rPr>
        <w:t xml:space="preserve">This document defines the technical architecture for the Spectral Analysis feature within the Perceptiv Admin Dashboard. The feature enables vibration analysts to investigate raw waveform data and FFT spectra directly from alarm contexts, supporting root cause analysis of equipment health issues.</w:t>
      </w:r>
    </w:p>
    <w:p>
      <w:pPr>
        <w:spacing w:after="120"/>
      </w:pPr>
      <w:r>
        <w:rPr>
          <w:rFonts w:ascii="Arial" w:cs="Arial" w:eastAsia="Arial" w:hAnsi="Arial"/>
          <w:color w:val="000000"/>
          <w:sz w:val="22"/>
          <w:szCs w:val="22"/>
        </w:rPr>
        <w:t xml:space="preserve">The design prioritizes a clean separation between a data-serving backend API and a client-side visualization layer. FFT computation is performed in the browser, keeping the backend as a reusable data service that can serve both the Perceptiv dashboard and potential third-party consumers.</w:t>
      </w:r>
    </w:p>
    <w:p>
      <w:pPr>
        <w:spacing w:after="200"/>
      </w:pPr>
    </w:p>
    <w:p>
      <w:pPr>
        <w:pStyle w:val="Heading1"/>
      </w:pPr>
      <w:r>
        <w:t xml:space="preserve">2. Architectural Decisions</w:t>
      </w:r>
    </w:p>
    <w:p>
      <w:pPr>
        <w:spacing w:after="120"/>
      </w:pPr>
      <w:r>
        <w:rPr>
          <w:rFonts w:ascii="Arial" w:cs="Arial" w:eastAsia="Arial" w:hAnsi="Arial"/>
          <w:color w:val="000000"/>
          <w:sz w:val="22"/>
          <w:szCs w:val="22"/>
        </w:rPr>
        <w:t xml:space="preserve">The following key decisions were made during design and are documented here with rationale for traceability.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c>
          <w:tcPr>
            <w:tcW w:type="dxa" w:w="10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30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53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1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ADR-001</w:t>
            </w:r>
          </w:p>
        </w:tc>
        <w:tc>
          <w:tcPr>
            <w:tcW w:type="dxa" w:w="3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FFT computed client-side in the browser</w:t>
            </w:r>
          </w:p>
        </w:tc>
        <w:tc>
          <w:tcPr>
            <w:tcW w:type="dxa" w:w="53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Eliminates API round-trip on axis toggle. Enables backend to remain a pure data service. Browser can compute FFT on 16,384 points in &lt;50ms using optimized JavaScript libraries. Third-party API consumers can perform their own analysis.</w:t>
            </w:r>
          </w:p>
        </w:tc>
      </w:tr>
      <w:tr>
        <w:tc>
          <w:tcPr>
            <w:tcW w:type="dxa" w:w="1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ADR-002</w:t>
            </w:r>
          </w:p>
        </w:tc>
        <w:tc>
          <w:tcPr>
            <w:tcW w:type="dxa" w:w="3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 decodes base64 and scales to g values</w:t>
            </w:r>
          </w:p>
        </w:tc>
        <w:tc>
          <w:tcPr>
            <w:tcW w:type="dxa" w:w="53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Raw sensor data is base64-encoded 16-bit signed integers. Decoding and scaling require knowledge of config.accelRange_g. Centralizing this in the backend ensures consistent data interpretation across all consumers.</w:t>
            </w:r>
          </w:p>
        </w:tc>
      </w:tr>
      <w:tr>
        <w:tc>
          <w:tcPr>
            <w:tcW w:type="dxa" w:w="1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ADR-003</w:t>
            </w:r>
          </w:p>
        </w:tc>
        <w:tc>
          <w:tcPr>
            <w:tcW w:type="dxa" w:w="3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Plotly.js for chart rendering</w:t>
            </w:r>
          </w:p>
        </w:tc>
        <w:tc>
          <w:tcPr>
            <w:tcW w:type="dxa" w:w="53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Provides zoom, pan, hover tooltips out of the box. Handles 16,384 data points with interactive performance. Supports scientific chart conventions (axis labels, units). Significantly reduces frontend development time compared to D3.js.</w:t>
            </w:r>
          </w:p>
        </w:tc>
      </w:tr>
      <w:tr>
        <w:tc>
          <w:tcPr>
            <w:tcW w:type="dxa" w:w="1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ADR-004</w:t>
            </w:r>
          </w:p>
        </w:tc>
        <w:tc>
          <w:tcPr>
            <w:tcW w:type="dxa" w:w="3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three axes loaded in a single API call</w:t>
            </w:r>
          </w:p>
        </w:tc>
        <w:tc>
          <w:tcPr>
            <w:tcW w:type="dxa" w:w="53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A single waveform payload contains rawHoriz, rawVert, and rawAxial. Loading all three at once avoids repeated API calls when the analyst toggles between axes. Payload size is ~100KB decoded per axis, totaling ~300KB — acceptable for desktop use.</w:t>
            </w:r>
          </w:p>
        </w:tc>
      </w:tr>
      <w:tr>
        <w:tc>
          <w:tcPr>
            <w:tcW w:type="dxa" w:w="1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ADR-005</w:t>
            </w:r>
          </w:p>
        </w:tc>
        <w:tc>
          <w:tcPr>
            <w:tcW w:type="dxa" w:w="3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Sample rate read from sensor config metadata</w:t>
            </w:r>
          </w:p>
        </w:tc>
        <w:tc>
          <w:tcPr>
            <w:tcW w:type="dxa" w:w="53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Actual sample rates vary per sensor (e.g., 6547.3 Hz vs 6513.9 Hz). The system must use config.sampleRate_Hz from each payload, not hardcoded nominal values, to ensure accurate frequency axis computation.</w:t>
            </w:r>
          </w:p>
        </w:tc>
      </w:tr>
    </w:tbl>
    <w:p>
      <w:pPr>
        <w:spacing w:after="200"/>
      </w:pPr>
    </w:p>
    <w:p>
      <w:pPr>
        <w:pStyle w:val="Heading1"/>
      </w:pPr>
      <w:r>
        <w:t xml:space="preserve">3. System Architecture</w:t>
      </w:r>
    </w:p>
    <w:p>
      <w:pPr>
        <w:pStyle w:val="Heading2"/>
      </w:pPr>
      <w:r>
        <w:t xml:space="preserve">3.1 High-Level Data Flow</w:t>
      </w:r>
    </w:p>
    <w:p>
      <w:pPr>
        <w:spacing w:after="120"/>
      </w:pPr>
      <w:r>
        <w:rPr>
          <w:rFonts w:ascii="Arial" w:cs="Arial" w:eastAsia="Arial" w:hAnsi="Arial"/>
          <w:color w:val="000000"/>
          <w:sz w:val="22"/>
          <w:szCs w:val="22"/>
        </w:rPr>
        <w:t xml:space="preserve">The spectral analysis feature follows a linear data pipeline from sensor hardware through to browser-rendered visualization.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C4D8" w:sz="1"/>
              <w:left w:val="single" w:color="B0C4D8" w:sz="1"/>
              <w:bottom w:val="single" w:color="B0C4D8" w:sz="1"/>
              <w:right w:val="single" w:color="B0C4D8" w:sz="1"/>
            </w:tcBorders>
            <w:shd w:fill="F0F0F0" w:val="clear"/>
            <w:tcMar>
              <w:top w:type="dxa" w:w="80"/>
              <w:left w:type="dxa" w:w="120"/>
              <w:bottom w:type="dxa" w:w="80"/>
              <w:right w:type="dxa" w:w="120"/>
            </w:tcMar>
            <w:vAlign w:val="center"/>
          </w:tcPr>
          <w:p>
            <w:pPr>
              <w:jc w:val="center"/>
            </w:pPr>
            <w:r>
              <w:rPr>
                <w:rFonts w:ascii="Arial" w:cs="Arial" w:eastAsia="Arial" w:hAnsi="Arial"/>
                <w:b/>
                <w:bCs/>
                <w:color w:val="1B3A5C"/>
                <w:sz w:val="18"/>
                <w:szCs w:val="18"/>
              </w:rPr>
              <w:t xml:space="preserve">SR-71VT</w:t>
            </w:r>
          </w:p>
          <w:p>
            <w:pPr>
              <w:jc w:val="center"/>
            </w:pPr>
            <w:r>
              <w:rPr>
                <w:rFonts w:ascii="Arial" w:cs="Arial" w:eastAsia="Arial" w:hAnsi="Arial"/>
                <w:b/>
                <w:bCs/>
                <w:color w:val="1B3A5C"/>
                <w:sz w:val="18"/>
                <w:szCs w:val="18"/>
              </w:rPr>
              <w:t xml:space="preserve">Sensor</w:t>
            </w:r>
          </w:p>
        </w:tc>
        <w:tc>
          <w:tcPr>
            <w:tcW w:type="dxa" w:w="1872"/>
            <w:tcBorders>
              <w:top w:val="single" w:color="B0C4D8" w:sz="1"/>
              <w:left w:val="single" w:color="B0C4D8" w:sz="1"/>
              <w:bottom w:val="single" w:color="B0C4D8" w:sz="1"/>
              <w:right w:val="single" w:color="B0C4D8" w:sz="1"/>
            </w:tcBorders>
            <w:shd w:fill="F0F0F0" w:val="clear"/>
            <w:tcMar>
              <w:top w:type="dxa" w:w="80"/>
              <w:left w:type="dxa" w:w="120"/>
              <w:bottom w:type="dxa" w:w="80"/>
              <w:right w:type="dxa" w:w="120"/>
            </w:tcMar>
            <w:vAlign w:val="center"/>
          </w:tcPr>
          <w:p>
            <w:pPr>
              <w:jc w:val="center"/>
            </w:pPr>
            <w:r>
              <w:rPr>
                <w:rFonts w:ascii="Arial" w:cs="Arial" w:eastAsia="Arial" w:hAnsi="Arial"/>
                <w:b/>
                <w:bCs/>
                <w:color w:val="1B3A5C"/>
                <w:sz w:val="18"/>
                <w:szCs w:val="18"/>
              </w:rPr>
              <w:t xml:space="preserve">Gateway</w:t>
            </w:r>
          </w:p>
        </w:tc>
        <w:tc>
          <w:tcPr>
            <w:tcW w:type="dxa" w:w="1872"/>
            <w:tcBorders>
              <w:top w:val="single" w:color="B0C4D8" w:sz="1"/>
              <w:left w:val="single" w:color="B0C4D8" w:sz="1"/>
              <w:bottom w:val="single" w:color="B0C4D8" w:sz="1"/>
              <w:right w:val="single" w:color="B0C4D8" w:sz="1"/>
            </w:tcBorders>
            <w:shd w:fill="FFF3CD" w:val="clear"/>
            <w:tcMar>
              <w:top w:type="dxa" w:w="80"/>
              <w:left w:type="dxa" w:w="120"/>
              <w:bottom w:type="dxa" w:w="80"/>
              <w:right w:type="dxa" w:w="120"/>
            </w:tcMar>
            <w:vAlign w:val="center"/>
          </w:tcPr>
          <w:p>
            <w:pPr>
              <w:jc w:val="center"/>
            </w:pPr>
            <w:r>
              <w:rPr>
                <w:rFonts w:ascii="Arial" w:cs="Arial" w:eastAsia="Arial" w:hAnsi="Arial"/>
                <w:b/>
                <w:bCs/>
                <w:color w:val="1B3A5C"/>
                <w:sz w:val="18"/>
                <w:szCs w:val="18"/>
              </w:rPr>
              <w:t xml:space="preserve">Azure Cloud</w:t>
            </w:r>
          </w:p>
          <w:p>
            <w:pPr>
              <w:jc w:val="center"/>
            </w:pPr>
            <w:r>
              <w:rPr>
                <w:rFonts w:ascii="Arial" w:cs="Arial" w:eastAsia="Arial" w:hAnsi="Arial"/>
                <w:b/>
                <w:bCs/>
                <w:color w:val="1B3A5C"/>
                <w:sz w:val="18"/>
                <w:szCs w:val="18"/>
              </w:rPr>
              <w:t xml:space="preserve">(ADLS)</w:t>
            </w:r>
          </w:p>
        </w:tc>
        <w:tc>
          <w:tcPr>
            <w:tcW w:type="dxa" w:w="1872"/>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center"/>
            </w:pPr>
            <w:r>
              <w:rPr>
                <w:rFonts w:ascii="Arial" w:cs="Arial" w:eastAsia="Arial" w:hAnsi="Arial"/>
                <w:b/>
                <w:bCs/>
                <w:color w:val="1B3A5C"/>
                <w:sz w:val="18"/>
                <w:szCs w:val="18"/>
              </w:rPr>
              <w:t xml:space="preserve">Backend API</w:t>
            </w:r>
          </w:p>
          <w:p>
            <w:pPr>
              <w:jc w:val="center"/>
            </w:pPr>
            <w:r>
              <w:rPr>
                <w:rFonts w:ascii="Arial" w:cs="Arial" w:eastAsia="Arial" w:hAnsi="Arial"/>
                <w:b/>
                <w:bCs/>
                <w:color w:val="1B3A5C"/>
                <w:sz w:val="18"/>
                <w:szCs w:val="18"/>
              </w:rPr>
              <w:t xml:space="preserve">(Node.js)</w:t>
            </w:r>
          </w:p>
        </w:tc>
        <w:tc>
          <w:tcPr>
            <w:tcW w:type="dxa" w:w="1872"/>
            <w:tcBorders>
              <w:top w:val="single" w:color="B0C4D8" w:sz="1"/>
              <w:left w:val="single" w:color="B0C4D8" w:sz="1"/>
              <w:bottom w:val="single" w:color="B0C4D8" w:sz="1"/>
              <w:right w:val="single" w:color="B0C4D8" w:sz="1"/>
            </w:tcBorders>
            <w:shd w:fill="D5F5E3" w:val="clear"/>
            <w:tcMar>
              <w:top w:type="dxa" w:w="80"/>
              <w:left w:type="dxa" w:w="120"/>
              <w:bottom w:type="dxa" w:w="80"/>
              <w:right w:type="dxa" w:w="120"/>
            </w:tcMar>
            <w:vAlign w:val="center"/>
          </w:tcPr>
          <w:p>
            <w:pPr>
              <w:jc w:val="center"/>
            </w:pPr>
            <w:r>
              <w:rPr>
                <w:rFonts w:ascii="Arial" w:cs="Arial" w:eastAsia="Arial" w:hAnsi="Arial"/>
                <w:b/>
                <w:bCs/>
                <w:color w:val="1B3A5C"/>
                <w:sz w:val="18"/>
                <w:szCs w:val="18"/>
              </w:rPr>
              <w:t xml:space="preserve">Frontend</w:t>
            </w:r>
          </w:p>
          <w:p>
            <w:pPr>
              <w:jc w:val="center"/>
            </w:pPr>
            <w:r>
              <w:rPr>
                <w:rFonts w:ascii="Arial" w:cs="Arial" w:eastAsia="Arial" w:hAnsi="Arial"/>
                <w:b/>
                <w:bCs/>
                <w:color w:val="1B3A5C"/>
                <w:sz w:val="18"/>
                <w:szCs w:val="18"/>
              </w:rPr>
              <w:t xml:space="preserve">(React)</w:t>
            </w:r>
          </w:p>
        </w:tc>
      </w:tr>
      <w:tr>
        <w:tc>
          <w:tcPr>
            <w:tcW w:type="dxa" w:w="1872"/>
            <w:tcBorders>
              <w:top w:val="single" w:color="B0C4D8" w:sz="1"/>
              <w:left w:val="single" w:color="B0C4D8" w:sz="1"/>
              <w:bottom w:val="single" w:color="B0C4D8" w:sz="1"/>
              <w:right w:val="single" w:color="B0C4D8" w:sz="1"/>
            </w:tcBorders>
            <w:tcMar>
              <w:top w:type="dxa" w:w="80"/>
              <w:left w:type="dxa" w:w="120"/>
              <w:bottom w:type="dxa" w:w="80"/>
              <w:right w:type="dxa" w:w="120"/>
            </w:tcMar>
          </w:tcPr>
          <w:p>
            <w:pPr>
              <w:jc w:val="center"/>
            </w:pPr>
            <w:r>
              <w:rPr>
                <w:rFonts w:ascii="Arial" w:cs="Arial" w:eastAsia="Arial" w:hAnsi="Arial"/>
                <w:color w:val="555555"/>
                <w:sz w:val="16"/>
                <w:szCs w:val="16"/>
              </w:rPr>
              <w:t xml:space="preserve">Collects raw</w:t>
            </w:r>
          </w:p>
          <w:p>
            <w:pPr>
              <w:jc w:val="center"/>
            </w:pPr>
            <w:r>
              <w:rPr>
                <w:rFonts w:ascii="Arial" w:cs="Arial" w:eastAsia="Arial" w:hAnsi="Arial"/>
                <w:color w:val="555555"/>
                <w:sz w:val="16"/>
                <w:szCs w:val="16"/>
              </w:rPr>
              <w:t xml:space="preserve">acceleration at</w:t>
            </w:r>
          </w:p>
          <w:p>
            <w:pPr>
              <w:jc w:val="center"/>
            </w:pPr>
            <w:r>
              <w:rPr>
                <w:rFonts w:ascii="Arial" w:cs="Arial" w:eastAsia="Arial" w:hAnsi="Arial"/>
                <w:color w:val="555555"/>
                <w:sz w:val="16"/>
                <w:szCs w:val="16"/>
              </w:rPr>
              <w:t xml:space="preserve">~6547 Hz for</w:t>
            </w:r>
          </w:p>
          <w:p>
            <w:pPr>
              <w:jc w:val="center"/>
            </w:pPr>
            <w:r>
              <w:rPr>
                <w:rFonts w:ascii="Arial" w:cs="Arial" w:eastAsia="Arial" w:hAnsi="Arial"/>
                <w:color w:val="555555"/>
                <w:sz w:val="16"/>
                <w:szCs w:val="16"/>
              </w:rPr>
              <w:t xml:space="preserve">~2.5 seconds</w:t>
            </w:r>
          </w:p>
        </w:tc>
        <w:tc>
          <w:tcPr>
            <w:tcW w:type="dxa" w:w="1872"/>
            <w:tcBorders>
              <w:top w:val="single" w:color="B0C4D8" w:sz="1"/>
              <w:left w:val="single" w:color="B0C4D8" w:sz="1"/>
              <w:bottom w:val="single" w:color="B0C4D8" w:sz="1"/>
              <w:right w:val="single" w:color="B0C4D8" w:sz="1"/>
            </w:tcBorders>
            <w:tcMar>
              <w:top w:type="dxa" w:w="80"/>
              <w:left w:type="dxa" w:w="120"/>
              <w:bottom w:type="dxa" w:w="80"/>
              <w:right w:type="dxa" w:w="120"/>
            </w:tcMar>
          </w:tcPr>
          <w:p>
            <w:pPr>
              <w:jc w:val="center"/>
            </w:pPr>
            <w:r>
              <w:rPr>
                <w:rFonts w:ascii="Arial" w:cs="Arial" w:eastAsia="Arial" w:hAnsi="Arial"/>
                <w:color w:val="555555"/>
                <w:sz w:val="16"/>
                <w:szCs w:val="16"/>
              </w:rPr>
              <w:t xml:space="preserve">Receives</w:t>
            </w:r>
          </w:p>
          <w:p>
            <w:pPr>
              <w:jc w:val="center"/>
            </w:pPr>
            <w:r>
              <w:rPr>
                <w:rFonts w:ascii="Arial" w:cs="Arial" w:eastAsia="Arial" w:hAnsi="Arial"/>
                <w:color w:val="555555"/>
                <w:sz w:val="16"/>
                <w:szCs w:val="16"/>
              </w:rPr>
              <w:t xml:space="preserve">telemetry,</w:t>
            </w:r>
          </w:p>
          <w:p>
            <w:pPr>
              <w:jc w:val="center"/>
            </w:pPr>
            <w:r>
              <w:rPr>
                <w:rFonts w:ascii="Arial" w:cs="Arial" w:eastAsia="Arial" w:hAnsi="Arial"/>
                <w:color w:val="555555"/>
                <w:sz w:val="16"/>
                <w:szCs w:val="16"/>
              </w:rPr>
              <w:t xml:space="preserve">forwards to</w:t>
            </w:r>
          </w:p>
          <w:p>
            <w:pPr>
              <w:jc w:val="center"/>
            </w:pPr>
            <w:r>
              <w:rPr>
                <w:rFonts w:ascii="Arial" w:cs="Arial" w:eastAsia="Arial" w:hAnsi="Arial"/>
                <w:color w:val="555555"/>
                <w:sz w:val="16"/>
                <w:szCs w:val="16"/>
              </w:rPr>
              <w:t xml:space="preserve">cloud</w:t>
            </w:r>
          </w:p>
        </w:tc>
        <w:tc>
          <w:tcPr>
            <w:tcW w:type="dxa" w:w="1872"/>
            <w:tcBorders>
              <w:top w:val="single" w:color="B0C4D8" w:sz="1"/>
              <w:left w:val="single" w:color="B0C4D8" w:sz="1"/>
              <w:bottom w:val="single" w:color="B0C4D8" w:sz="1"/>
              <w:right w:val="single" w:color="B0C4D8" w:sz="1"/>
            </w:tcBorders>
            <w:tcMar>
              <w:top w:type="dxa" w:w="80"/>
              <w:left w:type="dxa" w:w="120"/>
              <w:bottom w:type="dxa" w:w="80"/>
              <w:right w:type="dxa" w:w="120"/>
            </w:tcMar>
          </w:tcPr>
          <w:p>
            <w:pPr>
              <w:jc w:val="center"/>
            </w:pPr>
            <w:r>
              <w:rPr>
                <w:rFonts w:ascii="Arial" w:cs="Arial" w:eastAsia="Arial" w:hAnsi="Arial"/>
                <w:color w:val="555555"/>
                <w:sz w:val="16"/>
                <w:szCs w:val="16"/>
              </w:rPr>
              <w:t xml:space="preserve">Stores raw</w:t>
            </w:r>
          </w:p>
          <w:p>
            <w:pPr>
              <w:jc w:val="center"/>
            </w:pPr>
            <w:r>
              <w:rPr>
                <w:rFonts w:ascii="Arial" w:cs="Arial" w:eastAsia="Arial" w:hAnsi="Arial"/>
                <w:color w:val="555555"/>
                <w:sz w:val="16"/>
                <w:szCs w:val="16"/>
              </w:rPr>
              <w:t xml:space="preserve">waveform as</w:t>
            </w:r>
          </w:p>
          <w:p>
            <w:pPr>
              <w:jc w:val="center"/>
            </w:pPr>
            <w:r>
              <w:rPr>
                <w:rFonts w:ascii="Arial" w:cs="Arial" w:eastAsia="Arial" w:hAnsi="Arial"/>
                <w:color w:val="555555"/>
                <w:sz w:val="16"/>
                <w:szCs w:val="16"/>
              </w:rPr>
              <w:t xml:space="preserve">base64-encoded</w:t>
            </w:r>
          </w:p>
          <w:p>
            <w:pPr>
              <w:jc w:val="center"/>
            </w:pPr>
            <w:r>
              <w:rPr>
                <w:rFonts w:ascii="Arial" w:cs="Arial" w:eastAsia="Arial" w:hAnsi="Arial"/>
                <w:color w:val="555555"/>
                <w:sz w:val="16"/>
                <w:szCs w:val="16"/>
              </w:rPr>
              <w:t xml:space="preserve">JSON blobs</w:t>
            </w:r>
          </w:p>
        </w:tc>
        <w:tc>
          <w:tcPr>
            <w:tcW w:type="dxa" w:w="1872"/>
            <w:tcBorders>
              <w:top w:val="single" w:color="B0C4D8" w:sz="1"/>
              <w:left w:val="single" w:color="B0C4D8" w:sz="1"/>
              <w:bottom w:val="single" w:color="B0C4D8" w:sz="1"/>
              <w:right w:val="single" w:color="B0C4D8" w:sz="1"/>
            </w:tcBorders>
            <w:tcMar>
              <w:top w:type="dxa" w:w="80"/>
              <w:left w:type="dxa" w:w="120"/>
              <w:bottom w:type="dxa" w:w="80"/>
              <w:right w:type="dxa" w:w="120"/>
            </w:tcMar>
          </w:tcPr>
          <w:p>
            <w:pPr>
              <w:jc w:val="center"/>
            </w:pPr>
            <w:r>
              <w:rPr>
                <w:rFonts w:ascii="Arial" w:cs="Arial" w:eastAsia="Arial" w:hAnsi="Arial"/>
                <w:color w:val="555555"/>
                <w:sz w:val="16"/>
                <w:szCs w:val="16"/>
              </w:rPr>
              <w:t xml:space="preserve">Reads from ADLS,</w:t>
            </w:r>
          </w:p>
          <w:p>
            <w:pPr>
              <w:jc w:val="center"/>
            </w:pPr>
            <w:r>
              <w:rPr>
                <w:rFonts w:ascii="Arial" w:cs="Arial" w:eastAsia="Arial" w:hAnsi="Arial"/>
                <w:color w:val="555555"/>
                <w:sz w:val="16"/>
                <w:szCs w:val="16"/>
              </w:rPr>
              <w:t xml:space="preserve">decodes base64,</w:t>
            </w:r>
          </w:p>
          <w:p>
            <w:pPr>
              <w:jc w:val="center"/>
            </w:pPr>
            <w:r>
              <w:rPr>
                <w:rFonts w:ascii="Arial" w:cs="Arial" w:eastAsia="Arial" w:hAnsi="Arial"/>
                <w:color w:val="555555"/>
                <w:sz w:val="16"/>
                <w:szCs w:val="16"/>
              </w:rPr>
              <w:t xml:space="preserve">scales to g values,</w:t>
            </w:r>
          </w:p>
          <w:p>
            <w:pPr>
              <w:jc w:val="center"/>
            </w:pPr>
            <w:r>
              <w:rPr>
                <w:rFonts w:ascii="Arial" w:cs="Arial" w:eastAsia="Arial" w:hAnsi="Arial"/>
                <w:color w:val="555555"/>
                <w:sz w:val="16"/>
                <w:szCs w:val="16"/>
              </w:rPr>
              <w:t xml:space="preserve">returns JSON arrays</w:t>
            </w:r>
          </w:p>
        </w:tc>
        <w:tc>
          <w:tcPr>
            <w:tcW w:type="dxa" w:w="1872"/>
            <w:tcBorders>
              <w:top w:val="single" w:color="B0C4D8" w:sz="1"/>
              <w:left w:val="single" w:color="B0C4D8" w:sz="1"/>
              <w:bottom w:val="single" w:color="B0C4D8" w:sz="1"/>
              <w:right w:val="single" w:color="B0C4D8" w:sz="1"/>
            </w:tcBorders>
            <w:tcMar>
              <w:top w:type="dxa" w:w="80"/>
              <w:left w:type="dxa" w:w="120"/>
              <w:bottom w:type="dxa" w:w="80"/>
              <w:right w:type="dxa" w:w="120"/>
            </w:tcMar>
          </w:tcPr>
          <w:p>
            <w:pPr>
              <w:jc w:val="center"/>
            </w:pPr>
            <w:r>
              <w:rPr>
                <w:rFonts w:ascii="Arial" w:cs="Arial" w:eastAsia="Arial" w:hAnsi="Arial"/>
                <w:color w:val="555555"/>
                <w:sz w:val="16"/>
                <w:szCs w:val="16"/>
              </w:rPr>
              <w:t xml:space="preserve">Renders time</w:t>
            </w:r>
          </w:p>
          <w:p>
            <w:pPr>
              <w:jc w:val="center"/>
            </w:pPr>
            <w:r>
              <w:rPr>
                <w:rFonts w:ascii="Arial" w:cs="Arial" w:eastAsia="Arial" w:hAnsi="Arial"/>
                <w:color w:val="555555"/>
                <w:sz w:val="16"/>
                <w:szCs w:val="16"/>
              </w:rPr>
              <w:t xml:space="preserve">waveform, computes</w:t>
            </w:r>
          </w:p>
          <w:p>
            <w:pPr>
              <w:jc w:val="center"/>
            </w:pPr>
            <w:r>
              <w:rPr>
                <w:rFonts w:ascii="Arial" w:cs="Arial" w:eastAsia="Arial" w:hAnsi="Arial"/>
                <w:color w:val="555555"/>
                <w:sz w:val="16"/>
                <w:szCs w:val="16"/>
              </w:rPr>
              <w:t xml:space="preserve">FFT client-side,</w:t>
            </w:r>
          </w:p>
          <w:p>
            <w:pPr>
              <w:jc w:val="center"/>
            </w:pPr>
            <w:r>
              <w:rPr>
                <w:rFonts w:ascii="Arial" w:cs="Arial" w:eastAsia="Arial" w:hAnsi="Arial"/>
                <w:color w:val="555555"/>
                <w:sz w:val="16"/>
                <w:szCs w:val="16"/>
              </w:rPr>
              <w:t xml:space="preserve">Plotly.js charts</w:t>
            </w:r>
          </w:p>
        </w:tc>
      </w:tr>
    </w:tbl>
    <w:p>
      <w:pPr>
        <w:spacing w:after="80"/>
      </w:pPr>
    </w:p>
    <w:p>
      <w:pPr>
        <w:spacing w:after="120"/>
      </w:pPr>
      <w:r>
        <w:rPr>
          <w:rFonts w:ascii="Arial" w:cs="Arial" w:eastAsia="Arial" w:hAnsi="Arial"/>
          <w:b/>
          <w:bCs/>
          <w:color w:val="1B3A5C"/>
          <w:sz w:val="22"/>
          <w:szCs w:val="22"/>
        </w:rPr>
        <w:t xml:space="preserve">Data transformation at each stage: </w:t>
      </w:r>
      <w:r>
        <w:rPr>
          <w:rFonts w:ascii="Arial" w:cs="Arial" w:eastAsia="Arial" w:hAnsi="Arial"/>
          <w:sz w:val="22"/>
          <w:szCs w:val="22"/>
        </w:rPr>
        <w:t xml:space="preserve">The sensor captures 16,384 samples (2^14, a power of 2 optimized for FFT) as raw acceleration data. The gateway transmits this as telemetry to Azure, where it is stored in ADLS as a JSON blob containing base64-encoded 16-bit signed integers. The backend API reads this blob, decodes the base64 string, unpacks the 16-bit integers, and scales them using the formula: </w:t>
      </w:r>
      <w:r>
        <w:rPr>
          <w:rFonts w:ascii="Consolas" w:cs="Consolas" w:eastAsia="Consolas" w:hAnsi="Consolas"/>
          <w:color w:val="2E75B6"/>
          <w:sz w:val="20"/>
          <w:szCs w:val="20"/>
        </w:rPr>
        <w:t xml:space="preserve">value_g = raw_int × (accelRange_g / 32768)</w:t>
      </w:r>
      <w:r>
        <w:rPr>
          <w:rFonts w:ascii="Arial" w:cs="Arial" w:eastAsia="Arial" w:hAnsi="Arial"/>
          <w:sz w:val="22"/>
          <w:szCs w:val="22"/>
        </w:rPr>
        <w:t xml:space="preserve">. The frontend receives clean g-value arrays and computes FFT in the browser.</w:t>
      </w:r>
    </w:p>
    <w:p>
      <w:pPr>
        <w:spacing w:after="200"/>
      </w:pPr>
    </w:p>
    <w:p>
      <w:pPr>
        <w:pStyle w:val="Heading2"/>
      </w:pPr>
      <w:r>
        <w:t xml:space="preserve">3.2 Backend API Design</w:t>
      </w:r>
    </w:p>
    <w:p>
      <w:pPr>
        <w:pStyle w:val="Heading3"/>
      </w:pPr>
      <w:r>
        <w:t xml:space="preserve">3.2.1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4360"/>
        <w:gridCol w:w="1400"/>
      </w:tblGrid>
      <w:tr>
        <w:tc>
          <w:tcPr>
            <w:tcW w:type="dxa" w:w="2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43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14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/api/waveform/{sensorId}/{timestamp}</w:t>
            </w:r>
          </w:p>
        </w:tc>
        <w:tc>
          <w:tcPr>
            <w:tcW w:type="dxa" w:w="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43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Returns decoded waveform data for all three axes at the specified timestamp. Reads raw blob from ADLS, decodes base64, scales to g values.</w:t>
            </w:r>
          </w:p>
        </w:tc>
        <w:tc>
          <w:tcPr>
            <w:tcW w:type="dxa" w:w="14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FR-001, FR-002, FR-006</w:t>
            </w:r>
          </w:p>
        </w:tc>
      </w:tr>
      <w:tr>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/api/waveform/{sensorId}/compare?t1={ts1}&amp;t2={ts2}</w:t>
            </w:r>
          </w:p>
        </w:tc>
        <w:tc>
          <w:tcPr>
            <w:tcW w:type="dxa" w:w="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43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Returns decoded waveform data for two timestamps, enabling side-by-side spectral comparison.</w:t>
            </w:r>
          </w:p>
        </w:tc>
        <w:tc>
          <w:tcPr>
            <w:tcW w:type="dxa" w:w="14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FR-007</w:t>
            </w:r>
          </w:p>
        </w:tc>
      </w:tr>
    </w:tbl>
    <w:p>
      <w:pPr>
        <w:spacing w:after="80"/>
      </w:pPr>
    </w:p>
    <w:p>
      <w:pPr>
        <w:pStyle w:val="Heading3"/>
      </w:pPr>
      <w:r>
        <w:t xml:space="preserve">3.2.2 Response Schema – Single Waveform</w:t>
      </w:r>
    </w:p>
    <w:p>
      <w:pPr>
        <w:spacing w:after="120"/>
      </w:pPr>
      <w:r>
        <w:rPr>
          <w:rFonts w:ascii="Arial" w:cs="Arial" w:eastAsia="Arial" w:hAnsi="Arial"/>
          <w:color w:val="000000"/>
          <w:sz w:val="22"/>
          <w:szCs w:val="22"/>
        </w:rPr>
        <w:t xml:space="preserve">The API returns a JSON object containing sensor metadata and decoded acceleration arrays for all three axes.</w:t>
      </w:r>
    </w:p>
    <w:p>
      <w:pPr>
        <w:spacing w:after="80"/>
      </w:pPr>
    </w:p>
    <w:p>
      <w:pPr>
        <w:spacing w:after="80"/>
        <w:ind w:left="360"/>
      </w:pPr>
      <w:r>
        <w:rPr>
          <w:rFonts w:ascii="Consolas" w:cs="Consolas" w:eastAsia="Consolas" w:hAnsi="Consolas"/>
          <w:color w:val="555555"/>
          <w:sz w:val="20"/>
          <w:szCs w:val="20"/>
        </w:rPr>
        <w:t xml:space="preserve">{</w:t>
      </w:r>
    </w:p>
    <w:p>
      <w:pPr>
        <w:spacing w:after="80"/>
        <w:ind w:left="360"/>
      </w:pPr>
      <w:r>
        <w:rPr>
          <w:rFonts w:ascii="Consolas" w:cs="Consolas" w:eastAsia="Consolas" w:hAnsi="Consolas"/>
          <w:color w:val="555555"/>
          <w:sz w:val="20"/>
          <w:szCs w:val="20"/>
        </w:rPr>
        <w:t xml:space="preserve">  "sensorId": "12242400020011",</w:t>
      </w:r>
    </w:p>
    <w:p>
      <w:pPr>
        <w:spacing w:after="80"/>
        <w:ind w:left="360"/>
      </w:pPr>
      <w:r>
        <w:rPr>
          <w:rFonts w:ascii="Consolas" w:cs="Consolas" w:eastAsia="Consolas" w:hAnsi="Consolas"/>
          <w:color w:val="555555"/>
          <w:sz w:val="20"/>
          <w:szCs w:val="20"/>
        </w:rPr>
        <w:t xml:space="preserve">  "timestamp": 1761254160,</w:t>
      </w:r>
    </w:p>
    <w:p>
      <w:pPr>
        <w:spacing w:after="80"/>
        <w:ind w:left="360"/>
      </w:pPr>
      <w:r>
        <w:rPr>
          <w:rFonts w:ascii="Consolas" w:cs="Consolas" w:eastAsia="Consolas" w:hAnsi="Consolas"/>
          <w:color w:val="555555"/>
          <w:sz w:val="20"/>
          <w:szCs w:val="20"/>
        </w:rPr>
        <w:t xml:space="preserve">  "sensorType": "SR-71VT",</w:t>
      </w:r>
    </w:p>
    <w:p>
      <w:pPr>
        <w:spacing w:after="80"/>
        <w:ind w:left="360"/>
      </w:pPr>
      <w:r>
        <w:rPr>
          <w:rFonts w:ascii="Consolas" w:cs="Consolas" w:eastAsia="Consolas" w:hAnsi="Consolas"/>
          <w:color w:val="555555"/>
          <w:sz w:val="20"/>
          <w:szCs w:val="20"/>
        </w:rPr>
        <w:t xml:space="preserve">  "config": {</w:t>
      </w:r>
    </w:p>
    <w:p>
      <w:pPr>
        <w:spacing w:after="80"/>
        <w:ind w:left="360"/>
      </w:pPr>
      <w:r>
        <w:rPr>
          <w:rFonts w:ascii="Consolas" w:cs="Consolas" w:eastAsia="Consolas" w:hAnsi="Consolas"/>
          <w:color w:val="555555"/>
          <w:sz w:val="20"/>
          <w:szCs w:val="20"/>
        </w:rPr>
        <w:t xml:space="preserve">    "sampleRate_Hz": 6547.314578005115,</w:t>
      </w:r>
    </w:p>
    <w:p>
      <w:pPr>
        <w:spacing w:after="80"/>
        <w:ind w:left="360"/>
      </w:pPr>
      <w:r>
        <w:rPr>
          <w:rFonts w:ascii="Consolas" w:cs="Consolas" w:eastAsia="Consolas" w:hAnsi="Consolas"/>
          <w:color w:val="555555"/>
          <w:sz w:val="20"/>
          <w:szCs w:val="20"/>
        </w:rPr>
        <w:t xml:space="preserve">    "accelRange_g": 16</w:t>
      </w:r>
    </w:p>
    <w:p>
      <w:pPr>
        <w:spacing w:after="80"/>
        <w:ind w:left="360"/>
      </w:pPr>
      <w:r>
        <w:rPr>
          <w:rFonts w:ascii="Consolas" w:cs="Consolas" w:eastAsia="Consolas" w:hAnsi="Consolas"/>
          <w:color w:val="555555"/>
          <w:sz w:val="20"/>
          <w:szCs w:val="20"/>
        </w:rPr>
        <w:t xml:space="preserve">  },</w:t>
      </w:r>
    </w:p>
    <w:p>
      <w:pPr>
        <w:spacing w:after="80"/>
        <w:ind w:left="360"/>
      </w:pPr>
      <w:r>
        <w:rPr>
          <w:rFonts w:ascii="Consolas" w:cs="Consolas" w:eastAsia="Consolas" w:hAnsi="Consolas"/>
          <w:color w:val="555555"/>
          <w:sz w:val="20"/>
          <w:szCs w:val="20"/>
        </w:rPr>
        <w:t xml:space="preserve">  "data": {</w:t>
      </w:r>
    </w:p>
    <w:p>
      <w:pPr>
        <w:spacing w:after="80"/>
        <w:ind w:left="360"/>
      </w:pPr>
      <w:r>
        <w:rPr>
          <w:rFonts w:ascii="Consolas" w:cs="Consolas" w:eastAsia="Consolas" w:hAnsi="Consolas"/>
          <w:color w:val="555555"/>
          <w:sz w:val="20"/>
          <w:szCs w:val="20"/>
        </w:rPr>
        <w:t xml:space="preserve">    "horiz": [0.1074, 0.0503, 0.0317, ...],  // 16384 values in g</w:t>
      </w:r>
    </w:p>
    <w:p>
      <w:pPr>
        <w:spacing w:after="80"/>
        <w:ind w:left="360"/>
      </w:pPr>
      <w:r>
        <w:rPr>
          <w:rFonts w:ascii="Consolas" w:cs="Consolas" w:eastAsia="Consolas" w:hAnsi="Consolas"/>
          <w:color w:val="555555"/>
          <w:sz w:val="20"/>
          <w:szCs w:val="20"/>
        </w:rPr>
        <w:t xml:space="preserve">    "vert":  [0.0892, 0.0411, 0.0285, ...],  // 16384 values in g</w:t>
      </w:r>
    </w:p>
    <w:p>
      <w:pPr>
        <w:spacing w:after="80"/>
        <w:ind w:left="360"/>
      </w:pPr>
      <w:r>
        <w:rPr>
          <w:rFonts w:ascii="Consolas" w:cs="Consolas" w:eastAsia="Consolas" w:hAnsi="Consolas"/>
          <w:color w:val="555555"/>
          <w:sz w:val="20"/>
          <w:szCs w:val="20"/>
        </w:rPr>
        <w:t xml:space="preserve">    "axial": [0.0654, 0.0389, 0.0198, ...]   // 16384 values in g</w:t>
      </w:r>
    </w:p>
    <w:p>
      <w:pPr>
        <w:spacing w:after="80"/>
        <w:ind w:left="360"/>
      </w:pPr>
      <w:r>
        <w:rPr>
          <w:rFonts w:ascii="Consolas" w:cs="Consolas" w:eastAsia="Consolas" w:hAnsi="Consolas"/>
          <w:color w:val="555555"/>
          <w:sz w:val="20"/>
          <w:szCs w:val="20"/>
        </w:rPr>
        <w:t xml:space="preserve">  },</w:t>
      </w:r>
    </w:p>
    <w:p>
      <w:pPr>
        <w:spacing w:after="80"/>
        <w:ind w:left="360"/>
      </w:pPr>
      <w:r>
        <w:rPr>
          <w:rFonts w:ascii="Consolas" w:cs="Consolas" w:eastAsia="Consolas" w:hAnsi="Consolas"/>
          <w:color w:val="555555"/>
          <w:sz w:val="20"/>
          <w:szCs w:val="20"/>
        </w:rPr>
        <w:t xml:space="preserve">  "metadata": {</w:t>
      </w:r>
    </w:p>
    <w:p>
      <w:pPr>
        <w:spacing w:after="80"/>
        <w:ind w:left="360"/>
      </w:pPr>
      <w:r>
        <w:rPr>
          <w:rFonts w:ascii="Consolas" w:cs="Consolas" w:eastAsia="Consolas" w:hAnsi="Consolas"/>
          <w:color w:val="555555"/>
          <w:sz w:val="20"/>
          <w:szCs w:val="20"/>
        </w:rPr>
        <w:t xml:space="preserve">    "sampleCount": 16384,</w:t>
      </w:r>
    </w:p>
    <w:p>
      <w:pPr>
        <w:spacing w:after="80"/>
        <w:ind w:left="360"/>
      </w:pPr>
      <w:r>
        <w:rPr>
          <w:rFonts w:ascii="Consolas" w:cs="Consolas" w:eastAsia="Consolas" w:hAnsi="Consolas"/>
          <w:color w:val="555555"/>
          <w:sz w:val="20"/>
          <w:szCs w:val="20"/>
        </w:rPr>
        <w:t xml:space="preserve">    "duration_s": 2.5024,</w:t>
      </w:r>
    </w:p>
    <w:p>
      <w:pPr>
        <w:spacing w:after="80"/>
        <w:ind w:left="360"/>
      </w:pPr>
      <w:r>
        <w:rPr>
          <w:rFonts w:ascii="Consolas" w:cs="Consolas" w:eastAsia="Consolas" w:hAnsi="Consolas"/>
          <w:color w:val="555555"/>
          <w:sz w:val="20"/>
          <w:szCs w:val="20"/>
        </w:rPr>
        <w:t xml:space="preserve">    "nyquist_Hz": 3273.66,</w:t>
      </w:r>
    </w:p>
    <w:p>
      <w:pPr>
        <w:spacing w:after="80"/>
        <w:ind w:left="360"/>
      </w:pPr>
      <w:r>
        <w:rPr>
          <w:rFonts w:ascii="Consolas" w:cs="Consolas" w:eastAsia="Consolas" w:hAnsi="Consolas"/>
          <w:color w:val="555555"/>
          <w:sz w:val="20"/>
          <w:szCs w:val="20"/>
        </w:rPr>
        <w:t xml:space="preserve">    "frequencyResolution_Hz": 0.3996</w:t>
      </w:r>
    </w:p>
    <w:p>
      <w:pPr>
        <w:spacing w:after="80"/>
        <w:ind w:left="360"/>
      </w:pPr>
      <w:r>
        <w:rPr>
          <w:rFonts w:ascii="Consolas" w:cs="Consolas" w:eastAsia="Consolas" w:hAnsi="Consolas"/>
          <w:color w:val="555555"/>
          <w:sz w:val="20"/>
          <w:szCs w:val="20"/>
        </w:rPr>
        <w:t xml:space="preserve">  }</w:t>
      </w:r>
    </w:p>
    <w:p>
      <w:pPr>
        <w:spacing w:after="80"/>
        <w:ind w:left="360"/>
      </w:pPr>
      <w:r>
        <w:rPr>
          <w:rFonts w:ascii="Consolas" w:cs="Consolas" w:eastAsia="Consolas" w:hAnsi="Consolas"/>
          <w:color w:val="555555"/>
          <w:sz w:val="20"/>
          <w:szCs w:val="20"/>
        </w:rPr>
        <w:t xml:space="preserve">}</w:t>
      </w:r>
    </w:p>
    <w:p>
      <w:pPr>
        <w:spacing w:after="80"/>
      </w:pPr>
    </w:p>
    <w:p>
      <w:pPr>
        <w:pStyle w:val="Heading3"/>
      </w:pPr>
      <w:r>
        <w:t xml:space="preserve">3.2.3 Response Schema – Comparison</w:t>
      </w:r>
    </w:p>
    <w:p>
      <w:pPr>
        <w:spacing w:after="120"/>
      </w:pPr>
      <w:r>
        <w:rPr>
          <w:rFonts w:ascii="Arial" w:cs="Arial" w:eastAsia="Arial" w:hAnsi="Arial"/>
          <w:color w:val="000000"/>
          <w:sz w:val="22"/>
          <w:szCs w:val="22"/>
        </w:rPr>
        <w:t xml:space="preserve">The comparison endpoint wraps two single waveform responses.</w:t>
      </w:r>
    </w:p>
    <w:p>
      <w:pPr>
        <w:spacing w:after="80"/>
      </w:pPr>
    </w:p>
    <w:p>
      <w:pPr>
        <w:spacing w:after="80"/>
        <w:ind w:left="360"/>
      </w:pPr>
      <w:r>
        <w:rPr>
          <w:rFonts w:ascii="Consolas" w:cs="Consolas" w:eastAsia="Consolas" w:hAnsi="Consolas"/>
          <w:color w:val="555555"/>
          <w:sz w:val="20"/>
          <w:szCs w:val="20"/>
        </w:rPr>
        <w:t xml:space="preserve">{</w:t>
      </w:r>
    </w:p>
    <w:p>
      <w:pPr>
        <w:spacing w:after="80"/>
        <w:ind w:left="360"/>
      </w:pPr>
      <w:r>
        <w:rPr>
          <w:rFonts w:ascii="Consolas" w:cs="Consolas" w:eastAsia="Consolas" w:hAnsi="Consolas"/>
          <w:color w:val="555555"/>
          <w:sz w:val="20"/>
          <w:szCs w:val="20"/>
        </w:rPr>
        <w:t xml:space="preserve">  "sensorId": "12242400020011",</w:t>
      </w:r>
    </w:p>
    <w:p>
      <w:pPr>
        <w:spacing w:after="80"/>
        <w:ind w:left="360"/>
      </w:pPr>
      <w:r>
        <w:rPr>
          <w:rFonts w:ascii="Consolas" w:cs="Consolas" w:eastAsia="Consolas" w:hAnsi="Consolas"/>
          <w:color w:val="555555"/>
          <w:sz w:val="20"/>
          <w:szCs w:val="20"/>
        </w:rPr>
        <w:t xml:space="preserve">  "baseline": { /* same structure as single waveform */ },</w:t>
      </w:r>
    </w:p>
    <w:p>
      <w:pPr>
        <w:spacing w:after="80"/>
        <w:ind w:left="360"/>
      </w:pPr>
      <w:r>
        <w:rPr>
          <w:rFonts w:ascii="Consolas" w:cs="Consolas" w:eastAsia="Consolas" w:hAnsi="Consolas"/>
          <w:color w:val="555555"/>
          <w:sz w:val="20"/>
          <w:szCs w:val="20"/>
        </w:rPr>
        <w:t xml:space="preserve">  "current":  { /* same structure as single waveform */ }</w:t>
      </w:r>
    </w:p>
    <w:p>
      <w:pPr>
        <w:spacing w:after="80"/>
        <w:ind w:left="360"/>
      </w:pPr>
      <w:r>
        <w:rPr>
          <w:rFonts w:ascii="Consolas" w:cs="Consolas" w:eastAsia="Consolas" w:hAnsi="Consolas"/>
          <w:color w:val="555555"/>
          <w:sz w:val="20"/>
          <w:szCs w:val="20"/>
        </w:rPr>
        <w:t xml:space="preserve">}</w:t>
      </w:r>
    </w:p>
    <w:p>
      <w:pPr>
        <w:spacing w:after="80"/>
      </w:pPr>
    </w:p>
    <w:p>
      <w:pPr>
        <w:pStyle w:val="Heading3"/>
      </w:pPr>
      <w:r>
        <w:t xml:space="preserve">3.2.4 Backend Processing Logic</w:t>
      </w:r>
    </w:p>
    <w:p>
      <w:pPr>
        <w:spacing w:after="120"/>
      </w:pPr>
      <w:r>
        <w:rPr>
          <w:rFonts w:ascii="Arial" w:cs="Arial" w:eastAsia="Arial" w:hAnsi="Arial"/>
          <w:color w:val="000000"/>
          <w:sz w:val="22"/>
          <w:szCs w:val="22"/>
        </w:rPr>
        <w:t xml:space="preserve">The backend performs the following steps when a waveform request is received:</w:t>
      </w:r>
    </w:p>
    <w:p>
      <w:pPr>
        <w:pStyle w:val="ListParagraph"/>
        <w:numPr>
          <w:ilvl w:val="0"/>
          <w:numId w:val="2"/>
        </w:numPr>
        <w:spacing w:after="80"/>
      </w:pPr>
      <w:r>
        <w:rPr>
          <w:rFonts w:ascii="Arial" w:cs="Arial" w:eastAsia="Arial" w:hAnsi="Arial"/>
          <w:sz w:val="22"/>
          <w:szCs w:val="22"/>
        </w:rPr>
        <w:t xml:space="preserve">Authenticate request </w:t>
      </w:r>
      <w:r>
        <w:rPr>
          <w:rFonts w:ascii="Arial" w:cs="Arial" w:eastAsia="Arial" w:hAnsi="Arial"/>
          <w:sz w:val="22"/>
          <w:szCs w:val="22"/>
        </w:rPr>
        <w:t xml:space="preserve">using existing JWT token from the Perceptiv session.</w:t>
      </w:r>
    </w:p>
    <w:p>
      <w:pPr>
        <w:pStyle w:val="ListParagraph"/>
        <w:numPr>
          <w:ilvl w:val="0"/>
          <w:numId w:val="2"/>
        </w:numPr>
        <w:spacing w:after="80"/>
      </w:pPr>
      <w:r>
        <w:rPr>
          <w:rFonts w:ascii="Arial" w:cs="Arial" w:eastAsia="Arial" w:hAnsi="Arial"/>
          <w:sz w:val="22"/>
          <w:szCs w:val="22"/>
        </w:rPr>
        <w:t xml:space="preserve">Query ADLS </w:t>
      </w:r>
      <w:r>
        <w:rPr>
          <w:rFonts w:ascii="Arial" w:cs="Arial" w:eastAsia="Arial" w:hAnsi="Arial"/>
          <w:sz w:val="22"/>
          <w:szCs w:val="22"/>
        </w:rPr>
        <w:t xml:space="preserve">for the raw waveform blob matching the sensorId and timestamp.</w:t>
      </w:r>
    </w:p>
    <w:p>
      <w:pPr>
        <w:pStyle w:val="ListParagraph"/>
        <w:numPr>
          <w:ilvl w:val="0"/>
          <w:numId w:val="2"/>
        </w:numPr>
        <w:spacing w:after="80"/>
      </w:pPr>
      <w:r>
        <w:rPr>
          <w:rFonts w:ascii="Arial" w:cs="Arial" w:eastAsia="Arial" w:hAnsi="Arial"/>
          <w:sz w:val="22"/>
          <w:szCs w:val="22"/>
        </w:rPr>
        <w:t xml:space="preserve">Decode base64 strings </w:t>
      </w:r>
      <w:r>
        <w:rPr>
          <w:rFonts w:ascii="Arial" w:cs="Arial" w:eastAsia="Arial" w:hAnsi="Arial"/>
          <w:sz w:val="22"/>
          <w:szCs w:val="22"/>
        </w:rPr>
        <w:t xml:space="preserve">(rawHoriz, rawVert, rawAxial) into byte arrays.</w:t>
      </w:r>
    </w:p>
    <w:p>
      <w:pPr>
        <w:pStyle w:val="ListParagraph"/>
        <w:numPr>
          <w:ilvl w:val="0"/>
          <w:numId w:val="2"/>
        </w:numPr>
        <w:spacing w:after="80"/>
      </w:pPr>
      <w:r>
        <w:rPr>
          <w:rFonts w:ascii="Arial" w:cs="Arial" w:eastAsia="Arial" w:hAnsi="Arial"/>
          <w:sz w:val="22"/>
          <w:szCs w:val="22"/>
        </w:rPr>
        <w:t xml:space="preserve">Unpack as 16-bit signed little-endian integers </w:t>
      </w:r>
      <w:r>
        <w:rPr>
          <w:rFonts w:ascii="Arial" w:cs="Arial" w:eastAsia="Arial" w:hAnsi="Arial"/>
          <w:sz w:val="22"/>
          <w:szCs w:val="22"/>
        </w:rPr>
        <w:t xml:space="preserve">(Int16LE), yielding 16,384 integer values per axis.</w:t>
      </w:r>
    </w:p>
    <w:p>
      <w:pPr>
        <w:pStyle w:val="ListParagraph"/>
        <w:numPr>
          <w:ilvl w:val="0"/>
          <w:numId w:val="2"/>
        </w:numPr>
        <w:spacing w:after="80"/>
      </w:pPr>
      <w:r>
        <w:rPr>
          <w:rFonts w:ascii="Arial" w:cs="Arial" w:eastAsia="Arial" w:hAnsi="Arial"/>
          <w:sz w:val="22"/>
          <w:szCs w:val="22"/>
        </w:rPr>
        <w:t xml:space="preserve">Scale to g values </w:t>
      </w:r>
      <w:r>
        <w:rPr>
          <w:rFonts w:ascii="Arial" w:cs="Arial" w:eastAsia="Arial" w:hAnsi="Arial"/>
          <w:sz w:val="22"/>
          <w:szCs w:val="22"/>
        </w:rPr>
        <w:t xml:space="preserve">using: value_g = raw_int × (config.accelRange_g / 32768).</w:t>
      </w:r>
    </w:p>
    <w:p>
      <w:pPr>
        <w:pStyle w:val="ListParagraph"/>
        <w:numPr>
          <w:ilvl w:val="0"/>
          <w:numId w:val="2"/>
        </w:numPr>
        <w:spacing w:after="80"/>
      </w:pPr>
      <w:r>
        <w:rPr>
          <w:rFonts w:ascii="Arial" w:cs="Arial" w:eastAsia="Arial" w:hAnsi="Arial"/>
          <w:sz w:val="22"/>
          <w:szCs w:val="22"/>
        </w:rPr>
        <w:t xml:space="preserve">Compute derived metadata: </w:t>
      </w:r>
      <w:r>
        <w:rPr>
          <w:rFonts w:ascii="Arial" w:cs="Arial" w:eastAsia="Arial" w:hAnsi="Arial"/>
          <w:sz w:val="22"/>
          <w:szCs w:val="22"/>
        </w:rPr>
        <w:t xml:space="preserve">duration, Nyquist frequency, and frequency resolution from config.sampleRate_Hz and sample count.</w:t>
      </w:r>
    </w:p>
    <w:p>
      <w:pPr>
        <w:pStyle w:val="ListParagraph"/>
        <w:numPr>
          <w:ilvl w:val="0"/>
          <w:numId w:val="2"/>
        </w:numPr>
        <w:spacing w:after="80"/>
      </w:pPr>
      <w:r>
        <w:rPr>
          <w:rFonts w:ascii="Arial" w:cs="Arial" w:eastAsia="Arial" w:hAnsi="Arial"/>
          <w:sz w:val="22"/>
          <w:szCs w:val="22"/>
        </w:rPr>
        <w:t xml:space="preserve">Return JSON response </w:t>
      </w:r>
      <w:r>
        <w:rPr>
          <w:rFonts w:ascii="Arial" w:cs="Arial" w:eastAsia="Arial" w:hAnsi="Arial"/>
          <w:sz w:val="22"/>
          <w:szCs w:val="22"/>
        </w:rPr>
        <w:t xml:space="preserve">with all three axes and metadata.</w:t>
      </w:r>
    </w:p>
    <w:p>
      <w:pPr>
        <w:spacing w:after="200"/>
      </w:pPr>
    </w:p>
    <w:p>
      <w:pPr>
        <w:pStyle w:val="Heading2"/>
      </w:pPr>
      <w:r>
        <w:t xml:space="preserve">3.3 Frontend Architecture</w:t>
      </w:r>
    </w:p>
    <w:p>
      <w:pPr>
        <w:pStyle w:val="Heading3"/>
      </w:pPr>
      <w:r>
        <w:t xml:space="preserve">3.3.1 Component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c>
          <w:tcPr>
            <w:tcW w:type="dxa" w:w="22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53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1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SpectralAnalysisPage</w:t>
            </w:r>
          </w:p>
        </w:tc>
        <w:tc>
          <w:tcPr>
            <w:tcW w:type="dxa" w:w="53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Top-level page container. Manages API calls, holds waveform state for all three axes. Orchestrates child component layout.</w:t>
            </w:r>
          </w:p>
        </w:tc>
        <w:tc>
          <w:tcPr>
            <w:tcW w:type="dxa" w:w="1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FR-001</w:t>
            </w:r>
          </w:p>
        </w:tc>
      </w:tr>
      <w:tr>
        <w:tc>
          <w:tcPr>
            <w:tcW w:type="dxa" w:w="2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AxisSelector</w:t>
            </w:r>
          </w:p>
        </w:tc>
        <w:tc>
          <w:tcPr>
            <w:tcW w:type="dxa" w:w="53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Three-button toggle (Horizontal / Vertical / Axial). Emits selected axis to parent. No page reload on switch.</w:t>
            </w:r>
          </w:p>
        </w:tc>
        <w:tc>
          <w:tcPr>
            <w:tcW w:type="dxa" w:w="1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FR-002</w:t>
            </w:r>
          </w:p>
        </w:tc>
      </w:tr>
      <w:tr>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TimeWaveformChart</w:t>
            </w:r>
          </w:p>
        </w:tc>
        <w:tc>
          <w:tcPr>
            <w:tcW w:type="dxa" w:w="53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Renders time-domain plot using Plotly.js. X-axis: time in seconds (0 to duration). Y-axis: acceleration in g. Supports zoom, pan, reset, hover tooltip.</w:t>
            </w:r>
          </w:p>
        </w:tc>
        <w:tc>
          <w:tcPr>
            <w:tcW w:type="dxa" w:w="1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FR-002, FR-004, FR-005</w:t>
            </w:r>
          </w:p>
        </w:tc>
      </w:tr>
      <w:tr>
        <w:tc>
          <w:tcPr>
            <w:tcW w:type="dxa" w:w="2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FFTChart</w:t>
            </w:r>
          </w:p>
        </w:tc>
        <w:tc>
          <w:tcPr>
            <w:tcW w:type="dxa" w:w="53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Computes FFT from time-domain data using fft.js library. Renders frequency-domain plot. X-axis: frequency in Hz (0 to Nyquist). Y-axis: amplitude in g rms. Hover tooltip shows frequency, amplitude, and CPM.</w:t>
            </w:r>
          </w:p>
        </w:tc>
        <w:tc>
          <w:tcPr>
            <w:tcW w:type="dxa" w:w="1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FR-002, FR-003, FR-004, FR-005</w:t>
            </w:r>
          </w:p>
        </w:tc>
      </w:tr>
      <w:tr>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SpectralComparisonView</w:t>
            </w:r>
          </w:p>
        </w:tc>
        <w:tc>
          <w:tcPr>
            <w:tcW w:type="dxa" w:w="53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Fetches two timestamps, displays two FFT charts side-by-side for the same sensor and axis.</w:t>
            </w:r>
          </w:p>
        </w:tc>
        <w:tc>
          <w:tcPr>
            <w:tcW w:type="dxa" w:w="1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FR-007</w:t>
            </w:r>
          </w:p>
        </w:tc>
      </w:tr>
      <w:tr>
        <w:tc>
          <w:tcPr>
            <w:tcW w:type="dxa" w:w="2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ErrorBoundary</w:t>
            </w:r>
          </w:p>
        </w:tc>
        <w:tc>
          <w:tcPr>
            <w:tcW w:type="dxa" w:w="53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Catches data loading failures. Displays user-friendly error message. Prevents partial/corrupted chart rendering.</w:t>
            </w:r>
          </w:p>
        </w:tc>
        <w:tc>
          <w:tcPr>
            <w:tcW w:type="dxa" w:w="1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AC-002.7</w:t>
            </w:r>
          </w:p>
        </w:tc>
      </w:tr>
    </w:tbl>
    <w:p>
      <w:pPr>
        <w:spacing w:after="80"/>
      </w:pPr>
    </w:p>
    <w:p>
      <w:pPr>
        <w:pStyle w:val="Heading3"/>
      </w:pPr>
      <w:r>
        <w:t xml:space="preserve">3.3.2 State Management</w:t>
      </w:r>
    </w:p>
    <w:p>
      <w:pPr>
        <w:spacing w:after="120"/>
      </w:pPr>
      <w:r>
        <w:rPr>
          <w:rFonts w:ascii="Arial" w:cs="Arial" w:eastAsia="Arial" w:hAnsi="Arial"/>
          <w:color w:val="000000"/>
          <w:sz w:val="22"/>
          <w:szCs w:val="22"/>
        </w:rPr>
        <w:t xml:space="preserve">The component uses React state (useState/useReducer) to manage the following state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 Variable</w:t>
            </w:r>
          </w:p>
        </w:tc>
        <w:tc>
          <w:tcPr>
            <w:tcW w:type="dxa" w:w="41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waveformData</w:t>
            </w:r>
          </w:p>
        </w:tc>
        <w:tc>
          <w:tcPr>
            <w:tcW w:type="dxa" w:w="41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horiz: number[], vert: number[], axial: number[] }</w:t>
            </w:r>
          </w:p>
        </w:tc>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Decoded acceleration arrays for all three axes, loaded once per timestamp</w:t>
            </w:r>
          </w:p>
        </w:tc>
      </w:tr>
      <w:tr>
        <w:tc>
          <w:tcPr>
            <w:tcW w:type="dxa" w:w="24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w:t>
            </w:r>
          </w:p>
        </w:tc>
        <w:tc>
          <w:tcPr>
            <w:tcW w:type="dxa" w:w="41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 sampleRate_Hz: number, accelRange_g: number }</w:t>
            </w:r>
          </w:p>
        </w:tc>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Sensor configuration metadata from the API response</w:t>
            </w:r>
          </w:p>
        </w:tc>
      </w:tr>
      <w:tr>
        <w:tc>
          <w:tcPr>
            <w:tcW w:type="dxa" w:w="24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metadata</w:t>
            </w:r>
          </w:p>
        </w:tc>
        <w:tc>
          <w:tcPr>
            <w:tcW w:type="dxa" w:w="41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sampleCount, duration_s, nyquist_Hz, frequencyResolution_Hz }</w:t>
            </w:r>
          </w:p>
        </w:tc>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Computed metadata used for axis scaling</w:t>
            </w:r>
          </w:p>
        </w:tc>
      </w:tr>
      <w:tr>
        <w:tc>
          <w:tcPr>
            <w:tcW w:type="dxa" w:w="24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selectedAxis</w:t>
            </w:r>
          </w:p>
        </w:tc>
        <w:tc>
          <w:tcPr>
            <w:tcW w:type="dxa" w:w="41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'horiz' | 'vert' | 'axial'</w:t>
            </w:r>
          </w:p>
        </w:tc>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Currently active axis. Toggling this re-renders charts from already-loaded data (no API call)</w:t>
            </w:r>
          </w:p>
        </w:tc>
      </w:tr>
      <w:tr>
        <w:tc>
          <w:tcPr>
            <w:tcW w:type="dxa" w:w="24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isLoading</w:t>
            </w:r>
          </w:p>
        </w:tc>
        <w:tc>
          <w:tcPr>
            <w:tcW w:type="dxa" w:w="41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Controls loading spinner visibility during API fetch</w:t>
            </w:r>
          </w:p>
        </w:tc>
      </w:tr>
      <w:tr>
        <w:tc>
          <w:tcPr>
            <w:tcW w:type="dxa" w:w="24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error</w:t>
            </w:r>
          </w:p>
        </w:tc>
        <w:tc>
          <w:tcPr>
            <w:tcW w:type="dxa" w:w="41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 | null</w:t>
            </w:r>
          </w:p>
        </w:tc>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Error message to display if data fetch or processing fails</w:t>
            </w:r>
          </w:p>
        </w:tc>
      </w:tr>
    </w:tbl>
    <w:p>
      <w:pPr>
        <w:spacing w:after="80"/>
      </w:pPr>
    </w:p>
    <w:p>
      <w:pPr>
        <w:pStyle w:val="Heading3"/>
      </w:pPr>
      <w:r>
        <w:t xml:space="preserve">3.3.3 FFT Computation (Client-Side)</w:t>
      </w:r>
    </w:p>
    <w:p>
      <w:pPr>
        <w:spacing w:after="120"/>
      </w:pPr>
      <w:r>
        <w:rPr>
          <w:rFonts w:ascii="Arial" w:cs="Arial" w:eastAsia="Arial" w:hAnsi="Arial"/>
          <w:sz w:val="22"/>
          <w:szCs w:val="22"/>
        </w:rPr>
        <w:t xml:space="preserve">The frontend computes FFT using the </w:t>
      </w:r>
      <w:r>
        <w:rPr>
          <w:rFonts w:ascii="Consolas" w:cs="Consolas" w:eastAsia="Consolas" w:hAnsi="Consolas"/>
          <w:color w:val="2E75B6"/>
          <w:sz w:val="20"/>
          <w:szCs w:val="20"/>
        </w:rPr>
        <w:t xml:space="preserve">fft.js</w:t>
      </w:r>
      <w:r>
        <w:rPr>
          <w:rFonts w:ascii="Arial" w:cs="Arial" w:eastAsia="Arial" w:hAnsi="Arial"/>
          <w:sz w:val="22"/>
          <w:szCs w:val="22"/>
        </w:rPr>
        <w:t xml:space="preserve"> library, which is optimized for power-of-2 input sizes. The 16,384-sample input (2^14) is ideal for this.</w:t>
      </w:r>
    </w:p>
    <w:p>
      <w:pPr>
        <w:spacing w:after="120"/>
      </w:pPr>
      <w:r>
        <w:rPr>
          <w:rFonts w:ascii="Arial" w:cs="Arial" w:eastAsia="Arial" w:hAnsi="Arial"/>
          <w:color w:val="000000"/>
          <w:sz w:val="22"/>
          <w:szCs w:val="22"/>
        </w:rPr>
        <w:t xml:space="preserve">FFT processing steps within the FFTChart component:</w:t>
      </w:r>
    </w:p>
    <w:p>
      <w:pPr>
        <w:pStyle w:val="ListParagraph"/>
        <w:numPr>
          <w:ilvl w:val="0"/>
          <w:numId w:val="3"/>
        </w:numPr>
        <w:spacing w:after="80"/>
      </w:pPr>
      <w:r>
        <w:rPr>
          <w:rFonts w:ascii="Arial" w:cs="Arial" w:eastAsia="Arial" w:hAnsi="Arial"/>
          <w:sz w:val="22"/>
          <w:szCs w:val="22"/>
        </w:rPr>
        <w:t xml:space="preserve">Receive the time-domain g-values array for the selected axis from parent state.</w:t>
      </w:r>
    </w:p>
    <w:p>
      <w:pPr>
        <w:pStyle w:val="ListParagraph"/>
        <w:numPr>
          <w:ilvl w:val="0"/>
          <w:numId w:val="3"/>
        </w:numPr>
        <w:spacing w:after="80"/>
      </w:pPr>
      <w:r>
        <w:rPr>
          <w:rFonts w:ascii="Arial" w:cs="Arial" w:eastAsia="Arial" w:hAnsi="Arial"/>
          <w:sz w:val="22"/>
          <w:szCs w:val="22"/>
        </w:rPr>
        <w:t xml:space="preserve">Apply a Hanning window to reduce spectral leakage (a common signal processing step that minimizes edge effects in FFT).</w:t>
      </w:r>
    </w:p>
    <w:p>
      <w:pPr>
        <w:pStyle w:val="ListParagraph"/>
        <w:numPr>
          <w:ilvl w:val="0"/>
          <w:numId w:val="3"/>
        </w:numPr>
        <w:spacing w:after="80"/>
      </w:pPr>
      <w:r>
        <w:rPr>
          <w:rFonts w:ascii="Arial" w:cs="Arial" w:eastAsia="Arial" w:hAnsi="Arial"/>
          <w:sz w:val="22"/>
          <w:szCs w:val="22"/>
        </w:rPr>
        <w:t xml:space="preserve">Compute the FFT, yielding complex output (real and imaginary components).</w:t>
      </w:r>
    </w:p>
    <w:p>
      <w:pPr>
        <w:pStyle w:val="ListParagraph"/>
        <w:numPr>
          <w:ilvl w:val="0"/>
          <w:numId w:val="3"/>
        </w:numPr>
        <w:spacing w:after="80"/>
      </w:pPr>
      <w:r>
        <w:rPr>
          <w:rFonts w:ascii="Arial" w:cs="Arial" w:eastAsia="Arial" w:hAnsi="Arial"/>
          <w:sz w:val="22"/>
          <w:szCs w:val="22"/>
        </w:rPr>
        <w:t xml:space="preserve">Calculate magnitude spectrum: magnitude = sqrt(real² + imag²) / N, where N is the sample count.</w:t>
      </w:r>
    </w:p>
    <w:p>
      <w:pPr>
        <w:pStyle w:val="ListParagraph"/>
        <w:numPr>
          <w:ilvl w:val="0"/>
          <w:numId w:val="3"/>
        </w:numPr>
        <w:spacing w:after="80"/>
      </w:pPr>
      <w:r>
        <w:rPr>
          <w:rFonts w:ascii="Arial" w:cs="Arial" w:eastAsia="Arial" w:hAnsi="Arial"/>
          <w:sz w:val="22"/>
          <w:szCs w:val="22"/>
        </w:rPr>
        <w:t xml:space="preserve">Generate the frequency axis: each bin k corresponds to frequency = k × (sampleRate_Hz / N), from 0 Hz to Nyquist (sampleRate_Hz / 2).</w:t>
      </w:r>
    </w:p>
    <w:p>
      <w:pPr>
        <w:pStyle w:val="ListParagraph"/>
        <w:numPr>
          <w:ilvl w:val="0"/>
          <w:numId w:val="3"/>
        </w:numPr>
        <w:spacing w:after="80"/>
      </w:pPr>
      <w:r>
        <w:rPr>
          <w:rFonts w:ascii="Arial" w:cs="Arial" w:eastAsia="Arial" w:hAnsi="Arial"/>
          <w:sz w:val="22"/>
          <w:szCs w:val="22"/>
        </w:rPr>
        <w:t xml:space="preserve">Render using Plotly.js with hover tooltip displaying: frequency (Hz), amplitude (g rms), and CPM (frequency × 60).</w:t>
      </w:r>
    </w:p>
    <w:p>
      <w:pPr>
        <w:spacing w:after="200"/>
      </w:pPr>
    </w:p>
    <w:p>
      <w:pPr>
        <w:pStyle w:val="Heading2"/>
      </w:pPr>
      <w:r>
        <w:t xml:space="preserve">3.4 Page Layout</w:t>
      </w:r>
    </w:p>
    <w:p>
      <w:pPr>
        <w:spacing w:after="120"/>
      </w:pPr>
      <w:r>
        <w:rPr>
          <w:rFonts w:ascii="Arial" w:cs="Arial" w:eastAsia="Arial" w:hAnsi="Arial"/>
          <w:color w:val="000000"/>
          <w:sz w:val="22"/>
          <w:szCs w:val="22"/>
        </w:rPr>
        <w:t xml:space="preserve">The spectral analysis view follows the layout pattern established by the existing Perceptiv Data Viewer, adapted for the admin dashboard context.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E8F0F8" w:val="clear"/>
            <w:tcMar>
              <w:top w:type="dxa" w:w="120"/>
              <w:left w:type="dxa" w:w="200"/>
              <w:bottom w:type="dxa" w:w="120"/>
              <w:right w:type="dxa" w:w="200"/>
            </w:tcMar>
          </w:tcPr>
          <w:p>
            <w:pPr>
              <w:jc w:val="center"/>
            </w:pPr>
            <w:r>
              <w:rPr>
                <w:rFonts w:ascii="Consolas" w:cs="Consolas" w:eastAsia="Consolas" w:hAnsi="Consolas"/>
                <w:b/>
                <w:bCs/>
                <w:color w:val="1B3A5C"/>
                <w:sz w:val="18"/>
                <w:szCs w:val="18"/>
              </w:rPr>
              <w:t xml:space="preserve">HEADER BAR:  Sensor ID  |  Timestamp  |  Sensor Type  |  Health Status</w:t>
            </w:r>
          </w:p>
        </w:tc>
      </w:tr>
      <w:tr>
        <w:tc>
          <w:tcPr>
            <w:tcW w:type="dxa" w:w="9360"/>
            <w:tcBorders>
              <w:top w:val="single" w:color="B0C4D8" w:sz="1"/>
              <w:left w:val="single" w:color="B0C4D8" w:sz="1"/>
              <w:bottom w:val="single" w:color="B0C4D8" w:sz="1"/>
              <w:right w:val="single" w:color="B0C4D8" w:sz="1"/>
            </w:tcBorders>
            <w:shd w:fill="FFF3CD" w:val="clear"/>
            <w:tcMar>
              <w:top w:type="dxa" w:w="120"/>
              <w:left w:type="dxa" w:w="200"/>
              <w:bottom w:type="dxa" w:w="120"/>
              <w:right w:type="dxa" w:w="200"/>
            </w:tcMar>
          </w:tcPr>
          <w:p>
            <w:pPr>
              <w:jc w:val="center"/>
            </w:pPr>
            <w:r>
              <w:rPr>
                <w:rFonts w:ascii="Consolas" w:cs="Consolas" w:eastAsia="Consolas" w:hAnsi="Consolas"/>
                <w:b/>
                <w:bCs/>
                <w:color w:val="1B3A5C"/>
                <w:sz w:val="18"/>
                <w:szCs w:val="18"/>
              </w:rPr>
              <w:t xml:space="preserve">AXIS SELECTOR:  [ Horizontal ]  [ Vertical ]  [ Axial ]</w:t>
            </w:r>
          </w:p>
        </w:tc>
      </w:tr>
      <w:tr>
        <w:tc>
          <w:tcPr>
            <w:tcW w:type="dxa" w:w="9360"/>
            <w:tcBorders>
              <w:top w:val="single" w:color="B0C4D8" w:sz="1"/>
              <w:left w:val="single" w:color="B0C4D8" w:sz="1"/>
              <w:bottom w:val="single" w:color="B0C4D8" w:sz="1"/>
              <w:right w:val="single" w:color="B0C4D8" w:sz="1"/>
            </w:tcBorders>
            <w:shd w:fill="D5F5E3" w:val="clear"/>
            <w:tcMar>
              <w:top w:type="dxa" w:w="120"/>
              <w:left w:type="dxa" w:w="200"/>
              <w:bottom w:type="dxa" w:w="120"/>
              <w:right w:type="dxa" w:w="200"/>
            </w:tcMar>
          </w:tcPr>
          <w:p>
            <w:pPr>
              <w:jc w:val="center"/>
            </w:pPr>
            <w:r>
              <w:rPr>
                <w:rFonts w:ascii="Consolas" w:cs="Consolas" w:eastAsia="Consolas" w:hAnsi="Consolas"/>
                <w:b w:val="false"/>
                <w:bCs w:val="false"/>
                <w:color w:val="1B3A5C"/>
                <w:sz w:val="18"/>
                <w:szCs w:val="18"/>
              </w:rPr>
              <w:t xml:space="preserve">TIME WAVEFORM CHART</w:t>
            </w:r>
          </w:p>
          <w:p>
            <w:pPr>
              <w:jc w:val="center"/>
            </w:pPr>
            <w:r>
              <w:rPr>
                <w:rFonts w:ascii="Consolas" w:cs="Consolas" w:eastAsia="Consolas" w:hAnsi="Consolas"/>
                <w:b w:val="false"/>
                <w:bCs w:val="false"/>
                <w:color w:val="1B3A5C"/>
                <w:sz w:val="18"/>
                <w:szCs w:val="18"/>
              </w:rPr>
              <w:t xml:space="preserve">X: Time (seconds, 0 to ~2.5s)   |   Y: Acceleration (g)</w:t>
            </w:r>
          </w:p>
          <w:p>
            <w:pPr>
              <w:jc w:val="center"/>
            </w:pPr>
            <w:r>
              <w:rPr>
                <w:rFonts w:ascii="Consolas" w:cs="Consolas" w:eastAsia="Consolas" w:hAnsi="Consolas"/>
                <w:b w:val="false"/>
                <w:bCs w:val="false"/>
                <w:color w:val="1B3A5C"/>
                <w:sz w:val="18"/>
                <w:szCs w:val="18"/>
              </w:rPr>
              <w:t xml:space="preserve">Interactive: Zoom, Pan, Reset, Hover Cursor</w:t>
            </w:r>
          </w:p>
        </w:tc>
      </w:tr>
      <w:tr>
        <w:tc>
          <w:tcPr>
            <w:tcW w:type="dxa" w:w="9360"/>
            <w:tcBorders>
              <w:top w:val="single" w:color="B0C4D8" w:sz="1"/>
              <w:left w:val="single" w:color="B0C4D8" w:sz="1"/>
              <w:bottom w:val="single" w:color="B0C4D8" w:sz="1"/>
              <w:right w:val="single" w:color="B0C4D8" w:sz="1"/>
            </w:tcBorders>
            <w:shd w:fill="D5F5E3" w:val="clear"/>
            <w:tcMar>
              <w:top w:type="dxa" w:w="120"/>
              <w:left w:type="dxa" w:w="200"/>
              <w:bottom w:type="dxa" w:w="120"/>
              <w:right w:type="dxa" w:w="200"/>
            </w:tcMar>
          </w:tcPr>
          <w:p>
            <w:pPr>
              <w:jc w:val="center"/>
            </w:pPr>
            <w:r>
              <w:rPr>
                <w:rFonts w:ascii="Consolas" w:cs="Consolas" w:eastAsia="Consolas" w:hAnsi="Consolas"/>
                <w:b w:val="false"/>
                <w:bCs w:val="false"/>
                <w:color w:val="1B3A5C"/>
                <w:sz w:val="18"/>
                <w:szCs w:val="18"/>
              </w:rPr>
              <w:t xml:space="preserve">FFT SPECTRUM CHART</w:t>
            </w:r>
          </w:p>
          <w:p>
            <w:pPr>
              <w:jc w:val="center"/>
            </w:pPr>
            <w:r>
              <w:rPr>
                <w:rFonts w:ascii="Consolas" w:cs="Consolas" w:eastAsia="Consolas" w:hAnsi="Consolas"/>
                <w:b w:val="false"/>
                <w:bCs w:val="false"/>
                <w:color w:val="1B3A5C"/>
                <w:sz w:val="18"/>
                <w:szCs w:val="18"/>
              </w:rPr>
              <w:t xml:space="preserve">X: Frequency (Hz, 0 to ~3274 Hz)   |   Y: Amplitude (g rms)</w:t>
            </w:r>
          </w:p>
          <w:p>
            <w:pPr>
              <w:jc w:val="center"/>
            </w:pPr>
            <w:r>
              <w:rPr>
                <w:rFonts w:ascii="Consolas" w:cs="Consolas" w:eastAsia="Consolas" w:hAnsi="Consolas"/>
                <w:b w:val="false"/>
                <w:bCs w:val="false"/>
                <w:color w:val="1B3A5C"/>
                <w:sz w:val="18"/>
                <w:szCs w:val="18"/>
              </w:rPr>
              <w:t xml:space="preserve">Interactive: Zoom, Pan, Reset, Hover Cursor with Hz + g rms + CPM</w:t>
            </w:r>
          </w:p>
        </w:tc>
      </w:tr>
    </w:tbl>
    <w:p>
      <w:pPr>
        <w:spacing w:after="200"/>
      </w:pPr>
    </w:p>
    <w:p>
      <w:pPr>
        <w:pStyle w:val="Heading1"/>
      </w:pPr>
      <w:r>
        <w:t xml:space="preserve">4. Data Specifications</w:t>
      </w:r>
    </w:p>
    <w:p>
      <w:pPr>
        <w:pStyle w:val="Heading2"/>
      </w:pPr>
      <w:r>
        <w:t xml:space="preserve">4.1 Raw Waveform Data Profile</w:t>
      </w:r>
    </w:p>
    <w:p>
      <w:pPr>
        <w:spacing w:after="120"/>
      </w:pPr>
      <w:r>
        <w:rPr>
          <w:rFonts w:ascii="Arial" w:cs="Arial" w:eastAsia="Arial" w:hAnsi="Arial"/>
          <w:color w:val="000000"/>
          <w:sz w:val="22"/>
          <w:szCs w:val="22"/>
        </w:rPr>
        <w:t xml:space="preserve">Based on analysis of actual SR-71VT sensor data captured from the production environment.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32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33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 Derivation</w:t>
            </w:r>
          </w:p>
        </w:tc>
      </w:tr>
      <w:tr>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Sensor Type</w:t>
            </w:r>
          </w:p>
        </w:tc>
        <w:tc>
          <w:tcPr>
            <w:tcW w:type="dxa" w:w="3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SR-71VT</w:t>
            </w:r>
          </w:p>
        </w:tc>
        <w:tc>
          <w:tcPr>
            <w:tcW w:type="dxa" w:w="33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Payload field: sensorType</w:t>
            </w:r>
          </w:p>
        </w:tc>
      </w:tr>
      <w:tr>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Sampling Rate</w:t>
            </w:r>
          </w:p>
        </w:tc>
        <w:tc>
          <w:tcPr>
            <w:tcW w:type="dxa" w:w="3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~6547 Hz (varies per sensor)</w:t>
            </w:r>
          </w:p>
        </w:tc>
        <w:tc>
          <w:tcPr>
            <w:tcW w:type="dxa" w:w="33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Payload field: config.sampleRate_Hz</w:t>
            </w:r>
          </w:p>
        </w:tc>
      </w:tr>
      <w:tr>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Accelerometer Range</w:t>
            </w:r>
          </w:p>
        </w:tc>
        <w:tc>
          <w:tcPr>
            <w:tcW w:type="dxa" w:w="3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±16 g</w:t>
            </w:r>
          </w:p>
        </w:tc>
        <w:tc>
          <w:tcPr>
            <w:tcW w:type="dxa" w:w="33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Payload field: config.accelRange_g</w:t>
            </w:r>
          </w:p>
        </w:tc>
      </w:tr>
      <w:tr>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Samples per Capture</w:t>
            </w:r>
          </w:p>
        </w:tc>
        <w:tc>
          <w:tcPr>
            <w:tcW w:type="dxa" w:w="3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16,384 (2^14)</w:t>
            </w:r>
          </w:p>
        </w:tc>
        <w:tc>
          <w:tcPr>
            <w:tcW w:type="dxa" w:w="33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Byte count / 2 (16-bit integers)</w:t>
            </w:r>
          </w:p>
        </w:tc>
      </w:tr>
      <w:tr>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Capture Duration</w:t>
            </w:r>
          </w:p>
        </w:tc>
        <w:tc>
          <w:tcPr>
            <w:tcW w:type="dxa" w:w="3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~2.50 seconds</w:t>
            </w:r>
          </w:p>
        </w:tc>
        <w:tc>
          <w:tcPr>
            <w:tcW w:type="dxa" w:w="33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sampleCount / sampleRate_Hz</w:t>
            </w:r>
          </w:p>
        </w:tc>
      </w:tr>
      <w:tr>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Nyquist Frequency</w:t>
            </w:r>
          </w:p>
        </w:tc>
        <w:tc>
          <w:tcPr>
            <w:tcW w:type="dxa" w:w="3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~3274 Hz</w:t>
            </w:r>
          </w:p>
        </w:tc>
        <w:tc>
          <w:tcPr>
            <w:tcW w:type="dxa" w:w="33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sampleRate_Hz / 2</w:t>
            </w:r>
          </w:p>
        </w:tc>
      </w:tr>
      <w:tr>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FFT Frequency Resolution</w:t>
            </w:r>
          </w:p>
        </w:tc>
        <w:tc>
          <w:tcPr>
            <w:tcW w:type="dxa" w:w="3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~0.40 Hz</w:t>
            </w:r>
          </w:p>
        </w:tc>
        <w:tc>
          <w:tcPr>
            <w:tcW w:type="dxa" w:w="33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sampleRate_Hz / sampleCount</w:t>
            </w:r>
          </w:p>
        </w:tc>
      </w:tr>
      <w:tr>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FFT Lines (output bins)</w:t>
            </w:r>
          </w:p>
        </w:tc>
        <w:tc>
          <w:tcPr>
            <w:tcW w:type="dxa" w:w="3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8,192</w:t>
            </w:r>
          </w:p>
        </w:tc>
        <w:tc>
          <w:tcPr>
            <w:tcW w:type="dxa" w:w="33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sampleCount / 2</w:t>
            </w:r>
          </w:p>
        </w:tc>
      </w:tr>
      <w:tr>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Raw Encoding</w:t>
            </w:r>
          </w:p>
        </w:tc>
        <w:tc>
          <w:tcPr>
            <w:tcW w:type="dxa" w:w="3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Base64 → 16-bit signed LE integers</w:t>
            </w:r>
          </w:p>
        </w:tc>
        <w:tc>
          <w:tcPr>
            <w:tcW w:type="dxa" w:w="33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Verified by decoding rawHoriz</w:t>
            </w:r>
          </w:p>
        </w:tc>
      </w:tr>
      <w:tr>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Scaling Formula</w:t>
            </w:r>
          </w:p>
        </w:tc>
        <w:tc>
          <w:tcPr>
            <w:tcW w:type="dxa" w:w="3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raw_int × (accelRange_g / 32768)</w:t>
            </w:r>
          </w:p>
        </w:tc>
        <w:tc>
          <w:tcPr>
            <w:tcW w:type="dxa" w:w="33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ADC conversion</w:t>
            </w:r>
          </w:p>
        </w:tc>
      </w:tr>
      <w:tr>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Amplitude Range (typical)</w:t>
            </w:r>
          </w:p>
        </w:tc>
        <w:tc>
          <w:tcPr>
            <w:tcW w:type="dxa" w:w="3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-0.12g to +0.12g</w:t>
            </w:r>
          </w:p>
        </w:tc>
        <w:tc>
          <w:tcPr>
            <w:tcW w:type="dxa" w:w="33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Measured from sample data</w:t>
            </w:r>
          </w:p>
        </w:tc>
      </w:tr>
      <w:tr>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Axes Available</w:t>
            </w:r>
          </w:p>
        </w:tc>
        <w:tc>
          <w:tcPr>
            <w:tcW w:type="dxa" w:w="3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Horizontal, Vertical, Axial</w:t>
            </w:r>
          </w:p>
        </w:tc>
        <w:tc>
          <w:tcPr>
            <w:tcW w:type="dxa" w:w="33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Fields: rawHoriz, rawVert, rawAxial</w:t>
            </w:r>
          </w:p>
        </w:tc>
      </w:tr>
      <w:tr>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 Frequency Data</w:t>
            </w:r>
          </w:p>
        </w:tc>
        <w:tc>
          <w:tcPr>
            <w:tcW w:type="dxa" w:w="3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 available (empty fields)</w:t>
            </w:r>
          </w:p>
        </w:tc>
        <w:tc>
          <w:tcPr>
            <w:tcW w:type="dxa" w:w="33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Fields: lowFreqHoriz/Vert/Axial = empty</w:t>
            </w:r>
          </w:p>
        </w:tc>
      </w:tr>
    </w:tbl>
    <w:p>
      <w:pPr>
        <w:spacing w:after="80"/>
      </w:pPr>
    </w:p>
    <w:p>
      <w:pPr>
        <w:pStyle w:val="Heading2"/>
      </w:pPr>
      <w:r>
        <w:t xml:space="preserve">4.2 Calculated Data (Existing – from Sensor)</w:t>
      </w:r>
    </w:p>
    <w:p>
      <w:pPr>
        <w:spacing w:after="120"/>
      </w:pPr>
      <w:r>
        <w:rPr>
          <w:rFonts w:ascii="Arial" w:cs="Arial" w:eastAsia="Arial" w:hAnsi="Arial"/>
          <w:color w:val="000000"/>
          <w:sz w:val="22"/>
          <w:szCs w:val="22"/>
        </w:rPr>
        <w:t xml:space="preserve">For context, these parameters are already computed by the SR-71VT sensor hardware and displayed in the existing Power BI dashboard. They represent the screening data that triggers investigation.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2200"/>
        <w:gridCol w:w="3060"/>
      </w:tblGrid>
      <w:tr>
        <w:tc>
          <w:tcPr>
            <w:tcW w:type="dxa" w:w="21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20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Unit (Metric)</w:t>
            </w:r>
          </w:p>
        </w:tc>
        <w:tc>
          <w:tcPr>
            <w:tcW w:type="dxa" w:w="22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Unit (Imperial)</w:t>
            </w:r>
          </w:p>
        </w:tc>
        <w:tc>
          <w:tcPr>
            <w:tcW w:type="dxa" w:w="30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1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RMS</w:t>
            </w:r>
          </w:p>
        </w:tc>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w:t>
            </w:r>
          </w:p>
        </w:tc>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inches/sec (ips)</w:t>
            </w:r>
          </w:p>
        </w:tc>
        <w:tc>
          <w:tcPr>
            <w:tcW w:type="dxa" w:w="30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Root Mean Square – average vibration energy</w:t>
            </w:r>
          </w:p>
        </w:tc>
      </w:tr>
      <w:tr>
        <w:tc>
          <w:tcPr>
            <w:tcW w:type="dxa" w:w="21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Peak</w:t>
            </w:r>
          </w:p>
        </w:tc>
        <w:tc>
          <w:tcPr>
            <w:tcW w:type="dxa" w:w="2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g</w:t>
            </w:r>
          </w:p>
        </w:tc>
        <w:tc>
          <w:tcPr>
            <w:tcW w:type="dxa" w:w="2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ips</w:t>
            </w:r>
          </w:p>
        </w:tc>
        <w:tc>
          <w:tcPr>
            <w:tcW w:type="dxa" w:w="30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Maximum instantaneous amplitude</w:t>
            </w:r>
          </w:p>
        </w:tc>
      </w:tr>
      <w:tr>
        <w:tc>
          <w:tcPr>
            <w:tcW w:type="dxa" w:w="21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Peak-to-Peak</w:t>
            </w:r>
          </w:p>
        </w:tc>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w:t>
            </w:r>
          </w:p>
        </w:tc>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ips</w:t>
            </w:r>
          </w:p>
        </w:tc>
        <w:tc>
          <w:tcPr>
            <w:tcW w:type="dxa" w:w="30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 swing: lowest valley to highest peak</w:t>
            </w:r>
          </w:p>
        </w:tc>
      </w:tr>
      <w:tr>
        <w:tc>
          <w:tcPr>
            <w:tcW w:type="dxa" w:w="21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Crest Factor</w:t>
            </w:r>
          </w:p>
        </w:tc>
        <w:tc>
          <w:tcPr>
            <w:tcW w:type="dxa" w:w="2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g/g (ratio)</w:t>
            </w:r>
          </w:p>
        </w:tc>
        <w:tc>
          <w:tcPr>
            <w:tcW w:type="dxa" w:w="2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g/g (ratio)</w:t>
            </w:r>
          </w:p>
        </w:tc>
        <w:tc>
          <w:tcPr>
            <w:tcW w:type="dxa" w:w="30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Peak ÷ RMS. Values &gt;4 suggest early bearing damage</w:t>
            </w:r>
          </w:p>
        </w:tc>
      </w:tr>
      <w:tr>
        <w:tc>
          <w:tcPr>
            <w:tcW w:type="dxa" w:w="21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1x Magnitude</w:t>
            </w:r>
          </w:p>
        </w:tc>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ips</w:t>
            </w:r>
          </w:p>
        </w:tc>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ips</w:t>
            </w:r>
          </w:p>
        </w:tc>
        <w:tc>
          <w:tcPr>
            <w:tcW w:type="dxa" w:w="30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Amplitude at shaft rotation frequency (imbalance indicator)</w:t>
            </w:r>
          </w:p>
        </w:tc>
      </w:tr>
      <w:tr>
        <w:tc>
          <w:tcPr>
            <w:tcW w:type="dxa" w:w="21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2x Magnitude</w:t>
            </w:r>
          </w:p>
        </w:tc>
        <w:tc>
          <w:tcPr>
            <w:tcW w:type="dxa" w:w="2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ips</w:t>
            </w:r>
          </w:p>
        </w:tc>
        <w:tc>
          <w:tcPr>
            <w:tcW w:type="dxa" w:w="2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ips</w:t>
            </w:r>
          </w:p>
        </w:tc>
        <w:tc>
          <w:tcPr>
            <w:tcW w:type="dxa" w:w="30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Amplitude at 2× rotation frequency (misalignment indicator)</w:t>
            </w:r>
          </w:p>
        </w:tc>
      </w:tr>
      <w:tr>
        <w:tc>
          <w:tcPr>
            <w:tcW w:type="dxa" w:w="21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 Frequency</w:t>
            </w:r>
          </w:p>
        </w:tc>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w:t>
            </w:r>
          </w:p>
        </w:tc>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w:t>
            </w:r>
          </w:p>
        </w:tc>
        <w:tc>
          <w:tcPr>
            <w:tcW w:type="dxa" w:w="30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Energy in high-frequency band (bearing/gear mesh)</w:t>
            </w:r>
          </w:p>
        </w:tc>
      </w:tr>
      <w:tr>
        <w:tc>
          <w:tcPr>
            <w:tcW w:type="dxa" w:w="21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Temperature</w:t>
            </w:r>
          </w:p>
        </w:tc>
        <w:tc>
          <w:tcPr>
            <w:tcW w:type="dxa" w:w="2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c>
          <w:tcPr>
            <w:tcW w:type="dxa" w:w="2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°F</w:t>
            </w:r>
          </w:p>
        </w:tc>
        <w:tc>
          <w:tcPr>
            <w:tcW w:type="dxa" w:w="30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Sensor surface temperature</w:t>
            </w:r>
          </w:p>
        </w:tc>
      </w:tr>
      <w:tr>
        <w:tc>
          <w:tcPr>
            <w:tcW w:type="dxa" w:w="21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Battery Voltage</w:t>
            </w:r>
          </w:p>
        </w:tc>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w:t>
            </w:r>
          </w:p>
        </w:tc>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w:t>
            </w:r>
          </w:p>
        </w:tc>
        <w:tc>
          <w:tcPr>
            <w:tcW w:type="dxa" w:w="30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Sensor battery level</w:t>
            </w:r>
          </w:p>
        </w:tc>
      </w:tr>
    </w:tbl>
    <w:p>
      <w:pPr>
        <w:spacing w:after="200"/>
      </w:pPr>
    </w:p>
    <w:p>
      <w:pPr>
        <w:pStyle w:val="Heading1"/>
      </w:pPr>
      <w:r>
        <w:t xml:space="preserve">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9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Frontend Framework</w:t>
            </w:r>
          </w:p>
        </w:tc>
        <w:tc>
          <w:tcPr>
            <w:tcW w:type="dxa" w:w="3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React 18 + TypeScript</w:t>
            </w:r>
          </w:p>
        </w:tc>
        <w:tc>
          <w:tcPr>
            <w:tcW w:type="dxa" w:w="39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Component-based UI with type safety</w:t>
            </w:r>
          </w:p>
        </w:tc>
      </w:tr>
      <w:tr>
        <w:tc>
          <w:tcPr>
            <w:tcW w:type="dxa" w:w="2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Charting Library</w:t>
            </w:r>
          </w:p>
        </w:tc>
        <w:tc>
          <w:tcPr>
            <w:tcW w:type="dxa" w:w="3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Plotly.js</w:t>
            </w:r>
          </w:p>
        </w:tc>
        <w:tc>
          <w:tcPr>
            <w:tcW w:type="dxa" w:w="39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Interactive scientific charts with zoom, pan, hover, tooltips</w:t>
            </w:r>
          </w:p>
        </w:tc>
      </w:tr>
      <w:tr>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FFT Library</w:t>
            </w:r>
          </w:p>
        </w:tc>
        <w:tc>
          <w:tcPr>
            <w:tcW w:type="dxa" w:w="3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fft.js (or similar)</w:t>
            </w:r>
          </w:p>
        </w:tc>
        <w:tc>
          <w:tcPr>
            <w:tcW w:type="dxa" w:w="39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Client-side FFT computation optimized for power-of-2 inputs</w:t>
            </w:r>
          </w:p>
        </w:tc>
      </w:tr>
      <w:tr>
        <w:tc>
          <w:tcPr>
            <w:tcW w:type="dxa" w:w="2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 Runtime</w:t>
            </w:r>
          </w:p>
        </w:tc>
        <w:tc>
          <w:tcPr>
            <w:tcW w:type="dxa" w:w="3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Node.js + Express</w:t>
            </w:r>
          </w:p>
        </w:tc>
        <w:tc>
          <w:tcPr>
            <w:tcW w:type="dxa" w:w="39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server for waveform data retrieval and decoding</w:t>
            </w:r>
          </w:p>
        </w:tc>
      </w:tr>
      <w:tr>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Cloud Storage</w:t>
            </w:r>
          </w:p>
        </w:tc>
        <w:tc>
          <w:tcPr>
            <w:tcW w:type="dxa" w:w="3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Azure Data Lake Storage (ADLS)</w:t>
            </w:r>
          </w:p>
        </w:tc>
        <w:tc>
          <w:tcPr>
            <w:tcW w:type="dxa" w:w="39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Raw waveform blob storage</w:t>
            </w:r>
          </w:p>
        </w:tc>
      </w:tr>
      <w:tr>
        <w:tc>
          <w:tcPr>
            <w:tcW w:type="dxa" w:w="2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w:t>
            </w:r>
          </w:p>
        </w:tc>
        <w:tc>
          <w:tcPr>
            <w:tcW w:type="dxa" w:w="3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Cosmos DB (Mongo API)</w:t>
            </w:r>
          </w:p>
        </w:tc>
        <w:tc>
          <w:tcPr>
            <w:tcW w:type="dxa" w:w="39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Unified message and calculated data storage</w:t>
            </w:r>
          </w:p>
        </w:tc>
      </w:tr>
      <w:tr>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w:t>
            </w:r>
          </w:p>
        </w:tc>
        <w:tc>
          <w:tcPr>
            <w:tcW w:type="dxa" w:w="3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JWT (existing Perceptiv auth)</w:t>
            </w:r>
          </w:p>
        </w:tc>
        <w:tc>
          <w:tcPr>
            <w:tcW w:type="dxa" w:w="39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Session-based access control</w:t>
            </w:r>
          </w:p>
        </w:tc>
      </w:tr>
    </w:tbl>
    <w:p>
      <w:pPr>
        <w:spacing w:after="200"/>
      </w:pPr>
    </w:p>
    <w:p>
      <w:pPr>
        <w:pStyle w:val="Heading1"/>
      </w:pPr>
      <w:r>
        <w:t xml:space="preserve">6. Phased Delivery Plan</w:t>
      </w:r>
    </w:p>
    <w:p>
      <w:pPr>
        <w:spacing w:after="120"/>
      </w:pPr>
      <w:r>
        <w:rPr>
          <w:rFonts w:ascii="Arial" w:cs="Arial" w:eastAsia="Arial" w:hAnsi="Arial"/>
          <w:color w:val="000000"/>
          <w:sz w:val="22"/>
          <w:szCs w:val="22"/>
        </w:rPr>
        <w:t xml:space="preserve">The feature is scoped for phased delivery to manage complexity and allow incremental stakeholder feedback.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5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43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Deliverables</w:t>
            </w:r>
          </w:p>
        </w:tc>
      </w:tr>
      <w:tr>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1 (MVP)</w:t>
            </w:r>
          </w:p>
        </w:tc>
        <w:tc>
          <w:tcPr>
            <w:tcW w:type="dxa" w:w="35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Core spectral visualization for a single sensor, single timestamp</w:t>
            </w:r>
          </w:p>
        </w:tc>
        <w:tc>
          <w:tcPr>
            <w:tcW w:type="dxa" w:w="43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Time waveform chart, FFT spectrum chart, axis toggle (H/V/A), hover cursor with frequency + amplitude + CPM, zoom/pan/reset, error handling</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w:t>
            </w:r>
          </w:p>
        </w:tc>
        <w:tc>
          <w:tcPr>
            <w:tcW w:type="dxa" w:w="3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Enhanced analyst interaction</w:t>
            </w:r>
          </w:p>
        </w:tc>
        <w:tc>
          <w:tcPr>
            <w:tcW w:type="dxa" w:w="43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Dual cursor with delta measurement (time/frequency difference between two user-placed cursors), spectral comparison (side-by-side FFT for two timestamps)</w:t>
            </w:r>
          </w:p>
        </w:tc>
      </w:tr>
      <w:tr>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3</w:t>
            </w:r>
          </w:p>
        </w:tc>
        <w:tc>
          <w:tcPr>
            <w:tcW w:type="dxa" w:w="35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Machine context integration</w:t>
            </w:r>
          </w:p>
        </w:tc>
        <w:tc>
          <w:tcPr>
            <w:tcW w:type="dxa" w:w="43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Order calculation (requires RPM input or machine config integration), bearing defect frequency overlay, expanded tooltip with 1X/2X/order markers</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Future</w:t>
            </w:r>
          </w:p>
        </w:tc>
        <w:tc>
          <w:tcPr>
            <w:tcW w:type="dxa" w:w="3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Advanced capabilities (not currently scoped)</w:t>
            </w:r>
          </w:p>
        </w:tc>
        <w:tc>
          <w:tcPr>
            <w:tcW w:type="dxa" w:w="43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Low-frequency waveform support (400 Hz), velocity conversion (integration of acceleration), automated peak detection and fault pattern recognition</w:t>
            </w:r>
          </w:p>
        </w:tc>
      </w:tr>
    </w:tbl>
    <w:p>
      <w:pPr>
        <w:spacing w:after="200"/>
      </w:pPr>
    </w:p>
    <w:p>
      <w:pPr>
        <w:pStyle w:val="Heading1"/>
      </w:pPr>
      <w:r>
        <w:t xml:space="preserve">7. Non-Functional Requirements – Architecture Mapping</w:t>
      </w:r>
    </w:p>
    <w:p>
      <w:pPr>
        <w:spacing w:after="120"/>
      </w:pPr>
      <w:r>
        <w:rPr>
          <w:rFonts w:ascii="Arial" w:cs="Arial" w:eastAsia="Arial" w:hAnsi="Arial"/>
          <w:color w:val="000000"/>
          <w:sz w:val="22"/>
          <w:szCs w:val="22"/>
        </w:rPr>
        <w:t xml:space="preserve">Each non-functional requirement is addressed by a specific architectural approach.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4860"/>
      </w:tblGrid>
      <w:tr>
        <w:tc>
          <w:tcPr>
            <w:tcW w:type="dxa" w:w="10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NFR</w:t>
            </w:r>
          </w:p>
        </w:tc>
        <w:tc>
          <w:tcPr>
            <w:tcW w:type="dxa" w:w="35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48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Architectural Approach</w:t>
            </w:r>
          </w:p>
        </w:tc>
      </w:tr>
      <w:tr>
        <w:tc>
          <w:tcPr>
            <w:tcW w:type="dxa" w:w="1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NFR-001</w:t>
            </w:r>
          </w:p>
        </w:tc>
        <w:tc>
          <w:tcPr>
            <w:tcW w:type="dxa" w:w="35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Render within 5 seconds (click to interactive chart)</w:t>
            </w:r>
          </w:p>
        </w:tc>
        <w:tc>
          <w:tcPr>
            <w:tcW w:type="dxa" w:w="48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Backend caching of recently accessed blobs. Single API call for all 3 axes. Client-side FFT avoids second round-trip. Plotly.js WebGL renderer for large datasets.</w:t>
            </w:r>
          </w:p>
        </w:tc>
      </w:tr>
      <w:tr>
        <w:tc>
          <w:tcPr>
            <w:tcW w:type="dxa" w:w="1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NFR-002</w:t>
            </w:r>
          </w:p>
        </w:tc>
        <w:tc>
          <w:tcPr>
            <w:tcW w:type="dxa" w:w="3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50 concurrent analysts without &gt;10% degradation</w:t>
            </w:r>
          </w:p>
        </w:tc>
        <w:tc>
          <w:tcPr>
            <w:tcW w:type="dxa" w:w="48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Stateless backend API. Horizontal scaling via container orchestration. ADLS read operations are inherently parallelizable.</w:t>
            </w:r>
          </w:p>
        </w:tc>
      </w:tr>
      <w:tr>
        <w:tc>
          <w:tcPr>
            <w:tcW w:type="dxa" w:w="1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NFR-003</w:t>
            </w:r>
          </w:p>
        </w:tc>
        <w:tc>
          <w:tcPr>
            <w:tcW w:type="dxa" w:w="35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Chrome, Edge, Firefox (latest 2 versions)</w:t>
            </w:r>
          </w:p>
        </w:tc>
        <w:tc>
          <w:tcPr>
            <w:tcW w:type="dxa" w:w="48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Plotly.js and fft.js are compatible with all modern browsers. No browser-specific APIs used.</w:t>
            </w:r>
          </w:p>
        </w:tc>
      </w:tr>
      <w:tr>
        <w:tc>
          <w:tcPr>
            <w:tcW w:type="dxa" w:w="1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NFR-004</w:t>
            </w:r>
          </w:p>
        </w:tc>
        <w:tc>
          <w:tcPr>
            <w:tcW w:type="dxa" w:w="3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Exact metadata-based computation (no rounding)</w:t>
            </w:r>
          </w:p>
        </w:tc>
        <w:tc>
          <w:tcPr>
            <w:tcW w:type="dxa" w:w="48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Sample rate passed through API response as-is from source JSON. Frontend FFT uses the exact value for frequency axis generation. No intermediate rounding in the pipeline.</w:t>
            </w:r>
          </w:p>
        </w:tc>
      </w:tr>
    </w:tbl>
    <w:p>
      <w:pPr>
        <w:spacing w:after="200"/>
      </w:pPr>
    </w:p>
    <w:p>
      <w:pPr>
        <w:pStyle w:val="Heading1"/>
      </w:pPr>
      <w:r>
        <w:t xml:space="preserve">8.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200"/>
        <w:gridCol w:w="3660"/>
      </w:tblGrid>
      <w:tr>
        <w:tc>
          <w:tcPr>
            <w:tcW w:type="dxa" w:w="20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25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12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36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ADLS read latency exceeds 3 seconds</w:t>
            </w:r>
          </w:p>
        </w:tc>
        <w:tc>
          <w:tcPr>
            <w:tcW w:type="dxa" w:w="25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NFR-001 breach – total render time exceeds 5s target</w:t>
            </w:r>
          </w:p>
        </w:tc>
        <w:tc>
          <w:tcPr>
            <w:tcW w:type="dxa" w:w="1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36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Implement backend caching layer for recently accessed waveform blobs. Monitor P95 latency.</w:t>
            </w:r>
          </w:p>
        </w:tc>
      </w:tr>
      <w:tr>
        <w:tc>
          <w:tcPr>
            <w:tcW w:type="dxa" w:w="2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Browser memory constraints with multiple tabs</w:t>
            </w:r>
          </w:p>
        </w:tc>
        <w:tc>
          <w:tcPr>
            <w:tcW w:type="dxa" w:w="2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Analysts opening many spectral views simultaneously may cause browser slowdown</w:t>
            </w:r>
          </w:p>
        </w:tc>
        <w:tc>
          <w:tcPr>
            <w:tcW w:type="dxa" w:w="1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36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Implement data cleanup on component unmount. Limit comparison to 2 timestamps.</w:t>
            </w:r>
          </w:p>
        </w:tc>
      </w:tr>
      <w:tr>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Sensor sample rate variation affects FFT accuracy</w:t>
            </w:r>
          </w:p>
        </w:tc>
        <w:tc>
          <w:tcPr>
            <w:tcW w:type="dxa" w:w="25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Incorrect frequency axis if nominal rates are assumed</w:t>
            </w:r>
          </w:p>
        </w:tc>
        <w:tc>
          <w:tcPr>
            <w:tcW w:type="dxa" w:w="1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 (already mitigated)</w:t>
            </w:r>
          </w:p>
        </w:tc>
        <w:tc>
          <w:tcPr>
            <w:tcW w:type="dxa" w:w="36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ADR-005 ensures exact config.sampleRate_Hz is used throughout the pipeline.</w:t>
            </w:r>
          </w:p>
        </w:tc>
      </w:tr>
      <w:tr>
        <w:tc>
          <w:tcPr>
            <w:tcW w:type="dxa" w:w="2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Plotly.js performance at 16,384 points with zoom</w:t>
            </w:r>
          </w:p>
        </w:tc>
        <w:tc>
          <w:tcPr>
            <w:tcW w:type="dxa" w:w="2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Choppy interaction during rapid zoom/pan</w:t>
            </w:r>
          </w:p>
        </w:tc>
        <w:tc>
          <w:tcPr>
            <w:tcW w:type="dxa" w:w="1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36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Enable Plotly WebGL renderer (scattergl trace type). Test with target browsers.</w:t>
            </w:r>
          </w:p>
        </w:tc>
      </w:tr>
      <w:tr>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Future low-frequency data changes payload structure</w:t>
            </w:r>
          </w:p>
        </w:tc>
        <w:tc>
          <w:tcPr>
            <w:tcW w:type="dxa" w:w="25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Backend decoder breaks if field format differs</w:t>
            </w:r>
          </w:p>
        </w:tc>
        <w:tc>
          <w:tcPr>
            <w:tcW w:type="dxa" w:w="1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36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Design decoder to handle empty fields gracefully. Add payload version check using schemaVersion field.</w:t>
            </w:r>
          </w:p>
        </w:tc>
      </w:tr>
    </w:tbl>
    <w:p>
      <w:pPr>
        <w:spacing w:after="200"/>
      </w:pPr>
    </w:p>
    <w:p>
      <w:pPr>
        <w:pStyle w:val="Heading1"/>
      </w:pPr>
      <w:r>
        <w:t xml:space="preserve">9. Out of Scope (Phase 1)</w:t>
      </w:r>
    </w:p>
    <w:p>
      <w:pPr>
        <w:spacing w:after="120"/>
      </w:pPr>
      <w:r>
        <w:rPr>
          <w:rFonts w:ascii="Arial" w:cs="Arial" w:eastAsia="Arial" w:hAnsi="Arial"/>
          <w:color w:val="000000"/>
          <w:sz w:val="22"/>
          <w:szCs w:val="22"/>
        </w:rPr>
        <w:t xml:space="preserve">The following are explicitly excluded from Phase 1 to maintain focus and manage delivery risk.</w:t>
      </w:r>
    </w:p>
    <w:p>
      <w:pPr>
        <w:spacing w:after="80"/>
      </w:pPr>
    </w:p>
    <w:p>
      <w:pPr>
        <w:pStyle w:val="ListParagraph"/>
        <w:numPr>
          <w:ilvl w:val="0"/>
          <w:numId w:val="4"/>
        </w:numPr>
        <w:spacing w:after="80"/>
      </w:pPr>
      <w:r>
        <w:rPr>
          <w:rFonts w:ascii="Arial" w:cs="Arial" w:eastAsia="Arial" w:hAnsi="Arial"/>
          <w:sz w:val="22"/>
          <w:szCs w:val="22"/>
        </w:rPr>
        <w:t xml:space="preserve">Alert threshold configuration or rule engine changes</w:t>
      </w:r>
    </w:p>
    <w:p>
      <w:pPr>
        <w:pStyle w:val="ListParagraph"/>
        <w:numPr>
          <w:ilvl w:val="0"/>
          <w:numId w:val="4"/>
        </w:numPr>
        <w:spacing w:after="80"/>
      </w:pPr>
      <w:r>
        <w:rPr>
          <w:rFonts w:ascii="Arial" w:cs="Arial" w:eastAsia="Arial" w:hAnsi="Arial"/>
          <w:sz w:val="22"/>
          <w:szCs w:val="22"/>
        </w:rPr>
        <w:t xml:space="preserve">Automated report generation</w:t>
      </w:r>
    </w:p>
    <w:p>
      <w:pPr>
        <w:pStyle w:val="ListParagraph"/>
        <w:numPr>
          <w:ilvl w:val="0"/>
          <w:numId w:val="4"/>
        </w:numPr>
        <w:spacing w:after="80"/>
      </w:pPr>
      <w:r>
        <w:rPr>
          <w:rFonts w:ascii="Arial" w:cs="Arial" w:eastAsia="Arial" w:hAnsi="Arial"/>
          <w:sz w:val="22"/>
          <w:szCs w:val="22"/>
        </w:rPr>
        <w:t xml:space="preserve">Historical comparison across multiple months</w:t>
      </w:r>
    </w:p>
    <w:p>
      <w:pPr>
        <w:pStyle w:val="ListParagraph"/>
        <w:numPr>
          <w:ilvl w:val="0"/>
          <w:numId w:val="4"/>
        </w:numPr>
        <w:spacing w:after="80"/>
      </w:pPr>
      <w:r>
        <w:rPr>
          <w:rFonts w:ascii="Arial" w:cs="Arial" w:eastAsia="Arial" w:hAnsi="Arial"/>
          <w:sz w:val="22"/>
          <w:szCs w:val="22"/>
        </w:rPr>
        <w:t xml:space="preserve">Real-time waveform streaming</w:t>
      </w:r>
    </w:p>
    <w:p>
      <w:pPr>
        <w:pStyle w:val="ListParagraph"/>
        <w:numPr>
          <w:ilvl w:val="0"/>
          <w:numId w:val="4"/>
        </w:numPr>
        <w:spacing w:after="80"/>
      </w:pPr>
      <w:r>
        <w:rPr>
          <w:rFonts w:ascii="Arial" w:cs="Arial" w:eastAsia="Arial" w:hAnsi="Arial"/>
          <w:sz w:val="22"/>
          <w:szCs w:val="22"/>
        </w:rPr>
        <w:t xml:space="preserve">Bearing fault frequency database integration</w:t>
      </w:r>
    </w:p>
    <w:p>
      <w:pPr>
        <w:pStyle w:val="ListParagraph"/>
        <w:numPr>
          <w:ilvl w:val="0"/>
          <w:numId w:val="4"/>
        </w:numPr>
        <w:spacing w:after="80"/>
      </w:pPr>
      <w:r>
        <w:rPr>
          <w:rFonts w:ascii="Arial" w:cs="Arial" w:eastAsia="Arial" w:hAnsi="Arial"/>
          <w:sz w:val="22"/>
          <w:szCs w:val="22"/>
        </w:rPr>
        <w:t xml:space="preserve">Predictive maintenance recommendation engine</w:t>
      </w:r>
    </w:p>
    <w:p>
      <w:pPr>
        <w:pStyle w:val="ListParagraph"/>
        <w:numPr>
          <w:ilvl w:val="0"/>
          <w:numId w:val="4"/>
        </w:numPr>
        <w:spacing w:after="80"/>
      </w:pPr>
      <w:r>
        <w:rPr>
          <w:rFonts w:ascii="Arial" w:cs="Arial" w:eastAsia="Arial" w:hAnsi="Arial"/>
          <w:sz w:val="22"/>
          <w:szCs w:val="22"/>
        </w:rPr>
        <w:t xml:space="preserve">Velocity conversion (requires time-domain integration of acceleration data)</w:t>
      </w:r>
    </w:p>
    <w:p>
      <w:pPr>
        <w:pStyle w:val="ListParagraph"/>
        <w:numPr>
          <w:ilvl w:val="0"/>
          <w:numId w:val="4"/>
        </w:numPr>
        <w:spacing w:after="80"/>
      </w:pPr>
      <w:r>
        <w:rPr>
          <w:rFonts w:ascii="Arial" w:cs="Arial" w:eastAsia="Arial" w:hAnsi="Arial"/>
          <w:sz w:val="22"/>
          <w:szCs w:val="22"/>
        </w:rPr>
        <w:t xml:space="preserve">Low-frequency waveform visualization (400 Hz data not currently available)</w:t>
      </w:r>
    </w:p>
    <w:p>
      <w:pPr>
        <w:pStyle w:val="ListParagraph"/>
        <w:numPr>
          <w:ilvl w:val="0"/>
          <w:numId w:val="4"/>
        </w:numPr>
        <w:spacing w:after="80"/>
      </w:pPr>
      <w:r>
        <w:rPr>
          <w:rFonts w:ascii="Arial" w:cs="Arial" w:eastAsia="Arial" w:hAnsi="Arial"/>
          <w:sz w:val="22"/>
          <w:szCs w:val="22"/>
        </w:rPr>
        <w:t xml:space="preserve">Mobile or tablet support (desktop only per NFR-003/NFR-004)</w:t>
      </w:r>
    </w:p>
    <w:p>
      <w:pPr>
        <w:spacing w:after="200"/>
      </w:pPr>
    </w:p>
    <w:p>
      <w:pPr>
        <w:pStyle w:val="Heading1"/>
      </w:pPr>
      <w: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8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5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FFT</w:t>
            </w:r>
          </w:p>
        </w:tc>
        <w:tc>
          <w:tcPr>
            <w:tcW w:type="dxa" w:w="68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Fast Fourier Transform – algorithm that converts a time-domain signal into its frequency components</w:t>
            </w:r>
          </w:p>
        </w:tc>
      </w:tr>
      <w:tr>
        <w:tc>
          <w:tcPr>
            <w:tcW w:type="dxa" w:w="2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Nyquist Frequency</w:t>
            </w:r>
          </w:p>
        </w:tc>
        <w:tc>
          <w:tcPr>
            <w:tcW w:type="dxa" w:w="68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Maximum observable frequency = sample rate ÷ 2. Frequencies above this cannot be detected.</w:t>
            </w:r>
          </w:p>
        </w:tc>
      </w:tr>
      <w:tr>
        <w:tc>
          <w:tcPr>
            <w:tcW w:type="dxa" w:w="25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Frequency Resolution</w:t>
            </w:r>
          </w:p>
        </w:tc>
        <w:tc>
          <w:tcPr>
            <w:tcW w:type="dxa" w:w="68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Smallest frequency difference distinguishable in the FFT = sample rate ÷ sample count</w:t>
            </w:r>
          </w:p>
        </w:tc>
      </w:tr>
      <w:tr>
        <w:tc>
          <w:tcPr>
            <w:tcW w:type="dxa" w:w="2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RMS</w:t>
            </w:r>
          </w:p>
        </w:tc>
        <w:tc>
          <w:tcPr>
            <w:tcW w:type="dxa" w:w="68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Root Mean Square – statistical measure of average signal energy</w:t>
            </w:r>
          </w:p>
        </w:tc>
      </w:tr>
      <w:tr>
        <w:tc>
          <w:tcPr>
            <w:tcW w:type="dxa" w:w="25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Crest Factor</w:t>
            </w:r>
          </w:p>
        </w:tc>
        <w:tc>
          <w:tcPr>
            <w:tcW w:type="dxa" w:w="68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Ratio of peak amplitude to RMS. Indicates impulsiveness of the signal.</w:t>
            </w:r>
          </w:p>
        </w:tc>
      </w:tr>
      <w:tr>
        <w:tc>
          <w:tcPr>
            <w:tcW w:type="dxa" w:w="2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CPM</w:t>
            </w:r>
          </w:p>
        </w:tc>
        <w:tc>
          <w:tcPr>
            <w:tcW w:type="dxa" w:w="68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Cycles Per Minute = frequency in Hz × 60. Common in rotating machinery analysis.</w:t>
            </w:r>
          </w:p>
        </w:tc>
      </w:tr>
      <w:tr>
        <w:tc>
          <w:tcPr>
            <w:tcW w:type="dxa" w:w="25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Order (1X, 2X)</w:t>
            </w:r>
          </w:p>
        </w:tc>
        <w:tc>
          <w:tcPr>
            <w:tcW w:type="dxa" w:w="68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Multiples of shaft rotation frequency. 1X = imbalance, 2X = misalignment.</w:t>
            </w:r>
          </w:p>
        </w:tc>
      </w:tr>
      <w:tr>
        <w:tc>
          <w:tcPr>
            <w:tcW w:type="dxa" w:w="2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BPFO / BPFI</w:t>
            </w:r>
          </w:p>
        </w:tc>
        <w:tc>
          <w:tcPr>
            <w:tcW w:type="dxa" w:w="68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Ball Pass Frequency Outer/Inner – bearing defect frequencies calculated from geometry</w:t>
            </w:r>
          </w:p>
        </w:tc>
      </w:tr>
      <w:tr>
        <w:tc>
          <w:tcPr>
            <w:tcW w:type="dxa" w:w="25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ADLS</w:t>
            </w:r>
          </w:p>
        </w:tc>
        <w:tc>
          <w:tcPr>
            <w:tcW w:type="dxa" w:w="68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Azure Data Lake Storage – cloud storage for large binary/JSON data</w:t>
            </w:r>
          </w:p>
        </w:tc>
      </w:tr>
      <w:tr>
        <w:tc>
          <w:tcPr>
            <w:tcW w:type="dxa" w:w="2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Hanning Window</w:t>
            </w:r>
          </w:p>
        </w:tc>
        <w:tc>
          <w:tcPr>
            <w:tcW w:type="dxa" w:w="68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Windowing function applied before FFT to reduce spectral leakage at signal edges</w:t>
            </w:r>
          </w:p>
        </w:tc>
      </w:tr>
      <w:tr>
        <w:tc>
          <w:tcPr>
            <w:tcW w:type="dxa" w:w="25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Spectral Leakage</w:t>
            </w:r>
          </w:p>
        </w:tc>
        <w:tc>
          <w:tcPr>
            <w:tcW w:type="dxa" w:w="68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Artifact in FFT caused by non-periodic signal edges, spreading energy across bins</w:t>
            </w:r>
          </w:p>
        </w:tc>
      </w:tr>
      <w:tr>
        <w:tc>
          <w:tcPr>
            <w:tcW w:type="dxa" w:w="2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Base64</w:t>
            </w:r>
          </w:p>
        </w:tc>
        <w:tc>
          <w:tcPr>
            <w:tcW w:type="dxa" w:w="68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Encoding scheme that represents binary data as ASCII text for safe transmission in JSON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0EB" w:sz="1" w:space="4"/>
      </w:pBdr>
      <w:tabs>
        <w:tab w:val="right" w:pos="9026"/>
      </w:tabs>
    </w:pPr>
    <w:r>
      <w:rPr>
        <w:rFonts w:ascii="Arial" w:cs="Arial" w:eastAsia="Arial" w:hAnsi="Arial"/>
        <w:color w:val="555555"/>
        <w:sz w:val="16"/>
        <w:szCs w:val="16"/>
      </w:rPr>
      <w:t xml:space="preserve">Perceptiv Admin Dashboard</w:t>
    </w:r>
    <w:r>
      <w:rPr>
        <w:rFonts w:ascii="Arial" w:cs="Arial" w:eastAsia="Arial" w:hAnsi="Arial"/>
        <w:sz w:val="16"/>
        <w:szCs w:val="16"/>
      </w:rPr>
      <w:t xml:space="preserve">	</w:t>
    </w: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space="4"/>
      </w:pBdr>
    </w:pPr>
    <w:r>
      <w:rPr>
        <w:rFonts w:ascii="Arial" w:cs="Arial" w:eastAsia="Arial" w:hAnsi="Arial"/>
        <w:i/>
        <w:iCs/>
        <w:color w:val="555555"/>
        <w:sz w:val="18"/>
        <w:szCs w:val="18"/>
      </w:rPr>
      <w:t xml:space="preserve">Spectral Analysis Feature – Architecture &amp;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6"/>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2026-02-18T10:01:12.937Z</dcterms:created>
  <dcterms:modified xsi:type="dcterms:W3CDTF">2026-02-18T10:01:12.938Z</dcterms:modified>
</cp:coreProperties>
</file>

<file path=docProps/custom.xml><?xml version="1.0" encoding="utf-8"?>
<Properties xmlns="http://schemas.openxmlformats.org/officeDocument/2006/custom-properties" xmlns:vt="http://schemas.openxmlformats.org/officeDocument/2006/docPropsVTypes"/>
</file>