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HIGHLIGHTS</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A novel integrated AI driven pipeline combining RF, XGB and a chemprop based multi task D-MPNN, enhanced with transfer learning pre-trained on 348,209 pan kinase compounds, was developed for FGFR4 inhibitor discovery. Representing the first application of transfer learning based multi task GNN for simultaneous potency and selectivity prediction across FGFR1-4.</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Multi task learning across FGFR1-4 simultaneously resolved the isoform selectivity bottleneck which is the primary challenge in FGFR targeted drug design by enabling cross isoform regularization that improved classification generalizability (GNN AUROC = 0.966) while XGB achieved superior regression accuracy.</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Caudex" w:cs="Caudex" w:eastAsia="Caudex" w:hAnsi="Caudex"/>
          <w:sz w:val="24"/>
          <w:szCs w:val="24"/>
          <w:rtl w:val="0"/>
        </w:rPr>
        <w:t xml:space="preserve"> A novel two tier progressive activity threshold strategy (pIC₅₀ ≥ 6.0 for classical ML and pIC₅₀ ≥ 6.5 for GNN) balanced sensitivity at the initial screening stage with specificity at the deep learning refinement stage, reducing false positive advancement while retaining structurally diverse, high potency candidates.</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Integration of ligand based drug design (ML/DL virtual screening) with structure based drug design (molecular docking + MD simulations + MM-GBSA) in a single pipeline combined the breadth of large scale screening with the mechanistic depth of binding mode analysis.</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Gungsuh" w:cs="Gungsuh" w:eastAsia="Gungsuh" w:hAnsi="Gungsuh"/>
          <w:sz w:val="24"/>
          <w:szCs w:val="24"/>
          <w:rtl w:val="0"/>
        </w:rPr>
        <w:t xml:space="preserve"> Structure based validation identified 21 out of 100 screened compounds with binding affinities of −9.0 to −9.6 kcal/mol. All exceeding clinically validated fisogatinib (−8.0 kcal/mol) and roblitinib (−8.1 kcal/mol) under identical docking conditions.</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Gungsuh" w:cs="Gungsuh" w:eastAsia="Gungsuh" w:hAnsi="Gungsuh"/>
          <w:sz w:val="24"/>
          <w:szCs w:val="24"/>
          <w:rtl w:val="0"/>
        </w:rPr>
        <w:t xml:space="preserve"> VAL 51 and LEU 189 were identified as fully conserved pharmacophoric hotspots (100% conservation across all five top ranked complexes), independently corroborated by both docking interaction analysis (Table 4) and per residue MM-GBSA decomposition (VAL:51 = −2.349 kcal/mol; LEU:189 = −1.651 kcal/mol), providing a quantitative pharmacophoric map for FGFR4-targeted ligand optimization.</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100 ns all-atom MD simulations with 8 descriptor trajectory analysis (RMSD, RMSF, Rg, H bond occupancy, SASA, PCA, 3D FEL, DCCM) where the confirmed Ligand_66 reached stable equilibration within 20 ns (RMSD 0.28–0.40 nm) and maintained a single thermodynamic energy minimum throughout. And more importantly it is the most comprehensive MD validation reported for any computational FGFR4 inhibitor study.</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ADMET profiling directly benchmarked against both clinical FGFR4 references revealed all 8 candidates have significantly lower TPSA (88–107 Å²) than roblitinib (143.79 Å²) and considerably lower logP (0.27–1.45) than fisogatinib (3.16), predicting superior oral bioavailability and reduced lipophilicity-associated off-target toxicity, with contextually interpretable hepatotoxicity flags attributed to a class level sulfonyl scaffold effect rather than compound-specific liability.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