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9. Conclusion</w:t>
      </w:r>
    </w:p>
    <w:p>
      <w:pPr>
        <w:spacing w:after="120" w:line="276"/>
      </w:pPr>
      <w:r>
        <w:rPr>
          <w:rFonts w:ascii="Calibri" w:cs="Calibri" w:eastAsia="Calibri" w:hAnsi="Calibri"/>
        </w:rPr>
        <w:t xml:space="preserve">The Implement Client Script &amp; UI Policy (Incident) micro project demonstrates how UI Policies and Client Scripts work together to enforce dynamic field behaviour, automate updates and prevent incorrect data submission on Incident forms. By using onChange, onSubmit and onCellEdit scripts alongside UI Policy actions, fields such as Assigned To and Urgency respond appropriately to changes in Impact, maintaining clean and consistent data. The solution is lightweight, efficient and easy to implement, making it ideal for a short-duration micro project while showcasing practical best practices for form usability and data integrity in ServiceNow.</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Implement Client Script &amp; UI Policy (Incident)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C9A"/>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2026-09-30T09:03:48.647Z</dcterms:created>
  <dcterms:modified xsi:type="dcterms:W3CDTF">2026-09-30T09:03:48.653Z</dcterms:modified>
</cp:coreProperties>
</file>

<file path=docProps/custom.xml><?xml version="1.0" encoding="utf-8"?>
<Properties xmlns="http://schemas.openxmlformats.org/officeDocument/2006/custom-properties" xmlns:vt="http://schemas.openxmlformats.org/officeDocument/2006/docPropsVTypes"/>
</file>