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Add server-side Business Rules or Data Policies as a backup so validation also applies to imports and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Extend the rules to other fields and conditions, such as Priority or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Allow authorised roles to edit State in lists by adding a role check to the onCellEdit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Apply the same pattern to Problem, Change and Request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Report on rejected saves to identify training needs.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