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1. Introduction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Project Overview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This micro project demonstrates how ServiceNow client-side controls, UI Policies and Client Scripts, enforce data integrity on Incident records. The solution works directly on the Incident form and list view to control field behaviour, auto-populate values and block invalid submissions.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When the Impact of an Incident is set to High (1 – High), the UI Policy “High Impact Control” makes the Assignment group mandatory and the Urgency field read-only, and reverses these changes when Impact is no longer High. Three Client Scripts complement the policy: an onChange script sets Urgency to High, an onSubmit script prevents saving without an Assigned To value, and an onCellEdit script blocks State changes made directly in the list.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Purpose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purpose of the project is to ensure that Incidents are created with complete and valid information, improving data quality and consistency across the platform. The implementation aims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Dynamically make fields mandatory and control field behaviour based on Impact.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Auto-populate values, such as Urgency, when a condition is met.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Prevent record submission when required conditions are not met.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Prevent unauthorised State changes through list editing.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Improve reporting accuracy, SLA compliance and overall service quality.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Skills: </w:t>
      </w:r>
      <w:r>
        <w:rPr>
          <w:rFonts w:ascii="Calibri" w:cs="Calibri" w:eastAsia="Calibri" w:hAnsi="Calibri"/>
        </w:rPr>
        <w:t xml:space="preserve">Incident Management, UI Policy, UI Policy Actions, Client Scripts, Form Validation.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2026-09-30T09:03:48.647Z</dcterms:created>
  <dcterms:modified xsi:type="dcterms:W3CDTF">2026-09-30T09:03:48.653Z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