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A1A1A"/>
          <w:sz w:val="48"/>
          <w:szCs w:val="48"/>
        </w:rPr>
        <w:t xml:space="preserve">On Forward</w:t>
      </w:r>
    </w:p>
    <w:p>
      <w:pPr>
        <w:spacing w:after="80"/>
      </w:pPr>
      <w:r>
        <w:rPr>
          <w:rFonts w:ascii="Arial" w:cs="Arial" w:eastAsia="Arial" w:hAnsi="Arial"/>
          <w:color w:val="555555"/>
          <w:sz w:val="28"/>
          <w:szCs w:val="28"/>
        </w:rPr>
        <w:t xml:space="preserve">Cold Email Sequences — EU Prospect List</w:t>
      </w:r>
    </w:p>
    <w:p>
      <w:pPr>
        <w:spacing w:after="400"/>
      </w:pPr>
      <w:r>
        <w:rPr>
          <w:rFonts w:ascii="Arial" w:cs="Arial" w:eastAsia="Arial" w:hAnsi="Arial"/>
          <w:color w:val="888888"/>
          <w:sz w:val="20"/>
          <w:szCs w:val="20"/>
        </w:rPr>
        <w:t xml:space="preserve">Prepared: May 2026  ·  12 contacts  ·  3 emails each  ·  Ready to send post-warm-up</w:t>
      </w:r>
    </w:p>
    <w:p>
      <w:pPr>
        <w:pBdr>
          <w:bottom w:val="single" w:color="CCCCCC" w:sz="4"/>
        </w:pBdr>
        <w:spacing w:after="200"/>
      </w:pPr>
      <w:r>
        <w:rPr>
          <w:rFonts w:ascii="Arial" w:cs="Arial" w:eastAsia="Arial" w:hAnsi="Arial"/>
          <w:sz w:val="22"/>
          <w:szCs w:val="22"/>
        </w:rPr>
        <w:t xml:space="preserve"/>
      </w:r>
    </w:p>
    <w:p>
      <w:pPr>
        <w:spacing w:after="120" w:before="300"/>
      </w:pPr>
      <w:r>
        <w:rPr>
          <w:rFonts w:ascii="Arial" w:cs="Arial" w:eastAsia="Arial" w:hAnsi="Arial"/>
          <w:b/>
          <w:bCs/>
          <w:color w:val="333333"/>
          <w:sz w:val="26"/>
          <w:szCs w:val="26"/>
        </w:rPr>
        <w:t xml:space="preserve">How to use this document</w:t>
      </w:r>
    </w:p>
    <w:p>
      <w:pPr>
        <w:spacing w:after="100"/>
      </w:pPr>
      <w:r>
        <w:rPr>
          <w:rFonts w:ascii="Arial" w:cs="Arial" w:eastAsia="Arial" w:hAnsi="Arial"/>
          <w:sz w:val="22"/>
          <w:szCs w:val="22"/>
        </w:rPr>
        <w:t xml:space="preserve">Warm-up period ends approximately 3 weeks from start date. Do not send to prospects during warm-up.</w:t>
      </w:r>
    </w:p>
    <w:p>
      <w:pPr>
        <w:spacing w:after="100"/>
      </w:pPr>
      <w:r>
        <w:rPr>
          <w:rFonts w:ascii="Arial" w:cs="Arial" w:eastAsia="Arial" w:hAnsi="Arial"/>
          <w:sz w:val="22"/>
          <w:szCs w:val="22"/>
        </w:rPr>
        <w:t xml:space="preserve">Sequence timing per contact:</w:t>
      </w:r>
    </w:p>
    <w:p>
      <w:pPr>
        <w:spacing w:after="80"/>
        <w:ind w:left="400"/>
      </w:pPr>
      <w:r>
        <w:rPr>
          <w:rFonts w:ascii="Arial" w:cs="Arial" w:eastAsia="Arial" w:hAnsi="Arial"/>
          <w:b/>
          <w:bCs/>
          <w:sz w:val="22"/>
          <w:szCs w:val="22"/>
        </w:rPr>
        <w:t xml:space="preserve">Email 1 — </w:t>
      </w:r>
      <w:r>
        <w:rPr>
          <w:rFonts w:ascii="Arial" w:cs="Arial" w:eastAsia="Arial" w:hAnsi="Arial"/>
          <w:sz w:val="22"/>
          <w:szCs w:val="22"/>
        </w:rPr>
        <w:t xml:space="preserve">Send on day 1 of live sending. Fully custom per contact.</w:t>
      </w:r>
    </w:p>
    <w:p>
      <w:pPr>
        <w:spacing w:after="80"/>
        <w:ind w:left="400"/>
      </w:pPr>
      <w:r>
        <w:rPr>
          <w:rFonts w:ascii="Arial" w:cs="Arial" w:eastAsia="Arial" w:hAnsi="Arial"/>
          <w:b/>
          <w:bCs/>
          <w:sz w:val="22"/>
          <w:szCs w:val="22"/>
        </w:rPr>
        <w:t xml:space="preserve">Email 2 — </w:t>
      </w:r>
      <w:r>
        <w:rPr>
          <w:rFonts w:ascii="Arial" w:cs="Arial" w:eastAsia="Arial" w:hAnsi="Arial"/>
          <w:sz w:val="22"/>
          <w:szCs w:val="22"/>
        </w:rPr>
        <w:t xml:space="preserve">Send on day 5 if no reply. Shorter, adds a new angle.</w:t>
      </w:r>
    </w:p>
    <w:p>
      <w:pPr>
        <w:spacing w:after="80"/>
        <w:ind w:left="400"/>
      </w:pPr>
      <w:r>
        <w:rPr>
          <w:rFonts w:ascii="Arial" w:cs="Arial" w:eastAsia="Arial" w:hAnsi="Arial"/>
          <w:b/>
          <w:bCs/>
          <w:sz w:val="22"/>
          <w:szCs w:val="22"/>
        </w:rPr>
        <w:t xml:space="preserve">Email 3 — </w:t>
      </w:r>
      <w:r>
        <w:rPr>
          <w:rFonts w:ascii="Arial" w:cs="Arial" w:eastAsia="Arial" w:hAnsi="Arial"/>
          <w:sz w:val="22"/>
          <w:szCs w:val="22"/>
        </w:rPr>
        <w:t xml:space="preserve">Send on day 12 if still no reply. Very short final note.</w:t>
      </w:r>
    </w:p>
    <w:p>
      <w:pPr>
        <w:spacing w:after="120"/>
      </w:pPr>
      <w:r>
        <w:rPr>
          <w:rFonts w:ascii="Arial" w:cs="Arial" w:eastAsia="Arial" w:hAnsi="Arial"/>
          <w:sz w:val="22"/>
          <w:szCs w:val="22"/>
        </w:rPr>
        <w:t xml:space="preserve"/>
      </w:r>
    </w:p>
    <w:p>
      <w:pPr>
        <w:spacing w:after="100"/>
      </w:pPr>
      <w:r>
        <w:rPr>
          <w:rFonts w:ascii="Arial" w:cs="Arial" w:eastAsia="Arial" w:hAnsi="Arial"/>
          <w:sz w:val="22"/>
          <w:szCs w:val="22"/>
        </w:rPr>
        <w:t xml:space="preserve">Tier A contacts (6) send first. Tier B contacts (6) load after Tier A is fully sequenced.</w:t>
      </w:r>
    </w:p>
    <w:p>
      <w:pPr>
        <w:spacing w:after="100"/>
      </w:pPr>
      <w:r>
        <w:rPr>
          <w:rFonts w:ascii="Arial" w:cs="Arial" w:eastAsia="Arial" w:hAnsi="Arial"/>
          <w:sz w:val="22"/>
          <w:szCs w:val="22"/>
        </w:rPr>
        <w:t xml:space="preserve">If a contact replies at any point, remove them from the sequence immediately and move to discovery conversation.</w:t>
      </w:r>
    </w:p>
    <w:p>
      <w:pPr>
        <w:spacing w:after="200"/>
      </w:pPr>
      <w:r>
        <w:rPr>
          <w:rFonts w:ascii="Arial" w:cs="Arial" w:eastAsia="Arial" w:hAnsi="Arial"/>
          <w:sz w:val="22"/>
          <w:szCs w:val="22"/>
        </w:rPr>
        <w:t xml:space="preserve"/>
      </w:r>
    </w:p>
    <w:p>
      <w:pPr>
        <w:pBdr>
          <w:bottom w:val="single" w:color="CCCCCC" w:sz="4"/>
        </w:pBdr>
        <w:spacing w:after="200"/>
      </w:pPr>
      <w:r>
        <w:rPr>
          <w:rFonts w:ascii="Arial" w:cs="Arial" w:eastAsia="Arial" w:hAnsi="Arial"/>
          <w:sz w:val="22"/>
          <w:szCs w:val="22"/>
        </w:rPr>
        <w:t xml:space="preserve"/>
      </w:r>
    </w:p>
    <w:p>
      <w:pPr>
        <w:spacing w:after="200" w:before="400"/>
      </w:pPr>
      <w:r>
        <w:rPr>
          <w:rFonts w:ascii="Arial" w:cs="Arial" w:eastAsia="Arial" w:hAnsi="Arial"/>
          <w:b/>
          <w:bCs/>
          <w:color w:val="1A1A1A"/>
          <w:sz w:val="32"/>
          <w:szCs w:val="32"/>
        </w:rPr>
        <w:t xml:space="preserve">TIER A — Fully Custom (6 contacts)</w:t>
      </w:r>
    </w:p>
    <w:p>
      <w:pPr>
        <w:spacing w:after="100"/>
      </w:pPr>
      <w:r>
        <w:rPr>
          <w:rFonts w:ascii="Arial" w:cs="Arial" w:eastAsia="Arial" w:hAnsi="Arial"/>
          <w:sz w:val="22"/>
          <w:szCs w:val="22"/>
        </w:rPr>
        <w:t xml:space="preserve">Send these first. Each email is written specifically for this person and company. Do not template these.</w:t>
      </w:r>
    </w:p>
    <w:p>
      <w:pPr>
        <w:spacing w:after="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40"/>
              <w:left w:type="dxa" w:w="200"/>
              <w:bottom w:type="dxa" w:w="140"/>
              <w:right w:type="dxa" w:w="200"/>
            </w:tcMar>
          </w:tcPr>
          <w:p>
            <w:pPr>
              <w:spacing w:after="80"/>
            </w:pPr>
            <w:r>
              <w:rPr>
                <w:rFonts w:ascii="Arial" w:cs="Arial" w:eastAsia="Arial" w:hAnsi="Arial"/>
                <w:b/>
                <w:bCs/>
                <w:color w:val="1A3A5C"/>
                <w:sz w:val="18"/>
                <w:szCs w:val="18"/>
              </w:rPr>
              <w:t xml:space="preserve">TIER A</w:t>
            </w:r>
            <w:r>
              <w:rPr>
                <w:rFonts w:ascii="Arial" w:cs="Arial" w:eastAsia="Arial" w:hAnsi="Arial"/>
                <w:color w:val="999999"/>
                <w:sz w:val="22"/>
                <w:szCs w:val="22"/>
              </w:rPr>
              <w:t xml:space="preserve">   |   </w:t>
            </w:r>
            <w:r>
              <w:rPr>
                <w:rFonts w:ascii="Arial" w:cs="Arial" w:eastAsia="Arial" w:hAnsi="Arial"/>
                <w:b/>
                <w:bCs/>
                <w:sz w:val="24"/>
                <w:szCs w:val="24"/>
              </w:rPr>
              <w:t xml:space="preserve">Daniel Steinke</w:t>
            </w:r>
          </w:p>
          <w:p>
            <w:pPr>
              <w:spacing w:after="100"/>
            </w:pPr>
            <w:r>
              <w:rPr>
                <w:rFonts w:ascii="Arial" w:cs="Arial" w:eastAsia="Arial" w:hAnsi="Arial"/>
                <w:color w:val="555555"/>
                <w:sz w:val="22"/>
                <w:szCs w:val="22"/>
              </w:rPr>
              <w:t xml:space="preserve">Managing Partner  ·  HDS International Group</w:t>
            </w:r>
          </w:p>
          <w:p>
            <w:pPr>
              <w:spacing w:after="100"/>
            </w:pPr>
            <w:r>
              <w:rPr>
                <w:rFonts w:ascii="Arial" w:cs="Arial" w:eastAsia="Arial" w:hAnsi="Arial"/>
                <w:color w:val="888888"/>
                <w:sz w:val="20"/>
                <w:szCs w:val="20"/>
              </w:rPr>
              <w:t xml:space="preserve">d.steinke@hds-consulting.com  ·  Switzerland / Germany  ·  54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Logistics cost consulting with "automatisierte Rechnungsprüfung" (automated invoice checking) literally in their keywords. Our case study #1 (invoice-to-PO matching) maps directly onto what they do for clients.</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freight invoice processing at HDS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Daniel,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HDS's work — freight invoice auditing, transport cost benchmarking, tariff analysis — generates a lot of structured data that needs to be pulled, reconciled, and turned into client deliverables. I'd guess a meaningful part of your team's week goes into that process rather than the analysis itself.</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built an agent for a 60-person logistics firm that matched invoices across four systems automatically, flagged exceptions, and sent a daily report — what was taking three days a week took under an hour to review. The firm runs it without us now.</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I'm curious whether that pattern applies to HDS — on the client-work side or your own cost data operations.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Worth 20 minutes?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freight invoice processing at HDS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Daniel,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Sending this in case my first note got buried.</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shortest version: we take one workflow your team does repeatedly, map it in a conversation, and show you it running differently — that's the scope of a first call. No pitch deck.</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 timing is off, happy to reconnect later.</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freight invoice processing at HDS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Daniel,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 I won't keep filling your inbox.</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 problem ever becomes a priority, feel free to reach out. We're quick to scope and quicker to build than most people expect.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40"/>
              <w:left w:type="dxa" w:w="200"/>
              <w:bottom w:type="dxa" w:w="140"/>
              <w:right w:type="dxa" w:w="200"/>
            </w:tcMar>
          </w:tcPr>
          <w:p>
            <w:pPr>
              <w:spacing w:after="80"/>
            </w:pPr>
            <w:r>
              <w:rPr>
                <w:rFonts w:ascii="Arial" w:cs="Arial" w:eastAsia="Arial" w:hAnsi="Arial"/>
                <w:b/>
                <w:bCs/>
                <w:color w:val="1A3A5C"/>
                <w:sz w:val="18"/>
                <w:szCs w:val="18"/>
              </w:rPr>
              <w:t xml:space="preserve">TIER A</w:t>
            </w:r>
            <w:r>
              <w:rPr>
                <w:rFonts w:ascii="Arial" w:cs="Arial" w:eastAsia="Arial" w:hAnsi="Arial"/>
                <w:color w:val="999999"/>
                <w:sz w:val="22"/>
                <w:szCs w:val="22"/>
              </w:rPr>
              <w:t xml:space="preserve">   |   </w:t>
            </w:r>
            <w:r>
              <w:rPr>
                <w:rFonts w:ascii="Arial" w:cs="Arial" w:eastAsia="Arial" w:hAnsi="Arial"/>
                <w:b/>
                <w:bCs/>
                <w:sz w:val="24"/>
                <w:szCs w:val="24"/>
              </w:rPr>
              <w:t xml:space="preserve">Didem Tuerkyilmaz</w:t>
            </w:r>
          </w:p>
          <w:p>
            <w:pPr>
              <w:spacing w:after="100"/>
            </w:pPr>
            <w:r>
              <w:rPr>
                <w:rFonts w:ascii="Arial" w:cs="Arial" w:eastAsia="Arial" w:hAnsi="Arial"/>
                <w:color w:val="555555"/>
                <w:sz w:val="22"/>
                <w:szCs w:val="22"/>
              </w:rPr>
              <w:t xml:space="preserve">CFO  ·  Taxture Tax &amp; Legal Services</w:t>
            </w:r>
          </w:p>
          <w:p>
            <w:pPr>
              <w:spacing w:after="100"/>
            </w:pPr>
            <w:r>
              <w:rPr>
                <w:rFonts w:ascii="Arial" w:cs="Arial" w:eastAsia="Arial" w:hAnsi="Arial"/>
                <w:color w:val="888888"/>
                <w:sz w:val="20"/>
                <w:szCs w:val="20"/>
              </w:rPr>
              <w:t xml:space="preserve">didemt@taxture.com  ·  Netherlands  ·  64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Multi-service tax advisory in Amsterdam. High volume of client-specific deliverables — compliance reports, VAT returns, transfer pricing docs. Case study #3 (professional services reporting agent) maps directly.</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client reporting at Taxture</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Didem,</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Tax and legal advisory firms produce a high volume of client-specific deliverables — compliance reports, VAT returns, transfer pricing documentation, advisory memos. The analysis is bespoke; the surrounding prep and assembly tends to be manual.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built a reporting agent for a 60-person professional services firm that pulled data, wrote first-draft commentary, and assembled client-ready reports in 20 minutes — previously 4-5 hours per report. The firm took on 40% more clients without adding headcount.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Given the breadth of services Taxture runs across 64 people, I'd expect some version of this problem exists.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Is this worth a short conversation?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client reporting at Taxture</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Didem,</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in case my last note didn't land at the right moment.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work we do is scoped around one specific workflow — not a platform rollout. First conversation is just whether there's a problem worth solving. Takes 20 minutes.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now isn't the time, no problem.</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client reporting at Taxture</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Didem,</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 I don't want to fill your inbox.</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 problem we described ever becomes a priority, feel free to reach out. We're quick to scope and quicker to build than most people expect.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40"/>
              <w:left w:type="dxa" w:w="200"/>
              <w:bottom w:type="dxa" w:w="140"/>
              <w:right w:type="dxa" w:w="200"/>
            </w:tcMar>
          </w:tcPr>
          <w:p>
            <w:pPr>
              <w:spacing w:after="80"/>
            </w:pPr>
            <w:r>
              <w:rPr>
                <w:rFonts w:ascii="Arial" w:cs="Arial" w:eastAsia="Arial" w:hAnsi="Arial"/>
                <w:b/>
                <w:bCs/>
                <w:color w:val="1A3A5C"/>
                <w:sz w:val="18"/>
                <w:szCs w:val="18"/>
              </w:rPr>
              <w:t xml:space="preserve">TIER A</w:t>
            </w:r>
            <w:r>
              <w:rPr>
                <w:rFonts w:ascii="Arial" w:cs="Arial" w:eastAsia="Arial" w:hAnsi="Arial"/>
                <w:color w:val="999999"/>
                <w:sz w:val="22"/>
                <w:szCs w:val="22"/>
              </w:rPr>
              <w:t xml:space="preserve">   |   </w:t>
            </w:r>
            <w:r>
              <w:rPr>
                <w:rFonts w:ascii="Arial" w:cs="Arial" w:eastAsia="Arial" w:hAnsi="Arial"/>
                <w:b/>
                <w:bCs/>
                <w:sz w:val="24"/>
                <w:szCs w:val="24"/>
              </w:rPr>
              <w:t xml:space="preserve">Christine Duffin</w:t>
            </w:r>
          </w:p>
          <w:p>
            <w:pPr>
              <w:spacing w:after="100"/>
            </w:pPr>
            <w:r>
              <w:rPr>
                <w:rFonts w:ascii="Arial" w:cs="Arial" w:eastAsia="Arial" w:hAnsi="Arial"/>
                <w:color w:val="555555"/>
                <w:sz w:val="22"/>
                <w:szCs w:val="22"/>
              </w:rPr>
              <w:t xml:space="preserve">CFO  ·  Armstrongs Chartered Accountants</w:t>
            </w:r>
          </w:p>
          <w:p>
            <w:pPr>
              <w:spacing w:after="100"/>
            </w:pPr>
            <w:r>
              <w:rPr>
                <w:rFonts w:ascii="Arial" w:cs="Arial" w:eastAsia="Arial" w:hAnsi="Arial"/>
                <w:color w:val="888888"/>
                <w:sz w:val="20"/>
                <w:szCs w:val="20"/>
              </w:rPr>
              <w:t xml:space="preserve">christine.duffin@armstrongs-accountancy.co.uk  ·  United Kingdom  ·  51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Award-winning 51-person chartered accountancy firm with cloud accounting (Xero) and multi-sector client base. Monthly management accounts for many clients = recurring structured work under capacity pressure.</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management accounts at Armstrongs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Christine,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Armstrongs works across a wide range of sectors and produces a lot of recurring client deliverables — management accounts, financial reports, tax summaries. Month in and month out, that volume puts real pressure on the team's capacity.</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built a reporting agent for an accountancy firm of similar size — it pulls the underlying data, writes first-draft commentary in the firm's own voice, and assembles the report for partner review. What was 4-5 hours per client became a 20-minute check. They've since taken on significantly more work without hiring.</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monthly reporting is a constraint at Armstrongs, I'd be glad to show you how it works.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management accounts at Armstrongs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Christine,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Sending this in case my first email got buried.</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One question: how many hours does your team spend per client on monthly reporting prep — pulling data, formatting, writing commentary? That number tends to be the clearest signal of whether our work is useful.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Happy to have a quick call if the answer is more than you'd like it to be.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management accounts at Armstrongs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Christine,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on this.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 reporting bottleneck ever becomes a priority, we're here. We work fast and the first build is scoped in a single conversation.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40"/>
              <w:left w:type="dxa" w:w="200"/>
              <w:bottom w:type="dxa" w:w="140"/>
              <w:right w:type="dxa" w:w="200"/>
            </w:tcMar>
          </w:tcPr>
          <w:p>
            <w:pPr>
              <w:spacing w:after="80"/>
            </w:pPr>
            <w:r>
              <w:rPr>
                <w:rFonts w:ascii="Arial" w:cs="Arial" w:eastAsia="Arial" w:hAnsi="Arial"/>
                <w:b/>
                <w:bCs/>
                <w:color w:val="1A3A5C"/>
                <w:sz w:val="18"/>
                <w:szCs w:val="18"/>
              </w:rPr>
              <w:t xml:space="preserve">TIER A</w:t>
            </w:r>
            <w:r>
              <w:rPr>
                <w:rFonts w:ascii="Arial" w:cs="Arial" w:eastAsia="Arial" w:hAnsi="Arial"/>
                <w:color w:val="999999"/>
                <w:sz w:val="22"/>
                <w:szCs w:val="22"/>
              </w:rPr>
              <w:t xml:space="preserve">   |   </w:t>
            </w:r>
            <w:r>
              <w:rPr>
                <w:rFonts w:ascii="Arial" w:cs="Arial" w:eastAsia="Arial" w:hAnsi="Arial"/>
                <w:b/>
                <w:bCs/>
                <w:sz w:val="24"/>
                <w:szCs w:val="24"/>
              </w:rPr>
              <w:t xml:space="preserve">Andrew Miles</w:t>
            </w:r>
          </w:p>
          <w:p>
            <w:pPr>
              <w:spacing w:after="100"/>
            </w:pPr>
            <w:r>
              <w:rPr>
                <w:rFonts w:ascii="Arial" w:cs="Arial" w:eastAsia="Arial" w:hAnsi="Arial"/>
                <w:color w:val="555555"/>
                <w:sz w:val="22"/>
                <w:szCs w:val="22"/>
              </w:rPr>
              <w:t xml:space="preserve">CFO  ·  Burgess Hodgson</w:t>
            </w:r>
          </w:p>
          <w:p>
            <w:pPr>
              <w:spacing w:after="100"/>
            </w:pPr>
            <w:r>
              <w:rPr>
                <w:rFonts w:ascii="Arial" w:cs="Arial" w:eastAsia="Arial" w:hAnsi="Arial"/>
                <w:color w:val="888888"/>
                <w:sz w:val="20"/>
                <w:szCs w:val="20"/>
              </w:rPr>
              <w:t xml:space="preserve">arm@burgesshodgson.co.uk  ·  United Kingdom  ·  200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200-person multi-office chartered accountancy firm with recent PE investment. PE backing = pressure to demonstrate margin efficiency. Reporting automation is a direct answer to that pressure.</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reporting efficiency at Burgess Hodgson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Andrew,</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With PE investment behind Burgess Hodgson and a 200-person practice across multiple offices, I'd imagine there's increasing scrutiny on the efficiency of the reporting function — both for clients and internally.</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We've been building reporting agents for professional services firms: systems that pull data, write draft commentary in the firm's voice, and assemble client-ready reports for partner review. What typically takes 4-5 hours per report becomes a 20-minute review. One firm used that capacity to take on 40% more clients.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Whether that's relevant for client reporting, internal management reporting, or both — happy to show you a working version.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reporting efficiency at Burgess Hodgson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Andrew,</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in case my last note didn't reach you at the right moment.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short version: we build the system, hand it over, and it runs without us. First conversation is just whether the problem is real enough to be worth scoping — that's a 20-minute call.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reporting efficiency at Burgess Hodgson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Andrew,</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 won't keep filling your inbox.</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reporting efficiency becomes a priority, we're easy to reach. Quick to scope, quick to build.</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40"/>
              <w:left w:type="dxa" w:w="200"/>
              <w:bottom w:type="dxa" w:w="140"/>
              <w:right w:type="dxa" w:w="200"/>
            </w:tcMar>
          </w:tcPr>
          <w:p>
            <w:pPr>
              <w:spacing w:after="80"/>
            </w:pPr>
            <w:r>
              <w:rPr>
                <w:rFonts w:ascii="Arial" w:cs="Arial" w:eastAsia="Arial" w:hAnsi="Arial"/>
                <w:b/>
                <w:bCs/>
                <w:color w:val="1A3A5C"/>
                <w:sz w:val="18"/>
                <w:szCs w:val="18"/>
              </w:rPr>
              <w:t xml:space="preserve">TIER A</w:t>
            </w:r>
            <w:r>
              <w:rPr>
                <w:rFonts w:ascii="Arial" w:cs="Arial" w:eastAsia="Arial" w:hAnsi="Arial"/>
                <w:color w:val="999999"/>
                <w:sz w:val="22"/>
                <w:szCs w:val="22"/>
              </w:rPr>
              <w:t xml:space="preserve">   |   </w:t>
            </w:r>
            <w:r>
              <w:rPr>
                <w:rFonts w:ascii="Arial" w:cs="Arial" w:eastAsia="Arial" w:hAnsi="Arial"/>
                <w:b/>
                <w:bCs/>
                <w:sz w:val="24"/>
                <w:szCs w:val="24"/>
              </w:rPr>
              <w:t xml:space="preserve">Hanine Essaheli</w:t>
            </w:r>
          </w:p>
          <w:p>
            <w:pPr>
              <w:spacing w:after="100"/>
            </w:pPr>
            <w:r>
              <w:rPr>
                <w:rFonts w:ascii="Arial" w:cs="Arial" w:eastAsia="Arial" w:hAnsi="Arial"/>
                <w:color w:val="555555"/>
                <w:sz w:val="22"/>
                <w:szCs w:val="22"/>
              </w:rPr>
              <w:t xml:space="preserve">Founder &amp; Managing Partner  ·  LIBRA</w:t>
            </w:r>
          </w:p>
          <w:p>
            <w:pPr>
              <w:spacing w:after="100"/>
            </w:pPr>
            <w:r>
              <w:rPr>
                <w:rFonts w:ascii="Arial" w:cs="Arial" w:eastAsia="Arial" w:hAnsi="Arial"/>
                <w:color w:val="888888"/>
                <w:sz w:val="20"/>
                <w:szCs w:val="20"/>
              </w:rPr>
              <w:t xml:space="preserve">he@libra.be  ·  Belgium  ·  50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Founder/MP at 50-person accounting, audit, tax, and M&amp;A firm in Belgium. Running delivery + business development + firm management simultaneously. Capacity is the constant constraint — our pitch lands directly.</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capacity at LIBRA</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Hanine,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Running a 50-person accounting and advisory firm as both founder and managing partner means being responsible for delivery quality, client relationships, and firm management at the same time. That breadth makes capacity a constant constraint.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build AI systems for professional services firms that handle the repetitive, structured work — client report preparation, document assembly, compliance document production — so the senior people can focus on the work that actually requires them.</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For a firm like LIBRA, working across accounting, audit, tax, and M&amp;A, I'd expect several places where this applies.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Worth 20 minutes to see if any of it is a fit?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capacity at LIBRA</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Hanine,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briefly on my last note.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work we do is scoped around one specific workflow — not a platform, not a transformation program. If there's a process in the firm that's eating time and shouldn't be, that's enough to start a conversation.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capacity at LIBRA</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Hanine,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 capacity constraint ever reaches the point where you want an outside perspective on it, we're here. We work fast and scope in a single conversation.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40"/>
              <w:left w:type="dxa" w:w="200"/>
              <w:bottom w:type="dxa" w:w="140"/>
              <w:right w:type="dxa" w:w="200"/>
            </w:tcMar>
          </w:tcPr>
          <w:p>
            <w:pPr>
              <w:spacing w:after="80"/>
            </w:pPr>
            <w:r>
              <w:rPr>
                <w:rFonts w:ascii="Arial" w:cs="Arial" w:eastAsia="Arial" w:hAnsi="Arial"/>
                <w:b/>
                <w:bCs/>
                <w:color w:val="1A3A5C"/>
                <w:sz w:val="18"/>
                <w:szCs w:val="18"/>
              </w:rPr>
              <w:t xml:space="preserve">TIER A</w:t>
            </w:r>
            <w:r>
              <w:rPr>
                <w:rFonts w:ascii="Arial" w:cs="Arial" w:eastAsia="Arial" w:hAnsi="Arial"/>
                <w:color w:val="999999"/>
                <w:sz w:val="22"/>
                <w:szCs w:val="22"/>
              </w:rPr>
              <w:t xml:space="preserve">   |   </w:t>
            </w:r>
            <w:r>
              <w:rPr>
                <w:rFonts w:ascii="Arial" w:cs="Arial" w:eastAsia="Arial" w:hAnsi="Arial"/>
                <w:b/>
                <w:bCs/>
                <w:sz w:val="24"/>
                <w:szCs w:val="24"/>
              </w:rPr>
              <w:t xml:space="preserve">Franz Nigitz</w:t>
            </w:r>
          </w:p>
          <w:p>
            <w:pPr>
              <w:spacing w:after="100"/>
            </w:pPr>
            <w:r>
              <w:rPr>
                <w:rFonts w:ascii="Arial" w:cs="Arial" w:eastAsia="Arial" w:hAnsi="Arial"/>
                <w:color w:val="555555"/>
                <w:sz w:val="22"/>
                <w:szCs w:val="22"/>
              </w:rPr>
              <w:t xml:space="preserve">Managing Partner  ·  IQX GROUP GmbH</w:t>
            </w:r>
          </w:p>
          <w:p>
            <w:pPr>
              <w:spacing w:after="100"/>
            </w:pPr>
            <w:r>
              <w:rPr>
                <w:rFonts w:ascii="Arial" w:cs="Arial" w:eastAsia="Arial" w:hAnsi="Arial"/>
                <w:color w:val="888888"/>
                <w:sz w:val="20"/>
                <w:szCs w:val="20"/>
              </w:rPr>
              <w:t xml:space="preserve">franz.nigitz@iqx-group.com  ·  Austria  ·  51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Operational excellence and interim management consultancy. They sell process optimization to clients — the angle is whether their own internal ops (project reporting, knowledge reuse) are as optimized as what they deliver.</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operations inside IQX</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Franz,</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IQX helps clients achieve operational excellence — process optimization, restructuring, lean production. My question is whether that thinking has been applied to IQX's own operations, specifically the knowledge-intensive work your consultants do between client engagements.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Firms doing interim management accumulate a lot of structured knowledge — project findings, assessment reports, process documentation — that often doesn't get systematically reused when the next similar engagement comes in. We've built knowledge and reporting agents for consulting firms that make that material searchable, reusable, and faster to turn into new deliverables.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 problem sounds familiar, I'd be glad to show you how it works.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operations inside IQX</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Franz,</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Sending this in case my first note didn't land at a good moment.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irony I had in mind: firms that help clients optimize operations often have the most untouched manual processes internally. We've seen it consistently. Happy to explore whether IQX is an exception or not — 20 minutes would tell us.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operations inside IQX</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Franz,</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on this.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internal knowledge management or project reporting ever becomes a priority, we're easy to reach. Quick to scope, faster to build than most expect.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p>
      <w:r>
        <w:br w:type="page"/>
      </w:r>
    </w:p>
    <w:p>
      <w:pPr>
        <w:spacing w:after="200" w:before="400"/>
      </w:pPr>
      <w:r>
        <w:rPr>
          <w:rFonts w:ascii="Arial" w:cs="Arial" w:eastAsia="Arial" w:hAnsi="Arial"/>
          <w:b/>
          <w:bCs/>
          <w:color w:val="1A1A1A"/>
          <w:sz w:val="32"/>
          <w:szCs w:val="32"/>
        </w:rPr>
        <w:t xml:space="preserve">TIER B — Custom + Template (6 contacts)</w:t>
      </w:r>
    </w:p>
    <w:p>
      <w:pPr>
        <w:spacing w:after="100"/>
      </w:pPr>
      <w:r>
        <w:rPr>
          <w:rFonts w:ascii="Arial" w:cs="Arial" w:eastAsia="Arial" w:hAnsi="Arial"/>
          <w:sz w:val="22"/>
          <w:szCs w:val="22"/>
        </w:rPr>
        <w:t xml:space="preserve">Send after Tier A is fully loaded into the sequencer. Each email has 1-2 personalized fields with a consistent structure.</w:t>
      </w:r>
    </w:p>
    <w:p>
      <w:pPr>
        <w:spacing w:after="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EE" w:val="clear"/>
            <w:tcMar>
              <w:top w:type="dxa" w:w="140"/>
              <w:left w:type="dxa" w:w="200"/>
              <w:bottom w:type="dxa" w:w="140"/>
              <w:right w:type="dxa" w:w="200"/>
            </w:tcMar>
          </w:tcPr>
          <w:p>
            <w:pPr>
              <w:spacing w:after="80"/>
            </w:pPr>
            <w:r>
              <w:rPr>
                <w:rFonts w:ascii="Arial" w:cs="Arial" w:eastAsia="Arial" w:hAnsi="Arial"/>
                <w:b/>
                <w:bCs/>
                <w:color w:val="3A5C3A"/>
                <w:sz w:val="18"/>
                <w:szCs w:val="18"/>
              </w:rPr>
              <w:t xml:space="preserve">TIER B</w:t>
            </w:r>
            <w:r>
              <w:rPr>
                <w:rFonts w:ascii="Arial" w:cs="Arial" w:eastAsia="Arial" w:hAnsi="Arial"/>
                <w:color w:val="999999"/>
                <w:sz w:val="22"/>
                <w:szCs w:val="22"/>
              </w:rPr>
              <w:t xml:space="preserve">   |   </w:t>
            </w:r>
            <w:r>
              <w:rPr>
                <w:rFonts w:ascii="Arial" w:cs="Arial" w:eastAsia="Arial" w:hAnsi="Arial"/>
                <w:b/>
                <w:bCs/>
                <w:sz w:val="24"/>
                <w:szCs w:val="24"/>
              </w:rPr>
              <w:t xml:space="preserve">Russell Souza</w:t>
            </w:r>
          </w:p>
          <w:p>
            <w:pPr>
              <w:spacing w:after="100"/>
            </w:pPr>
            <w:r>
              <w:rPr>
                <w:rFonts w:ascii="Arial" w:cs="Arial" w:eastAsia="Arial" w:hAnsi="Arial"/>
                <w:color w:val="555555"/>
                <w:sz w:val="22"/>
                <w:szCs w:val="22"/>
              </w:rPr>
              <w:t xml:space="preserve">COO  ·  FIDERES</w:t>
            </w:r>
          </w:p>
          <w:p>
            <w:pPr>
              <w:spacing w:after="100"/>
            </w:pPr>
            <w:r>
              <w:rPr>
                <w:rFonts w:ascii="Arial" w:cs="Arial" w:eastAsia="Arial" w:hAnsi="Arial"/>
                <w:color w:val="888888"/>
                <w:sz w:val="20"/>
                <w:szCs w:val="20"/>
              </w:rPr>
              <w:t xml:space="preserve">russell.desouza@fideres.com  ·  United Kingdom  ·  64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Economics and antitrust consulting firm that produces expert reports and litigation support docs. Structured written deliverables with repeatable format even when analysis is bespoke.</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expert report workflows at FIDERES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Russell,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FIDERES produces detailed expert reports and litigation support documents — work that has a repeatable structure even when the underlying analysis is bespoke. My guess is a meaningful amount of time goes into the mechanics of assembling those documents rather than the economics itself.</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build agents for professional services firms that handle the structured parts — pulling source data, assembling sections, formatting for review — so the expert team focuses on the analysis. One firm we worked with reclaimed over 40% of senior time on client deliverables.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Worth a short conversation to see if something similar applies at FIDERES?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expert report workflows at FIDERES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Russell,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in case my last note got buried.</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question I'd want to explore: how much of your team's time on expert reports goes into the analysis versus the assembly and formatting? That ratio tends to tell us quickly whether there's a fit.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Happy to have a 20-minute call if there's any interest.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expert report workflows at FIDERES</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Russell,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on this.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 assembly and formatting overhead on client deliverables ever becomes a priority to fix, we're easy to reach.</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EE" w:val="clear"/>
            <w:tcMar>
              <w:top w:type="dxa" w:w="140"/>
              <w:left w:type="dxa" w:w="200"/>
              <w:bottom w:type="dxa" w:w="140"/>
              <w:right w:type="dxa" w:w="200"/>
            </w:tcMar>
          </w:tcPr>
          <w:p>
            <w:pPr>
              <w:spacing w:after="80"/>
            </w:pPr>
            <w:r>
              <w:rPr>
                <w:rFonts w:ascii="Arial" w:cs="Arial" w:eastAsia="Arial" w:hAnsi="Arial"/>
                <w:b/>
                <w:bCs/>
                <w:color w:val="3A5C3A"/>
                <w:sz w:val="18"/>
                <w:szCs w:val="18"/>
              </w:rPr>
              <w:t xml:space="preserve">TIER B</w:t>
            </w:r>
            <w:r>
              <w:rPr>
                <w:rFonts w:ascii="Arial" w:cs="Arial" w:eastAsia="Arial" w:hAnsi="Arial"/>
                <w:color w:val="999999"/>
                <w:sz w:val="22"/>
                <w:szCs w:val="22"/>
              </w:rPr>
              <w:t xml:space="preserve">   |   </w:t>
            </w:r>
            <w:r>
              <w:rPr>
                <w:rFonts w:ascii="Arial" w:cs="Arial" w:eastAsia="Arial" w:hAnsi="Arial"/>
                <w:b/>
                <w:bCs/>
                <w:sz w:val="24"/>
                <w:szCs w:val="24"/>
              </w:rPr>
              <w:t xml:space="preserve">Jasper Fase</w:t>
            </w:r>
          </w:p>
          <w:p>
            <w:pPr>
              <w:spacing w:after="100"/>
            </w:pPr>
            <w:r>
              <w:rPr>
                <w:rFonts w:ascii="Arial" w:cs="Arial" w:eastAsia="Arial" w:hAnsi="Arial"/>
                <w:color w:val="555555"/>
                <w:sz w:val="22"/>
                <w:szCs w:val="22"/>
              </w:rPr>
              <w:t xml:space="preserve">CFO  ·  EyeOn</w:t>
            </w:r>
          </w:p>
          <w:p>
            <w:pPr>
              <w:spacing w:after="100"/>
            </w:pPr>
            <w:r>
              <w:rPr>
                <w:rFonts w:ascii="Arial" w:cs="Arial" w:eastAsia="Arial" w:hAnsi="Arial"/>
                <w:color w:val="888888"/>
                <w:sz w:val="20"/>
                <w:szCs w:val="20"/>
              </w:rPr>
              <w:t xml:space="preserve">jasper.fase@eyeon.nl  ·  Netherlands  ·  130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Supply chain planning and demand forecasting consultancy in the Netherlands. Data-heavy work with high client reporting volume. Analytics firms often have sophisticated client-facing analysis but still manual report assembly.</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client reporting at EyeOn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Jasper,</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EyeOn helps clients turn supply chain data into planning decisions — sophisticated work. The irony in analytics consulting is that the client-facing deliverables communicating that work are often still assembled manually.</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build reporting agents for consulting firms that pull from existing data sources, generate structured commentary, and assemble client-ready outputs for review. One firm of similar size reduced per-client reporting time from 4-5 hours to under 20 minutes.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Curious whether that's a problem you recognize at EyeOn.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client reporting at EyeOn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Jasper,</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briefly on my last note.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client reporting isn't the constraint at EyeOn, no problem — happy to leave it there. If it is, a 20-minute call would tell us whether there's something useful we can build.</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client reporting at EyeOn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Jasper,</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reporting efficiency becomes a priority, we're here. Quick to scope, quick to build.</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EE" w:val="clear"/>
            <w:tcMar>
              <w:top w:type="dxa" w:w="140"/>
              <w:left w:type="dxa" w:w="200"/>
              <w:bottom w:type="dxa" w:w="140"/>
              <w:right w:type="dxa" w:w="200"/>
            </w:tcMar>
          </w:tcPr>
          <w:p>
            <w:pPr>
              <w:spacing w:after="80"/>
            </w:pPr>
            <w:r>
              <w:rPr>
                <w:rFonts w:ascii="Arial" w:cs="Arial" w:eastAsia="Arial" w:hAnsi="Arial"/>
                <w:b/>
                <w:bCs/>
                <w:color w:val="3A5C3A"/>
                <w:sz w:val="18"/>
                <w:szCs w:val="18"/>
              </w:rPr>
              <w:t xml:space="preserve">TIER B</w:t>
            </w:r>
            <w:r>
              <w:rPr>
                <w:rFonts w:ascii="Arial" w:cs="Arial" w:eastAsia="Arial" w:hAnsi="Arial"/>
                <w:color w:val="999999"/>
                <w:sz w:val="22"/>
                <w:szCs w:val="22"/>
              </w:rPr>
              <w:t xml:space="preserve">   |   </w:t>
            </w:r>
            <w:r>
              <w:rPr>
                <w:rFonts w:ascii="Arial" w:cs="Arial" w:eastAsia="Arial" w:hAnsi="Arial"/>
                <w:b/>
                <w:bCs/>
                <w:sz w:val="24"/>
                <w:szCs w:val="24"/>
              </w:rPr>
              <w:t xml:space="preserve">Thomas Schnelle</w:t>
            </w:r>
          </w:p>
          <w:p>
            <w:pPr>
              <w:spacing w:after="100"/>
            </w:pPr>
            <w:r>
              <w:rPr>
                <w:rFonts w:ascii="Arial" w:cs="Arial" w:eastAsia="Arial" w:hAnsi="Arial"/>
                <w:color w:val="555555"/>
                <w:sz w:val="22"/>
                <w:szCs w:val="22"/>
              </w:rPr>
              <w:t xml:space="preserve">Managing Partner  ·  Metaplan</w:t>
            </w:r>
          </w:p>
          <w:p>
            <w:pPr>
              <w:spacing w:after="100"/>
            </w:pPr>
            <w:r>
              <w:rPr>
                <w:rFonts w:ascii="Arial" w:cs="Arial" w:eastAsia="Arial" w:hAnsi="Arial"/>
                <w:color w:val="888888"/>
                <w:sz w:val="20"/>
                <w:szCs w:val="20"/>
              </w:rPr>
              <w:t xml:space="preserve">thomasschnelle@metaplan.com  ·  Germany  ·  73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Strategy consulting and facilitation firm in Germany. Accumulates significant workshop outputs, strategic analyses, and facilitation materials across engagements that rarely get systematically reused.</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knowledge reuse at Metaplan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Thomas,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Strategy consulting firms like Metaplan accumulate significant knowledge across engagements — workshop outputs, strategic analyses, facilitation materials — that often lives in folders and isn't systematically reused when the next similar project comes in.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We've built knowledge agents for consulting firms that make that material searchable and reusable, and reporting agents that speed up turning project findings into client deliverables.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either sounds familiar, I'd be glad to show you how it works.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knowledge reuse at Metaplan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Thomas,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Sending this in case my first note didn't arrive at a good time.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question worth exploring: how much of your consultants' time goes into recreating analysis or formatting that already exists somewhere in the firm? That number tends to make the value case quickly.</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Happy to have a 20-minute call.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knowledge reuse at Metaplan</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Thomas,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on this.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knowledge reuse or client reporting efficiency ever becomes a priority, feel free to reach out.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EE" w:val="clear"/>
            <w:tcMar>
              <w:top w:type="dxa" w:w="140"/>
              <w:left w:type="dxa" w:w="200"/>
              <w:bottom w:type="dxa" w:w="140"/>
              <w:right w:type="dxa" w:w="200"/>
            </w:tcMar>
          </w:tcPr>
          <w:p>
            <w:pPr>
              <w:spacing w:after="80"/>
            </w:pPr>
            <w:r>
              <w:rPr>
                <w:rFonts w:ascii="Arial" w:cs="Arial" w:eastAsia="Arial" w:hAnsi="Arial"/>
                <w:b/>
                <w:bCs/>
                <w:color w:val="3A5C3A"/>
                <w:sz w:val="18"/>
                <w:szCs w:val="18"/>
              </w:rPr>
              <w:t xml:space="preserve">TIER B</w:t>
            </w:r>
            <w:r>
              <w:rPr>
                <w:rFonts w:ascii="Arial" w:cs="Arial" w:eastAsia="Arial" w:hAnsi="Arial"/>
                <w:color w:val="999999"/>
                <w:sz w:val="22"/>
                <w:szCs w:val="22"/>
              </w:rPr>
              <w:t xml:space="preserve">   |   </w:t>
            </w:r>
            <w:r>
              <w:rPr>
                <w:rFonts w:ascii="Arial" w:cs="Arial" w:eastAsia="Arial" w:hAnsi="Arial"/>
                <w:b/>
                <w:bCs/>
                <w:sz w:val="24"/>
                <w:szCs w:val="24"/>
              </w:rPr>
              <w:t xml:space="preserve">Andrea Sobrio</w:t>
            </w:r>
          </w:p>
          <w:p>
            <w:pPr>
              <w:spacing w:after="100"/>
            </w:pPr>
            <w:r>
              <w:rPr>
                <w:rFonts w:ascii="Arial" w:cs="Arial" w:eastAsia="Arial" w:hAnsi="Arial"/>
                <w:color w:val="555555"/>
                <w:sz w:val="22"/>
                <w:szCs w:val="22"/>
              </w:rPr>
              <w:t xml:space="preserve">Managing Partner  ·  Executive Insight Healthcare Consultants</w:t>
            </w:r>
          </w:p>
          <w:p>
            <w:pPr>
              <w:spacing w:after="100"/>
            </w:pPr>
            <w:r>
              <w:rPr>
                <w:rFonts w:ascii="Arial" w:cs="Arial" w:eastAsia="Arial" w:hAnsi="Arial"/>
                <w:color w:val="888888"/>
                <w:sz w:val="20"/>
                <w:szCs w:val="20"/>
              </w:rPr>
              <w:t xml:space="preserve">a.sobrio@executiveinsight.ch  ·  Switzerland  ·  88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Healthcare and pharma consulting firm in Zurich. High volume of structured client deliverables — market access reports, KOL landscape analyses, stakeholder maps, product launch materials.</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client deliverables at Executive Insight</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Andrea,</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Healthcare and pharma consulting involves a particularly high volume of structured client deliverables — market access reports, KOL landscape analyses, stakeholder maps, product launch materials. The depth of each is bespoke; the assembly process tends not to be.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build document and reporting agents for consulting firms that handle the structured prep — pulling source information, drafting sections, assembling for review — so senior advisors focus on the insight rather than the mechanics.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Given Executive Insight's breadth across medical affairs, market access, and commercial strategy, I'd expect this applies in several places.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Worth 20 minutes to explore?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client deliverables at Executive Insight</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Andrea,</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briefly on my last note.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firms we work with in consulting typically find the value in one of two places: faster client deliverable assembly, or better reuse of research and analysis across engagements. Curious which — if either — is a real constraint at Executive Insight.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Happy to find 20 minutes if there's interest.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client deliverables at Executive Insight</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Andrea,</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on this.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client deliverable efficiency becomes a priority, we're easy to reach.</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EE" w:val="clear"/>
            <w:tcMar>
              <w:top w:type="dxa" w:w="140"/>
              <w:left w:type="dxa" w:w="200"/>
              <w:bottom w:type="dxa" w:w="140"/>
              <w:right w:type="dxa" w:w="200"/>
            </w:tcMar>
          </w:tcPr>
          <w:p>
            <w:pPr>
              <w:spacing w:after="80"/>
            </w:pPr>
            <w:r>
              <w:rPr>
                <w:rFonts w:ascii="Arial" w:cs="Arial" w:eastAsia="Arial" w:hAnsi="Arial"/>
                <w:b/>
                <w:bCs/>
                <w:color w:val="3A5C3A"/>
                <w:sz w:val="18"/>
                <w:szCs w:val="18"/>
              </w:rPr>
              <w:t xml:space="preserve">TIER B</w:t>
            </w:r>
            <w:r>
              <w:rPr>
                <w:rFonts w:ascii="Arial" w:cs="Arial" w:eastAsia="Arial" w:hAnsi="Arial"/>
                <w:color w:val="999999"/>
                <w:sz w:val="22"/>
                <w:szCs w:val="22"/>
              </w:rPr>
              <w:t xml:space="preserve">   |   </w:t>
            </w:r>
            <w:r>
              <w:rPr>
                <w:rFonts w:ascii="Arial" w:cs="Arial" w:eastAsia="Arial" w:hAnsi="Arial"/>
                <w:b/>
                <w:bCs/>
                <w:sz w:val="24"/>
                <w:szCs w:val="24"/>
              </w:rPr>
              <w:t xml:space="preserve">Iain Pratt</w:t>
            </w:r>
          </w:p>
          <w:p>
            <w:pPr>
              <w:spacing w:after="100"/>
            </w:pPr>
            <w:r>
              <w:rPr>
                <w:rFonts w:ascii="Arial" w:cs="Arial" w:eastAsia="Arial" w:hAnsi="Arial"/>
                <w:color w:val="555555"/>
                <w:sz w:val="22"/>
                <w:szCs w:val="22"/>
              </w:rPr>
              <w:t xml:space="preserve">CFO  ·  businessfourzero</w:t>
            </w:r>
          </w:p>
          <w:p>
            <w:pPr>
              <w:spacing w:after="100"/>
            </w:pPr>
            <w:r>
              <w:rPr>
                <w:rFonts w:ascii="Arial" w:cs="Arial" w:eastAsia="Arial" w:hAnsi="Arial"/>
                <w:color w:val="888888"/>
                <w:sz w:val="20"/>
                <w:szCs w:val="20"/>
              </w:rPr>
              <w:t xml:space="preserve">iain.pratt@businessfourzero.com  ·  United Kingdom  ·  83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Management consulting firm (Heidrick &amp; Struggles subsidiary). Less intel on specific workflows but verified email and solid ICP profile. Lower priority — keep message shorter and more general.</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workflow efficiency at businessfourzero</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Iain,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Management consulting firms often have the same challenge: the client work is highly customized, but the surrounding layer — reporting, document assembly, data extraction — is repetitive and manual.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We build AI systems for professional services firms that handle that layer, freeing senior people for the work that actually requires them. One firm we worked with took on 40% more clients without adding headcount.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any of that resonates with how businessfourzero operates, happy to show you a working example.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workflow efficiency at businessfourzero</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Iain,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in case my last note didn't land at the right time.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The work we scope and build is usually live in weeks, not months. Happy to have a quick call if there's any interest.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workflow efficiency at businessfourzero</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Iain,</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this becomes relevant, feel free to reach out.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EE" w:val="clear"/>
            <w:tcMar>
              <w:top w:type="dxa" w:w="140"/>
              <w:left w:type="dxa" w:w="200"/>
              <w:bottom w:type="dxa" w:w="140"/>
              <w:right w:type="dxa" w:w="200"/>
            </w:tcMar>
          </w:tcPr>
          <w:p>
            <w:pPr>
              <w:spacing w:after="80"/>
            </w:pPr>
            <w:r>
              <w:rPr>
                <w:rFonts w:ascii="Arial" w:cs="Arial" w:eastAsia="Arial" w:hAnsi="Arial"/>
                <w:b/>
                <w:bCs/>
                <w:color w:val="3A5C3A"/>
                <w:sz w:val="18"/>
                <w:szCs w:val="18"/>
              </w:rPr>
              <w:t xml:space="preserve">TIER B</w:t>
            </w:r>
            <w:r>
              <w:rPr>
                <w:rFonts w:ascii="Arial" w:cs="Arial" w:eastAsia="Arial" w:hAnsi="Arial"/>
                <w:color w:val="999999"/>
                <w:sz w:val="22"/>
                <w:szCs w:val="22"/>
              </w:rPr>
              <w:t xml:space="preserve">   |   </w:t>
            </w:r>
            <w:r>
              <w:rPr>
                <w:rFonts w:ascii="Arial" w:cs="Arial" w:eastAsia="Arial" w:hAnsi="Arial"/>
                <w:b/>
                <w:bCs/>
                <w:sz w:val="24"/>
                <w:szCs w:val="24"/>
              </w:rPr>
              <w:t xml:space="preserve">Michael Wong</w:t>
            </w:r>
          </w:p>
          <w:p>
            <w:pPr>
              <w:spacing w:after="100"/>
            </w:pPr>
            <w:r>
              <w:rPr>
                <w:rFonts w:ascii="Arial" w:cs="Arial" w:eastAsia="Arial" w:hAnsi="Arial"/>
                <w:color w:val="555555"/>
                <w:sz w:val="22"/>
                <w:szCs w:val="22"/>
              </w:rPr>
              <w:t xml:space="preserve">COO  ·  Change Management Group</w:t>
            </w:r>
          </w:p>
          <w:p>
            <w:pPr>
              <w:spacing w:after="100"/>
            </w:pPr>
            <w:r>
              <w:rPr>
                <w:rFonts w:ascii="Arial" w:cs="Arial" w:eastAsia="Arial" w:hAnsi="Arial"/>
                <w:color w:val="888888"/>
                <w:sz w:val="20"/>
                <w:szCs w:val="20"/>
              </w:rPr>
              <w:t xml:space="preserve">michael.wong@cmg-change.com  ·  United Kingdom  ·  95 employees</w:t>
            </w:r>
          </w:p>
          <w:p>
            <w:pPr>
              <w:spacing w:after="80"/>
            </w:pPr>
            <w:r>
              <w:rPr>
                <w:rFonts w:ascii="Arial" w:cs="Arial" w:eastAsia="Arial" w:hAnsi="Arial"/>
                <w:sz w:val="22"/>
                <w:szCs w:val="22"/>
              </w:rPr>
              <w:t xml:space="preserve"/>
            </w:r>
          </w:p>
          <w:p>
            <w:pPr>
              <w:spacing w:after="100"/>
            </w:pPr>
            <w:r>
              <w:rPr>
                <w:rFonts w:ascii="Arial" w:cs="Arial" w:eastAsia="Arial" w:hAnsi="Arial"/>
                <w:b/>
                <w:bCs/>
                <w:sz w:val="20"/>
                <w:szCs w:val="20"/>
              </w:rPr>
              <w:t xml:space="preserve">Why we're emailing: </w:t>
            </w:r>
            <w:r>
              <w:rPr>
                <w:rFonts w:ascii="Arial" w:cs="Arial" w:eastAsia="Arial" w:hAnsi="Arial"/>
                <w:color w:val="444444"/>
                <w:sz w:val="20"/>
                <w:szCs w:val="20"/>
              </w:rPr>
              <w:t xml:space="preserve">Digital transformation and change management consultancy. Already AI-aware (lists AI in tech stack). Angle: they help clients transform digitally — does the same apply internally? Riskier send, but COO is the right title.</w:t>
            </w:r>
          </w:p>
        </w:tc>
      </w:tr>
    </w:tbl>
    <w:p>
      <w:pPr>
        <w:spacing w:after="20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1 — Send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ops inside CMG</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Michael,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CMG helps clients through digital transformation — technology adoption, process redesign, operating model change. My question is whether the same shift has happened inside CMG's own operations.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Consulting firms doing this work often find their internal client reporting, project documentation, and knowledge management is still largely manual — the cobbler's children. We build agents for firms like yours that close that gap.</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Happy to show you what it looks like if it resonates.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2 — Send day 5 if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ops inside CMG</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Michael,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Following up briefly. The cobbler's children angle I raised — curious whether it lands or whether CMG genuinely has this sorted internally.</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Either way, happy to have a 20-minute call to find out.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w:t>
            </w:r>
          </w:p>
        </w:tc>
      </w:tr>
    </w:tbl>
    <w:p>
      <w:pPr>
        <w:spacing w:after="160"/>
      </w:pPr>
      <w:r>
        <w:rPr>
          <w:rFonts w:ascii="Arial" w:cs="Arial" w:eastAsia="Arial" w:hAnsi="Arial"/>
          <w:sz w:val="22"/>
          <w:szCs w:val="22"/>
        </w:rPr>
        <w:t xml:space="preserve"/>
      </w:r>
    </w:p>
    <w:p>
      <w:pPr>
        <w:spacing w:after="60" w:before="200"/>
      </w:pPr>
      <w:r>
        <w:rPr>
          <w:rFonts w:ascii="Arial" w:cs="Arial" w:eastAsia="Arial" w:hAnsi="Arial"/>
          <w:b/>
          <w:bCs/>
          <w:caps/>
          <w:color w:val="888888"/>
          <w:sz w:val="20"/>
          <w:szCs w:val="20"/>
        </w:rPr>
        <w:t xml:space="preserve">EMAIL 3 — Send day 12 if still no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9F9" w:val="clear"/>
            <w:tcMar>
              <w:top w:type="dxa" w:w="160"/>
              <w:left w:type="dxa" w:w="200"/>
              <w:bottom w:type="dxa" w:w="160"/>
              <w:right w:type="dxa" w:w="200"/>
            </w:tcMar>
          </w:tcPr>
          <w:p>
            <w:pPr>
              <w:spacing w:after="160"/>
            </w:pPr>
            <w:r>
              <w:rPr>
                <w:rFonts w:ascii="Arial" w:cs="Arial" w:eastAsia="Arial" w:hAnsi="Arial"/>
                <w:b/>
                <w:bCs/>
                <w:sz w:val="22"/>
                <w:szCs w:val="22"/>
              </w:rPr>
              <w:t xml:space="preserve">Subject: </w:t>
            </w:r>
            <w:r>
              <w:rPr>
                <w:rFonts w:ascii="Arial" w:cs="Arial" w:eastAsia="Arial" w:hAnsi="Arial"/>
                <w:sz w:val="22"/>
                <w:szCs w:val="22"/>
              </w:rPr>
              <w:t xml:space="preserve">Re: ops inside CMG</w:t>
            </w:r>
          </w:p>
          <w:p>
            <w:pPr>
              <w:pBdr>
                <w:bottom w:val="single" w:color="EEEEEE" w:sz="1"/>
              </w:pBdr>
              <w:spacing w:after="160"/>
            </w:pPr>
            <w:r>
              <w:rPr>
                <w:rFonts w:ascii="Arial" w:cs="Arial" w:eastAsia="Arial" w:hAnsi="Arial"/>
                <w:sz w:val="22"/>
                <w:szCs w:val="22"/>
              </w:rPr>
              <w:t xml:space="preserve"/>
            </w:r>
          </w:p>
          <w:p>
            <w:pPr>
              <w:spacing w:after="40"/>
            </w:pPr>
            <w:r>
              <w:rPr>
                <w:rFonts w:ascii="Arial" w:cs="Arial" w:eastAsia="Arial" w:hAnsi="Arial"/>
                <w:sz w:val="22"/>
                <w:szCs w:val="22"/>
              </w:rPr>
              <w:t xml:space="preserve">Hi Michael,</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Last note from me on this.</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If there's ever a gap between what CMG advises clients on and what's running internally, we're the people who close it.</w:t>
            </w:r>
          </w:p>
          <w:p>
            <w:pPr>
              <w:spacing w:after="60"/>
            </w:pPr>
            <w:r>
              <w:rPr>
                <w:rFonts w:ascii="Arial" w:cs="Arial" w:eastAsia="Arial" w:hAnsi="Arial"/>
                <w:sz w:val="22"/>
                <w:szCs w:val="22"/>
              </w:rPr>
              <w:t xml:space="preserve"> </w:t>
            </w:r>
          </w:p>
          <w:p>
            <w:pPr>
              <w:spacing w:after="40"/>
            </w:pPr>
            <w:r>
              <w:rPr>
                <w:rFonts w:ascii="Arial" w:cs="Arial" w:eastAsia="Arial" w:hAnsi="Arial"/>
                <w:sz w:val="22"/>
                <w:szCs w:val="22"/>
              </w:rPr>
              <w:t xml:space="preserve">Sevval Kapankaya</w:t>
            </w:r>
          </w:p>
          <w:p>
            <w:pPr>
              <w:spacing w:after="40"/>
            </w:pPr>
            <w:r>
              <w:rPr>
                <w:rFonts w:ascii="Arial" w:cs="Arial" w:eastAsia="Arial" w:hAnsi="Arial"/>
                <w:sz w:val="22"/>
                <w:szCs w:val="22"/>
              </w:rPr>
              <w:t xml:space="preserve">On Forward | onforward.eu</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2026-05-23T20:38:12.872Z</dcterms:created>
  <dcterms:modified xsi:type="dcterms:W3CDTF">2026-05-23T20:38:12.872Z</dcterms:modified>
</cp:coreProperties>
</file>

<file path=docProps/custom.xml><?xml version="1.0" encoding="utf-8"?>
<Properties xmlns="http://schemas.openxmlformats.org/officeDocument/2006/custom-properties" xmlns:vt="http://schemas.openxmlformats.org/officeDocument/2006/docPropsVTypes"/>
</file>