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Zuverlässigkeit von Röntgensystemen</w:t>
      </w:r>
    </w:p>
    <w:p>
      <w:pPr>
        <w:pStyle w:val="Subtitle"/>
      </w:pPr>
      <w:r>
        <w:t>Lehrhandbuch für Entwicklung Integration und Lieferantenbetreuung</w:t>
      </w:r>
    </w:p>
    <w:p>
      <w:pPr>
        <w:pStyle w:val="Caption"/>
      </w:pPr>
      <w:r>
        <w:t>ChatGPT XYZ3  |  Finale Fassung V03  |  9. Oktober 2026</w:t>
      </w:r>
    </w:p>
    <w:p>
      <w:pPr>
        <w:pStyle w:val="Heading2"/>
      </w:pPr>
      <w:r>
        <w:t>Wozu dieses Handbuch dient</w:t>
      </w:r>
    </w:p>
    <w:p>
      <w:r>
        <w:t>Wir wollen technische Zuverlässigkeit so bewerten, dass aus einer Frage ein nachvollziehbarer Nachweis und aus einem Fehler eine wirksame Verbesserung wird. Dafür betrachten wir Hardware, Software und ihr Zusammenspiel über den gesamten Lebenszyklus. Komponenten werden nicht pauschal neu geprüft, wenn geeignete Supplier-Evidenz vorliegt. Ihre richtige Anwendung und die Systemfunktion bleiben ausdrücklich Gegenstand unserer Bewertung.</w:t>
      </w:r>
    </w:p>
    <w:p>
      <w:r>
        <w:t>Dieses Lehrhandbuch erklärt die Methoden mit Alltagsbeispielen und überträgt sie auf Röntgensysteme. Es richtet sich an Kollegen, die neu in Reliability Engineering einsteigen, und an erfahrene Kollegen, die eine gemeinsame Vorgehensweise benötigen. Der Schwerpunkt liegt auf nachvollziehbaren Entscheidungen; mathematische Vertiefungen werden dort eingesetzt, wo sie eine konkrete Nachweisfrage beantworten.</w:t>
      </w:r>
    </w:p>
    <w:p>
      <w:pPr>
        <w:pStyle w:val="Heading2"/>
      </w:pPr>
      <w:r>
        <w:t>Wie wir mit Beispielen arbeiten</w:t>
      </w:r>
    </w:p>
    <w:p>
      <w:r>
        <w:t>Alle Alltagsfälle, technischen Lehrfälle und Rechenzahlen sind didaktische Beispiele. Sie beschreiben keine bestätigten Fehler eines bestimmten Produkts. Analogien helfen beim Verständnis, liefern aber keine physikalischen Beschleunigungsmodelle. Konkrete Belastungswerte und Schutzgrenzen werden aus Produktanforderungen, Nutzung und anwendbaren Vorgaben abgeleitet.</w:t>
      </w:r>
    </w:p>
    <w:p>
      <w:r>
        <w:t>Das Handbuch ist eine Schulungs- und Arbeitshilfe. Produktspezifische Freigaben, klinische Anwendung sowie Qualitäts- und Sicherheitsprozesse erfolgen nach den dafür geltenden Anforderungen. Grenz- und Fehlerprüfungen werden ausschließlich in einer dafür geeigneten und freigegebenen Testumgebung durchgeführt.</w:t>
      </w:r>
    </w:p>
    <w:p>
      <w:bookmarkStart w:id="1" w:name="reading_guide"/>
      <w:pPr>
        <w:pStyle w:val="Heading1"/>
        <w:pageBreakBefore/>
      </w:pPr>
      <w:r>
        <w:t>Lesepfade und Navigation</w:t>
      </w:r>
      <w:bookmarkEnd w:id="1"/>
    </w:p>
    <w:p>
      <w:r>
        <w:t>Die Kapitelnummern bilden einen durchgängigen Lernweg. Für eine konkrete Arbeitsfrage kann direkt über Schaubild C eingestiegen werden. Der Systemsteckbrief in Anhang B sollte dennoch zuerst klären, was bewertet wird.</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Ausgangspunkt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Geeigneter Lesepfad</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Neu im Thema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Kapitel 1 bis 7, anschließend 8, 11, 14 und 16; die Fallstudie in Kapitel 20 verbindet den Weg.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Neue Zulieferkomponente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Kapitel 4, 7, 11 und 12 beziehungsweise 13; Statistik in 14 und 15, Integration in 16.</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oder Schnittstelle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Kapitel 3, 5, 6 und 8; Kombinationen in 9, Systemtests in 16.</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Lebensdauer oder Konfidenzniveau</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Kapitel 4, 7, 14 und 15; Profile und Ausfalldefinition vor der Rechnung prüfen.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Feldfehler und Verbesserung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Kapitel 18 und 19; nach Befund zurück zu Architektur, Supplier oder Teststrategie.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Freigabe oder Änderung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Kapitel 17 mit Nachweismatrix; betroffene Modelle und Nachweise gezielt prüfen.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Untersuchungsablauf oder Betreiberschnittstelle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Kapitel 1, 3, 5, 6, 8, 9, 16 und 17; Fehlerpfade T2 bis T4 in Kapitel 20.</w:t>
            </w:r>
          </w:p>
        </w:tc>
      </w:tr>
    </w:tbl>
    <w:p>
      <w:pPr>
        <w:spacing w:after="40" w:before="40"/>
      </w:pPr>
    </w:p>
    <w:p>
      <w:pPr>
        <w:pStyle w:val="Heading2"/>
      </w:pPr>
      <w:r>
        <w:t>Der Aufbau eines Kapitels</w:t>
      </w:r>
    </w:p>
    <w:p>
      <w:r>
        <w:t>Jedes Kapitel erklärt den Zusammenhang, veranschaulicht ihn im Alltag und überträgt ihn auf das technische System. Eine Vorgehensweise nennt die nächsten Arbeitsschritte. Die Übung vertieft die Anwendung; Musterantworten stehen in Anhang A. Anhang B enthält direkt nutzbare Arbeitsvorlagen, Anhang C das Glossar, Anhang D die Formelauswahl und Anhang E die Änderungen gegenüber ChatGPT XYZ2 und die Reviewentscheidungen für V03. Vertiefungen zu SoS und Statistik können beim ersten Lesen übersprungen werden.</w:t>
      </w:r>
    </w:p>
    <w:p>
      <w:pPr>
        <w:pStyle w:val="Heading2"/>
      </w:pPr>
      <w:r>
        <w:t>Schaubilder und Quellen</w:t>
      </w:r>
    </w:p>
    <w:p>
      <w:r>
        <w:t>Schaubild A zeigt den Lebenszyklus, B die Systemgrenze und C die Methodenauswahl. Die Kapitelköpfe verweisen auf diese Bilder. Schaubild D erklärt die beiden Systemgrenzen, E die Prüfpläne und F wiederkehrende Feldereignisse. G und H erläutern Lebensdauermodelle, I vergleicht Fehlerbaum und Blockdiagramm, J illustriert das Wachstumsmodell. Quellenschlüssel führen zum Literaturverzeichnis. Die Navigation im Inhaltsverzeichnis und die Quellenschlüssel sind anklickbar.</w:t>
      </w:r>
    </w:p>
    <w:p>
      <w:r>
        <w:t>Die Schaubilder und die Lehrfälle sind eigene Darstellungen. Die methodische Orientierung stützt sich unter anderem auf System Reliability Theory, das NASA Systems Engineering Handbook, den NIST-Methodenleitfaden und die genannten IEC- und ISO-Grundlagen.</w:t>
      </w:r>
    </w:p>
    <w:p>
      <w:bookmarkStart w:id="2" w:name="contents"/>
      <w:pPr>
        <w:pStyle w:val="Heading1"/>
        <w:pageBreakBefore/>
      </w:pPr>
      <w:r>
        <w:t>Inhaltsverzeichnis</w:t>
      </w:r>
      <w:bookmarkEnd w:id="2"/>
    </w:p>
    <w:p>
      <w:pPr>
        <w:pStyle w:val="Heading2"/>
        <w:spacing w:before="160" w:after="80"/>
      </w:pPr>
      <w:r>
        <w:t>Teil I Grundlagen und Systemkontext</w:t>
      </w:r>
    </w:p>
    <w:p>
      <w:pPr>
        <w:tabs>
          <w:tab w:pos="8784" w:val="right"/>
        </w:tabs>
        <w:spacing w:after="60" w:line="240" w:lineRule="auto"/>
      </w:pPr>
      <w:hyperlink w:anchor="chapter_1">
        <w:r>
          <w:rPr>
            <w:color w:val="18364A"/>
          </w:rPr>
          <w:t xml:space="preserve">1  Qualität und Zuverlässigkeit verstehen</w:t>
        </w:r>
      </w:hyperlink>
      <w:r>
        <w:tab/>
        <w:t>7</w:t>
      </w:r>
    </w:p>
    <w:p>
      <w:pPr>
        <w:tabs>
          <w:tab w:pos="8784" w:val="right"/>
        </w:tabs>
        <w:spacing w:after="60" w:line="240" w:lineRule="auto"/>
      </w:pPr>
      <w:hyperlink w:anchor="chapter_2">
        <w:r>
          <w:rPr>
            <w:color w:val="18364A"/>
          </w:rPr>
          <w:t xml:space="preserve">2  Lebenszyklus und Verantwortlichkeiten festlegen</w:t>
        </w:r>
      </w:hyperlink>
      <w:r>
        <w:tab/>
        <w:t>10</w:t>
      </w:r>
    </w:p>
    <w:p>
      <w:pPr>
        <w:tabs>
          <w:tab w:pos="8784" w:val="right"/>
        </w:tabs>
        <w:spacing w:after="60" w:line="240" w:lineRule="auto"/>
      </w:pPr>
      <w:hyperlink w:anchor="chapter_3">
        <w:r>
          <w:rPr>
            <w:color w:val="18364A"/>
          </w:rPr>
          <w:t xml:space="preserve">3  Systemgrenzen und Wechselwirkungen modellieren</w:t>
        </w:r>
      </w:hyperlink>
      <w:r>
        <w:tab/>
        <w:t>13</w:t>
      </w:r>
    </w:p>
    <w:p>
      <w:pPr>
        <w:tabs>
          <w:tab w:pos="8784" w:val="right"/>
        </w:tabs>
        <w:spacing w:after="60" w:line="240" w:lineRule="auto"/>
      </w:pPr>
      <w:hyperlink w:anchor="chapter_4">
        <w:r>
          <w:rPr>
            <w:color w:val="18364A"/>
          </w:rPr>
          <w:t xml:space="preserve">4  Use Cases und Nutzungsprofile beschreiben</w:t>
        </w:r>
      </w:hyperlink>
      <w:r>
        <w:tab/>
        <w:t>17</w:t>
      </w:r>
    </w:p>
    <w:p>
      <w:pPr>
        <w:pStyle w:val="Heading2"/>
        <w:spacing w:before="160" w:after="80"/>
      </w:pPr>
      <w:r>
        <w:t>Teil II Modellierung und Fehleranalyse</w:t>
      </w:r>
    </w:p>
    <w:p>
      <w:pPr>
        <w:tabs>
          <w:tab w:pos="8784" w:val="right"/>
        </w:tabs>
        <w:spacing w:after="60" w:line="240" w:lineRule="auto"/>
      </w:pPr>
      <w:hyperlink w:anchor="chapter_5">
        <w:r>
          <w:rPr>
            <w:color w:val="18364A"/>
          </w:rPr>
          <w:t xml:space="preserve">5  Funktionsketten und Signalketten zerlegen</w:t>
        </w:r>
      </w:hyperlink>
      <w:r>
        <w:tab/>
        <w:t>19</w:t>
      </w:r>
    </w:p>
    <w:p>
      <w:pPr>
        <w:tabs>
          <w:tab w:pos="8784" w:val="right"/>
        </w:tabs>
        <w:spacing w:after="60" w:line="240" w:lineRule="auto"/>
      </w:pPr>
      <w:hyperlink w:anchor="chapter_6">
        <w:r>
          <w:rPr>
            <w:color w:val="18364A"/>
          </w:rPr>
          <w:t xml:space="preserve">6  Architektur und MBSE verknüpfen</w:t>
        </w:r>
      </w:hyperlink>
      <w:r>
        <w:tab/>
        <w:t>22</w:t>
      </w:r>
    </w:p>
    <w:p>
      <w:pPr>
        <w:tabs>
          <w:tab w:pos="8784" w:val="right"/>
        </w:tabs>
        <w:spacing w:after="60" w:line="240" w:lineRule="auto"/>
      </w:pPr>
      <w:hyperlink w:anchor="chapter_7">
        <w:r>
          <w:rPr>
            <w:color w:val="18364A"/>
          </w:rPr>
          <w:t xml:space="preserve">7  Anforderungen und Zuverlässigkeitsziele ableiten</w:t>
        </w:r>
      </w:hyperlink>
      <w:r>
        <w:tab/>
        <w:t>25</w:t>
      </w:r>
    </w:p>
    <w:p>
      <w:pPr>
        <w:tabs>
          <w:tab w:pos="8784" w:val="right"/>
        </w:tabs>
        <w:spacing w:after="60" w:line="240" w:lineRule="auto"/>
      </w:pPr>
      <w:hyperlink w:anchor="chapter_8">
        <w:r>
          <w:rPr>
            <w:color w:val="18364A"/>
          </w:rPr>
          <w:t xml:space="preserve">8  FMEA aus Funktionen und Schnittstellen ableiten</w:t>
        </w:r>
      </w:hyperlink>
      <w:r>
        <w:tab/>
        <w:t>27</w:t>
      </w:r>
    </w:p>
    <w:p>
      <w:pPr>
        <w:tabs>
          <w:tab w:pos="8784" w:val="right"/>
        </w:tabs>
        <w:spacing w:after="60" w:line="240" w:lineRule="auto"/>
      </w:pPr>
      <w:hyperlink w:anchor="chapter_9">
        <w:r>
          <w:rPr>
            <w:color w:val="18364A"/>
          </w:rPr>
          <w:t xml:space="preserve">9  Fehlerkombinationen und Systemzuverlässigkeit analysieren</w:t>
        </w:r>
      </w:hyperlink>
      <w:r>
        <w:tab/>
        <w:t>30</w:t>
      </w:r>
    </w:p>
    <w:p>
      <w:pPr>
        <w:tabs>
          <w:tab w:pos="8784" w:val="right"/>
        </w:tabs>
        <w:spacing w:after="60" w:line="240" w:lineRule="auto"/>
      </w:pPr>
      <w:hyperlink w:anchor="chapter_10">
        <w:r>
          <w:rPr>
            <w:color w:val="18364A"/>
          </w:rPr>
          <w:t xml:space="preserve">10  Ausfallmechanismen und Robustheitsreserven verstehen</w:t>
        </w:r>
      </w:hyperlink>
      <w:r>
        <w:tab/>
        <w:t>34</w:t>
      </w:r>
    </w:p>
    <w:p>
      <w:pPr>
        <w:pStyle w:val="Heading2"/>
        <w:spacing w:before="160" w:after="80"/>
      </w:pPr>
      <w:r>
        <w:t>Teil III Komponenten und Zulieferer</w:t>
      </w:r>
    </w:p>
    <w:p>
      <w:pPr>
        <w:tabs>
          <w:tab w:pos="8784" w:val="right"/>
        </w:tabs>
        <w:spacing w:after="60" w:line="240" w:lineRule="auto"/>
      </w:pPr>
      <w:hyperlink w:anchor="chapter_11">
        <w:r>
          <w:rPr>
            <w:color w:val="18364A"/>
          </w:rPr>
          <w:t xml:space="preserve">11  Zulieferkomponenten spezifizieren und Nachweise übernehmen</w:t>
        </w:r>
      </w:hyperlink>
      <w:r>
        <w:tab/>
        <w:t>37</w:t>
      </w:r>
    </w:p>
    <w:p>
      <w:pPr>
        <w:tabs>
          <w:tab w:pos="8784" w:val="right"/>
        </w:tabs>
        <w:spacing w:after="60" w:line="240" w:lineRule="auto"/>
      </w:pPr>
      <w:hyperlink w:anchor="chapter_12">
        <w:r>
          <w:rPr>
            <w:color w:val="18364A"/>
          </w:rPr>
          <w:t xml:space="preserve">12  Hardwarekomponenten qualifizieren</w:t>
        </w:r>
      </w:hyperlink>
      <w:r>
        <w:tab/>
        <w:t>40</w:t>
      </w:r>
    </w:p>
    <w:p>
      <w:pPr>
        <w:tabs>
          <w:tab w:pos="8784" w:val="right"/>
        </w:tabs>
        <w:spacing w:after="60" w:line="240" w:lineRule="auto"/>
      </w:pPr>
      <w:hyperlink w:anchor="chapter_13">
        <w:r>
          <w:rPr>
            <w:color w:val="18364A"/>
          </w:rPr>
          <w:t xml:space="preserve">13  Software und Firmware zuverlässig gestalten</w:t>
        </w:r>
      </w:hyperlink>
      <w:r>
        <w:tab/>
        <w:t>44</w:t>
      </w:r>
    </w:p>
    <w:p>
      <w:pPr>
        <w:pStyle w:val="Heading2"/>
        <w:spacing w:before="160" w:after="80"/>
      </w:pPr>
      <w:r>
        <w:t>Teil IV Statistik und Systemnachweis</w:t>
      </w:r>
    </w:p>
    <w:p>
      <w:pPr>
        <w:tabs>
          <w:tab w:pos="8784" w:val="right"/>
        </w:tabs>
        <w:spacing w:after="60" w:line="240" w:lineRule="auto"/>
      </w:pPr>
      <w:hyperlink w:anchor="chapter_14">
        <w:r>
          <w:rPr>
            <w:color w:val="18364A"/>
          </w:rPr>
          <w:t xml:space="preserve">14  Lebensdauerstatistik und Konfidenzniveau richtig interpretieren</w:t>
        </w:r>
      </w:hyperlink>
      <w:r>
        <w:tab/>
        <w:t>46</w:t>
      </w:r>
    </w:p>
    <w:p>
      <w:pPr>
        <w:tabs>
          <w:tab w:pos="8784" w:val="right"/>
        </w:tabs>
        <w:spacing w:after="60" w:line="240" w:lineRule="auto"/>
      </w:pPr>
      <w:hyperlink w:anchor="chapter_15">
        <w:r>
          <w:rPr>
            <w:color w:val="18364A"/>
          </w:rPr>
          <w:t xml:space="preserve">15  Nachweisversuche und beschleunigte Tests planen</w:t>
        </w:r>
      </w:hyperlink>
      <w:r>
        <w:tab/>
        <w:t>51</w:t>
      </w:r>
    </w:p>
    <w:p>
      <w:pPr>
        <w:tabs>
          <w:tab w:pos="8784" w:val="right"/>
        </w:tabs>
        <w:spacing w:after="60" w:line="240" w:lineRule="auto"/>
      </w:pPr>
      <w:hyperlink w:anchor="chapter_16">
        <w:r>
          <w:rPr>
            <w:color w:val="18364A"/>
          </w:rPr>
          <w:t xml:space="preserve">16  Integration und Systemfunktion prüfen</w:t>
        </w:r>
      </w:hyperlink>
      <w:r>
        <w:tab/>
        <w:t>56</w:t>
      </w:r>
    </w:p>
    <w:p>
      <w:pPr>
        <w:tabs>
          <w:tab w:pos="8784" w:val="right"/>
        </w:tabs>
        <w:spacing w:after="60" w:line="240" w:lineRule="auto"/>
      </w:pPr>
      <w:hyperlink w:anchor="chapter_17">
        <w:r>
          <w:rPr>
            <w:color w:val="18364A"/>
          </w:rPr>
          <w:t xml:space="preserve">17  Freigabe und Änderungen begründet bewerten</w:t>
        </w:r>
      </w:hyperlink>
      <w:r>
        <w:tab/>
        <w:t>59</w:t>
      </w:r>
    </w:p>
    <w:p>
      <w:pPr>
        <w:pStyle w:val="Heading2"/>
        <w:spacing w:before="160" w:after="80"/>
      </w:pPr>
      <w:r>
        <w:t>Teil V Feld und Verbesserung</w:t>
      </w:r>
    </w:p>
    <w:p>
      <w:pPr>
        <w:tabs>
          <w:tab w:pos="8784" w:val="right"/>
        </w:tabs>
        <w:spacing w:after="60" w:line="240" w:lineRule="auto"/>
      </w:pPr>
      <w:hyperlink w:anchor="chapter_18">
        <w:r>
          <w:rPr>
            <w:color w:val="18364A"/>
          </w:rPr>
          <w:t xml:space="preserve">18  Qualität und Zuverlässigkeit im Feld überwachen</w:t>
        </w:r>
      </w:hyperlink>
      <w:r>
        <w:tab/>
        <w:t>61</w:t>
      </w:r>
    </w:p>
    <w:p>
      <w:pPr>
        <w:tabs>
          <w:tab w:pos="8784" w:val="right"/>
        </w:tabs>
        <w:spacing w:after="60" w:line="240" w:lineRule="auto"/>
      </w:pPr>
      <w:hyperlink w:anchor="chapter_19">
        <w:r>
          <w:rPr>
            <w:color w:val="18364A"/>
          </w:rPr>
          <w:t xml:space="preserve">19  Fehlerursachen beseitigen und Verbesserungen nachweisen</w:t>
        </w:r>
      </w:hyperlink>
      <w:r>
        <w:tab/>
        <w:t>64</w:t>
      </w:r>
    </w:p>
    <w:p>
      <w:pPr>
        <w:pStyle w:val="Heading2"/>
        <w:spacing w:before="160" w:after="80"/>
      </w:pPr>
      <w:r>
        <w:t>Teil VI Fallstudien und Arbeitsmittel</w:t>
      </w:r>
    </w:p>
    <w:p>
      <w:pPr>
        <w:tabs>
          <w:tab w:pos="8784" w:val="right"/>
        </w:tabs>
        <w:spacing w:after="60" w:line="240" w:lineRule="auto"/>
      </w:pPr>
      <w:hyperlink w:anchor="chapter_20">
        <w:r>
          <w:rPr>
            <w:color w:val="18364A"/>
          </w:rPr>
          <w:t xml:space="preserve">20  Fallstudien und Arbeitsvorlagen anwenden</w:t>
        </w:r>
      </w:hyperlink>
      <w:r>
        <w:tab/>
        <w:t>67</w:t>
      </w:r>
    </w:p>
    <w:p>
      <w:pPr>
        <w:spacing w:after="60"/>
      </w:pPr>
      <w:hyperlink w:anchor="appendix_A">
        <w:r>
          <w:rPr>
            <w:color w:val="18364A"/>
          </w:rPr>
          <w:t xml:space="preserve">Anhang A Musterantworten</w:t>
        </w:r>
      </w:hyperlink>
    </w:p>
    <w:p>
      <w:pPr>
        <w:spacing w:after="60"/>
      </w:pPr>
      <w:hyperlink w:anchor="appendix_B">
        <w:r>
          <w:rPr>
            <w:color w:val="18364A"/>
          </w:rPr>
          <w:t xml:space="preserve">Anhang B Arbeitsvorlagen</w:t>
        </w:r>
      </w:hyperlink>
    </w:p>
    <w:p>
      <w:pPr>
        <w:spacing w:after="60"/>
      </w:pPr>
      <w:hyperlink w:anchor="appendix_C">
        <w:r>
          <w:rPr>
            <w:color w:val="18364A"/>
          </w:rPr>
          <w:t xml:space="preserve">Anhang C Glossar</w:t>
        </w:r>
      </w:hyperlink>
    </w:p>
    <w:p>
      <w:pPr>
        <w:spacing w:after="60"/>
      </w:pPr>
      <w:hyperlink w:anchor="appendix_D">
        <w:r>
          <w:rPr>
            <w:color w:val="18364A"/>
          </w:rPr>
          <w:t xml:space="preserve">Anhang D Formeln und Entscheidungsregeln</w:t>
        </w:r>
      </w:hyperlink>
    </w:p>
    <w:p>
      <w:pPr>
        <w:spacing w:after="60"/>
      </w:pPr>
      <w:hyperlink w:anchor="appendix_E">
        <w:r>
          <w:rPr>
            <w:color w:val="18364A"/>
          </w:rPr>
          <w:t xml:space="preserve">Anhang E Änderungen und Reviewentscheidungen</w:t>
        </w:r>
      </w:hyperlink>
    </w:p>
    <w:p>
      <w:pPr>
        <w:spacing w:after="60"/>
      </w:pPr>
      <w:hyperlink w:anchor="sources">
        <w:r>
          <w:rPr>
            <w:color w:val="18364A"/>
          </w:rPr>
          <w:t xml:space="preserve">Literatur und Standards</w:t>
        </w:r>
      </w:hyperlink>
    </w:p>
    <w:p>
      <w:bookmarkStart w:id="3" w:name="diagram_A"/>
      <w:pPr>
        <w:pStyle w:val="Heading1"/>
        <w:pageBreakBefore/>
      </w:pPr>
      <w:r>
        <w:t>Schaubild A Zuverlässigkeitsprozess</w:t>
      </w:r>
      <w:bookmarkEnd w:id="3"/>
    </w:p>
    <w:p>
      <w:pPr>
        <w:jc w:val="center"/>
      </w:pPr>
      <w:r>
        <w:drawing>
          <wp:inline xmlns:a="http://schemas.openxmlformats.org/drawingml/2006/main" xmlns:pic="http://schemas.openxmlformats.org/drawingml/2006/picture">
            <wp:extent cx="4518212" cy="6400800"/>
            <wp:docPr id="1" name="Picture 1" descr="Schaubild A Zuverlässigkeitsprozess  Eigener Lebenszyklusentwurf mit Kapitelverweise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18212" cy="6400800"/>
                    </a:xfrm>
                    <a:prstGeom prst="rect"/>
                  </pic:spPr>
                </pic:pic>
              </a:graphicData>
            </a:graphic>
          </wp:inline>
        </w:drawing>
      </w:r>
    </w:p>
    <w:p>
      <w:pPr>
        <w:pStyle w:val="Caption"/>
      </w:pPr>
      <w:r>
        <w:t>Schaubild A Zuverlässigkeitsprozess  Eigener Lebenszyklusentwurf mit Kapitelverweisen.</w:t>
      </w:r>
    </w:p>
    <w:p>
      <w:r>
        <w:t>Komponentenabsicherung und Integration sind verschiedene Nachweise. Die Nachweisplanung geht den Prüfungen voraus; neue Erkenntnisse werden über alle Stationen zurückgeführt.</w:t>
      </w:r>
    </w:p>
    <w:p>
      <w:bookmarkStart w:id="4" w:name="diagram_B"/>
      <w:pPr>
        <w:pStyle w:val="Heading1"/>
        <w:pageBreakBefore/>
      </w:pPr>
      <w:r>
        <w:t>Schaubild B Systemgrenze und Zerlegung</w:t>
      </w:r>
      <w:bookmarkEnd w:id="4"/>
    </w:p>
    <w:p>
      <w:pPr>
        <w:jc w:val="center"/>
      </w:pPr>
      <w:r>
        <w:drawing>
          <wp:inline xmlns:a="http://schemas.openxmlformats.org/drawingml/2006/main" xmlns:pic="http://schemas.openxmlformats.org/drawingml/2006/picture">
            <wp:extent cx="4518212" cy="6400800"/>
            <wp:docPr id="2" name="Picture 2" descr="Schaubild B Systemgrenze und Zerlegung  Eigene Darstellung der rekursiven Systembetrachtung."/>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18212" cy="6400800"/>
                    </a:xfrm>
                    <a:prstGeom prst="rect"/>
                  </pic:spPr>
                </pic:pic>
              </a:graphicData>
            </a:graphic>
          </wp:inline>
        </w:drawing>
      </w:r>
    </w:p>
    <w:p>
      <w:pPr>
        <w:pStyle w:val="Caption"/>
      </w:pPr>
      <w:r>
        <w:t>Schaubild B Systemgrenze und Zerlegung  Eigene Darstellung der rekursiven Systembetrachtung.</w:t>
      </w:r>
    </w:p>
    <w:p>
      <w:r>
        <w:t>Für jedes Subsystem werden Grenze, Inputs, Outputs, weitere Einwirkungen und Rückwirkungen erneut beschrieben. Die Zerlegung schafft keine automatische statistische Unabhängigkeit.</w:t>
      </w:r>
    </w:p>
    <w:p>
      <w:bookmarkStart w:id="5" w:name="diagram_C"/>
      <w:pPr>
        <w:pStyle w:val="Heading1"/>
        <w:pageBreakBefore/>
      </w:pPr>
      <w:r>
        <w:t>Schaubild C Methodennavigator</w:t>
      </w:r>
      <w:bookmarkEnd w:id="5"/>
    </w:p>
    <w:p>
      <w:pPr>
        <w:jc w:val="center"/>
      </w:pPr>
      <w:r>
        <w:drawing>
          <wp:inline xmlns:a="http://schemas.openxmlformats.org/drawingml/2006/main" xmlns:pic="http://schemas.openxmlformats.org/drawingml/2006/picture">
            <wp:extent cx="6235344" cy="6400800"/>
            <wp:docPr id="3" name="Picture 3" descr="Schaubild C Methodennavigator  Eigene Darstellung für den Einstieg mit einer Bewertungsfrag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35344" cy="6400800"/>
                    </a:xfrm>
                    <a:prstGeom prst="rect"/>
                  </pic:spPr>
                </pic:pic>
              </a:graphicData>
            </a:graphic>
          </wp:inline>
        </w:drawing>
      </w:r>
    </w:p>
    <w:p>
      <w:pPr>
        <w:pStyle w:val="Caption"/>
      </w:pPr>
      <w:r>
        <w:t>Schaubild C Methodennavigator  Eigene Darstellung für den Einstieg mit einer Bewertungsfrage.</w:t>
      </w:r>
    </w:p>
    <w:p>
      <w:r>
        <w:t>Eine Frage kann mehrere Wege auslösen. Ein neuer Detektor führt beispielsweise zu Supplier-Evidenz, Integrationsbewertung und je nach Ziel zur Lebensdauerstatistik.</w:t>
      </w:r>
    </w:p>
    <w:p>
      <w:bookmarkStart w:id="6" w:name="chapter_1"/>
      <w:pPr>
        <w:pStyle w:val="Heading1"/>
        <w:pageBreakBefore/>
      </w:pPr>
      <w:r>
        <w:t>1 Qualität und Zuverlässigkeit verstehen</w:t>
      </w:r>
      <w:bookmarkEnd w:id="6"/>
    </w:p>
    <w:p>
      <w:pPr>
        <w:pStyle w:val="Caption"/>
      </w:pPr>
      <w:r>
        <w:t xml:space="preserve">Navigation </w:t>
      </w:r>
      <w:hyperlink w:anchor="diagram_A">
        <w:r>
          <w:rPr>
            <w:color w:val="18364A"/>
          </w:rPr>
          <w:t xml:space="preserve">Schaubild A  </w:t>
        </w:r>
      </w:hyperlink>
      <w:r>
        <w:t xml:space="preserve">|  </w:t>
      </w:r>
      <w:r>
        <w:t xml:space="preserve">Grundlagen </w:t>
      </w:r>
      <w:hyperlink w:anchor="source_Q01">
        <w:r>
          <w:rPr>
            <w:color w:val="18364A"/>
          </w:rPr>
          <w:t xml:space="preserve">[Q01]</w:t>
        </w:r>
      </w:hyperlink>
      <w:r>
        <w:t xml:space="preserve"> </w:t>
      </w:r>
      <w:hyperlink w:anchor="source_N01">
        <w:r>
          <w:rPr>
            <w:color w:val="18364A"/>
          </w:rPr>
          <w:t xml:space="preserve">[N01]</w:t>
        </w:r>
      </w:hyperlink>
      <w:r>
        <w:t xml:space="preserve"> </w:t>
      </w:r>
      <w:hyperlink w:anchor="source_N02">
        <w:r>
          <w:rPr>
            <w:color w:val="18364A"/>
          </w:rPr>
          <w:t xml:space="preserve">[N02]</w:t>
        </w:r>
      </w:hyperlink>
      <w:r>
        <w:t xml:space="preserve">  |  </w:t>
      </w:r>
      <w:hyperlink w:anchor="contents">
        <w:r>
          <w:rPr>
            <w:color w:val="18364A"/>
          </w:rPr>
          <w:t xml:space="preserve">Inhalt</w:t>
        </w:r>
      </w:hyperlink>
    </w:p>
    <w:p>
      <w:pPr>
        <w:pStyle w:val="Heading2"/>
      </w:pPr>
      <w:r>
        <w:t>Eine Funktion kann heute gut sein und morgen ausfallen</w:t>
      </w:r>
    </w:p>
    <w:p>
      <w:r>
        <w:t>Ein neuer Wasserkocher erhitzt Wasser schnell, lässt sich gut bedienen und ist dicht. Er erfüllt damit wichtige Qualitätsanforderungen. Wenn sein Schalter nach einigen Wochen nicht mehr funktioniert, fehlt ihm Zuverlässigkeit über die vorgesehene Nutzung. Umgekehrt kann ein langlebiger Wasserkocher schlecht gestaltet sein: Er hält jahrelang, aber sein Griff wird unangenehm heiß. Lange Lebensdauer allein macht ihn nicht zu einem guten Produkt.</w:t>
      </w:r>
    </w:p>
    <w:p>
      <w:r>
        <w:t>Qualität beschreibt, in welchem Maß ein Produkt seine Anforderungen und relevanten Bedürfnisse erfüllt. Zuverlässigkeit beschreibt seine Fähigkeit, eine festgelegte Funktion unter festgelegten Bedingungen über eine festgelegte Dauer beziehungsweise Nutzung zu erfüllen. Sie ist damit ein Qualitätsmerkmal, aber nicht die ganze Qualität. Wir fragen immer: Welche Funktion, unter welchen Bedingungen, über welche Nutzung und mit welcher zulässigen Abweichung?</w:t>
      </w:r>
    </w:p>
    <w:p>
      <w:r>
        <w:t>Bei technischen Produkten verwenden wir hier Zuverlässigkeit als deutsche Bezeichnung für Reliability. Der Ausdruck Reliabilität wird außerhalb der Technik auch für die Verlässlichkeit von Messverfahren verwendet. Ein eindeutig vereinbartes Glossar verhindert, dass Kollegen mit demselben Wort unterschiedliche Dinge meinen.</w:t>
      </w:r>
    </w:p>
    <w:p>
      <w:pPr>
        <w:pStyle w:val="Heading2"/>
      </w:pPr>
      <w:r>
        <w:t>Zum Zusammenspiel von Hardware und Software</w:t>
      </w:r>
    </w:p>
    <w:p>
      <w:r>
        <w:t>Hardware kann durch Verschleiß, Korrosion, Materialermüdung oder andere physikalische Mechanismen ausfallen. Auch Fertigungsabweichungen können erst später sichtbar werden. Software verschleißt nicht wie eine Lötstelle. Ein vorhandener Programmfehler kann aber durch eine seltene Eingabe, einen bestimmten Zustand oder eine ungünstige Ereignisfolge aktiviert werden. Ressourcen können im Betrieb erschöpft werden, beispielsweise durch ein Speicherleck.</w:t>
      </w:r>
    </w:p>
    <w:p>
      <w:r>
        <w:t>Das Zusammenspiel bildet eine dritte Betrachtungsebene. Zwei für sich geeignete Elemente können gemeinsam eine Funktion verlieren. Ein funktionierender Wasserkocher an einer ungeeigneten Mehrfachsteckdose illustriert das: Der Schalter und die Heizung müssen nicht defekt sein, wenn die Versorgung unter Last abschaltet. Ebenso kann ein qualifizierter Detektor mit einem qualifizierten Generator einen Aufnahmeabbruch verursachen, wenn ihre Bereitschafts- und Freigabesignale zeitlich nicht zusammenpassen.</w:t>
      </w:r>
    </w:p>
    <w:p>
      <w:r>
        <w:t>Der Ausfall wird deshalb an einer Funktion definiert, nicht nur an einem beschädigten Bauteil. Auch ein fehlendes Bild, ein unzulässiger Bildqualitätsverlust oder eine notwendige Wiederholung kann ein Funktionsausfall sein. Welche Ereignisse gezählt werden, muss vor der Bewertung feststehen. Eine geplante Wartungsunterbrechung ist anders zu behandeln als ein ungeplanter Aufnahmeabbruch.</w:t>
      </w:r>
    </w:p>
    <w:p>
      <w:pPr>
        <w:pStyle w:val="Heading2"/>
      </w:pPr>
      <w:r>
        <w:t>Benachbarte Begriffe richtig einordnen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Begriff</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Leitfrage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Alltagsbeispiel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Qualität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Erfüllt das Produkt die relevanten Anforderungen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 Fahrrad ist passend, sicher bedienbar und gut verarbeitet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Zuverlässigkeit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Bleibt die definierte Funktion über die Nutzung erhalten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Die Schaltung funktioniert über die vereinbarte Strecke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Verfügbarkeit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Ist die Funktion zu einem betrachteten Zeitpunkt nutzbar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 einer Reparatur steht das Fahrrad wieder bereit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Instandhaltbarkeit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gut lässt sich die Funktion wiederherstellen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Ein Schlauchwechsel ist ohne Spezialwerkzeug möglich</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Robustheit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wenig empfindlich ist die Funktion gegenüber Abweichungen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Die Schaltung toleriert Schmutz und kleine Justagefehler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Sicherheit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Sind unvertretbare Risiken vermieden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Die Bremse verhindert einen gefährlichen Kontrollverlust</w:t>
            </w:r>
          </w:p>
        </w:tc>
      </w:tr>
    </w:tbl>
    <w:p>
      <w:pPr>
        <w:spacing w:after="40" w:before="40"/>
      </w:pPr>
    </w:p>
    <w:p>
      <w:r>
        <w:t>Ein System kann sicher abschalten und damit seine Nutzfunktion verlieren. Die Abschaltung kann ein richtiger Schutz sein, obwohl sie die Verfügbarkeit vermindert. Umgekehrt kann ein System lange laufen und dennoch ein Sicherheitsproblem haben. Dependability ist ein übergeordneter Begriff, der unter anderem Zuverlässigkeit, Verfügbarkeit und Instandhaltbarkeit zusammenführt. Security betrachtet den Schutz vor relevanten absichtlichen oder unbefugten Einwirkungen; sie kann Zuverlässigkeit und Sicherheit beeinflussen.</w:t>
      </w:r>
    </w:p>
    <w:p>
      <w:pPr>
        <w:pStyle w:val="Heading2"/>
      </w:pPr>
      <w:r>
        <w:t>Anwendung am Röntgensystem</w:t>
      </w:r>
    </w:p>
    <w:p>
      <w:r>
        <w:t>Wir trennen die klinische Aufgabe, die technische Funktion und die benötigten Elemente. Die Aufgabe kann sein, eine diagnostisch brauchbare Aufnahme bereitzustellen. Dazu werden beispielsweise Positionierung, Exposition, Detektion, Bildverarbeitung und Datenbereitstellung benötigt. Ob ein fehlender Pixel einen Systemausfall darstellt, entscheidet seine Wirkung gegenüber der festgelegten Leistungsanforderung. Ein Neustart unterbricht unter Umständen den Workflow und muss an dessen Anforderungen bewertet werden.</w:t>
      </w:r>
    </w:p>
    <w:p>
      <w:pPr>
        <w:pStyle w:val="Heading2"/>
      </w:pPr>
      <w:r>
        <w:t>Vom funktionierenden Teil zur gelungenen Untersuchung</w:t>
      </w:r>
    </w:p>
    <w:p>
      <w:r>
        <w:t>Eine Untersuchung gelingt erst, wenn die benötigte Leistung im gesamten vereinbarten Ablauf entsteht. Wir können deshalb drei Fragen stellen: Hält die Komponente ihre Funktion durch? Liefert das integrierte Gerät die Aufnahme? Und erreicht die Aufnahme den richtigen klinischen Arbeitsablauf? Diese Ebenen ergänzen einander. Welche davon bewertet wird, steht im Systemsteckbrief. Kapitel 3 und Schaubild D zeigen, wie wir Produktgrenze und Ablaufgrenze auseinanderhalten.</w:t>
      </w:r>
    </w:p>
    <w:p>
      <w:r>
        <w:t>Ein zuverlässiges Bildarchiv kann ein korrektes Bild speichern, während die Gesamtaufgabe wegen einer falschen Auftragszuordnung misslingt. Bei einer Geräteprüfung kann das Ende bereits die korrekt bereitgestellte Bilddatei sein. Bei der Bewertung des Klinikablaufs kann zusätzlich eine bestätigte Archivierung erforderlich sein. Wir legen den Endpunkt ausdrücklich fest, bevor wir Erfolge zählen.</w:t>
      </w:r>
    </w:p>
    <w:p>
      <w:r>
        <w:t>Resilienz bezeichnet hier die Fähigkeit, eine Störung zu bewältigen und die vereinbarte Leistung aufrechtzuerhalten oder wiederherzustellen. Eine freigegebene lokale Pufferung kann beispielsweise eine unterbrochene Archivverbindung überbrücken. Ob sie für den jeweiligen Ablauf ausreicht, hängt von Identitätssicherung, Kapazität, Wiederanlauf und dem zulässigen Zeitfenster ab.</w:t>
      </w:r>
    </w:p>
    <w:p>
      <w:pPr>
        <w:pStyle w:val="Heading2"/>
      </w:pPr>
      <w:r>
        <w:t>So gehen wir vor</w:t>
      </w:r>
    </w:p>
    <w:p>
      <w:pPr>
        <w:pStyle w:val="ListBullet"/>
      </w:pPr>
      <w:r>
        <w:t>Die zu bewertende Funktion und ihren Leistungsbereich in einem Satz festhalten.</w:t>
      </w:r>
    </w:p>
    <w:p>
      <w:pPr>
        <w:pStyle w:val="ListBullet"/>
      </w:pPr>
      <w:r>
        <w:t>Beginn, Ende und Einheit der Nutzung definieren, etwa Aufnahme, Betriebsstunde oder Lebenszyklus.</w:t>
      </w:r>
    </w:p>
    <w:p>
      <w:pPr>
        <w:pStyle w:val="ListBullet"/>
      </w:pPr>
      <w:r>
        <w:t>Ausfall, Degradation, Wiederherstellung und geplante Unterbrechung getrennt definieren.</w:t>
      </w:r>
    </w:p>
    <w:p>
      <w:pPr>
        <w:pStyle w:val="ListBullet"/>
      </w:pPr>
      <w:r>
        <w:t>Hardwarefehler, Softwarefehler und Integrationsfehler als mögliche Ursachen offenhalten.</w:t>
      </w:r>
    </w:p>
    <w:p>
      <w:pPr>
        <w:pStyle w:val="ListBullet"/>
      </w:pPr>
      <w:r>
        <w:t>Die Begriffe gemeinsam mit Entwicklung, Qualität und Service an realen Ereignissen prüfen.</w:t>
      </w:r>
    </w:p>
    <w:p>
      <w:pPr>
        <w:pStyle w:val="ListBullet"/>
      </w:pPr>
      <w:r>
        <w:t>Bewertungsendpunkt festlegen: Komponente, Gerät oder Untersuchungsablauf.</w:t>
      </w:r>
    </w:p>
    <w:p>
      <w:r>
        <w:t>Das Ergebnis ist ein Funktions- und Ereignisglossar. Der häufigste Denkfehler ist, einen bestandenen Funktionstest am ersten Tag mit einem Lebensdauernachweis gleichzusetzen. Ein zweiter ist, nur Austauschteile zu zählen und dabei Funktionsverluste ohne Austausch zu übersehen.</w:t>
      </w:r>
    </w:p>
    <w:p>
      <w:pPr>
        <w:pStyle w:val="Heading2"/>
        <w:keepNext/>
      </w:pPr>
      <w:r>
        <w:t>Übung</w:t>
      </w:r>
    </w:p>
    <w:p>
      <w:r>
        <w:t>Ein Router fällt jede Woche kurz aus und startet nach einer Minute selbst neu. Ist er zuverlässig, verfügbar und leicht wiederherstellbar? Formuliere zunächst die geforderte Funktion. Eine Musterantwort steht in Anhang A.</w:t>
      </w:r>
    </w:p>
    <w:p>
      <w:bookmarkStart w:id="7" w:name="chapter_2"/>
      <w:pPr>
        <w:pStyle w:val="Heading1"/>
        <w:pageBreakBefore/>
      </w:pPr>
      <w:r>
        <w:t>2 Lebenszyklus und Verantwortlichkeiten festlegen</w:t>
      </w:r>
      <w:bookmarkEnd w:id="7"/>
    </w:p>
    <w:p>
      <w:pPr>
        <w:pStyle w:val="Caption"/>
        <w:spacing w:after="70" w:line="250" w:lineRule="auto"/>
      </w:pPr>
      <w:r>
        <w:t xml:space="preserve">Navigation </w:t>
      </w:r>
      <w:hyperlink w:anchor="diagram_A">
        <w:r>
          <w:rPr>
            <w:color w:val="18364A"/>
          </w:rPr>
          <w:t xml:space="preserve">Schaubild A  </w:t>
        </w:r>
      </w:hyperlink>
      <w:r>
        <w:t xml:space="preserve">|  </w:t>
      </w:r>
      <w:r>
        <w:t xml:space="preserve">Grundlagen </w:t>
      </w:r>
      <w:hyperlink w:anchor="source_N02">
        <w:r>
          <w:rPr>
            <w:color w:val="18364A"/>
          </w:rPr>
          <w:t xml:space="preserve">[N02]</w:t>
        </w:r>
      </w:hyperlink>
      <w:r>
        <w:t xml:space="preserve"> </w:t>
      </w:r>
      <w:hyperlink w:anchor="source_N03">
        <w:r>
          <w:rPr>
            <w:color w:val="18364A"/>
          </w:rPr>
          <w:t xml:space="preserve">[N03]</w:t>
        </w:r>
      </w:hyperlink>
      <w:r>
        <w:t xml:space="preserve"> </w:t>
      </w:r>
      <w:hyperlink w:anchor="source_N04">
        <w:r>
          <w:rPr>
            <w:color w:val="18364A"/>
          </w:rPr>
          <w:t xml:space="preserve">[N04]</w:t>
        </w:r>
      </w:hyperlink>
      <w:r>
        <w:t xml:space="preserve"> </w:t>
      </w:r>
      <w:hyperlink w:anchor="source_N18">
        <w:r>
          <w:rPr>
            <w:color w:val="18364A"/>
          </w:rPr>
          <w:t xml:space="preserve">[N18]</w:t>
        </w:r>
      </w:hyperlink>
      <w:r>
        <w:t xml:space="preserve"> </w:t>
      </w:r>
      <w:hyperlink w:anchor="source_N20">
        <w:r>
          <w:rPr>
            <w:color w:val="18364A"/>
          </w:rPr>
          <w:t xml:space="preserve">[N20]</w:t>
        </w:r>
      </w:hyperlink>
      <w:r>
        <w:t xml:space="preserve">  |  </w:t>
      </w:r>
      <w:hyperlink w:anchor="contents">
        <w:r>
          <w:rPr>
            <w:color w:val="18364A"/>
          </w:rPr>
          <w:t xml:space="preserve">Inhalt</w:t>
        </w:r>
      </w:hyperlink>
    </w:p>
    <w:p>
      <w:pPr>
        <w:pStyle w:val="Heading2"/>
      </w:pPr>
      <w:r>
        <w:t>Ein guter Bestandteil braucht einen passenden Einsatz</w:t>
      </w:r>
    </w:p>
    <w:p>
      <w:pPr>
        <w:spacing w:after="70" w:line="250" w:lineRule="auto"/>
      </w:pPr>
      <w:r>
        <w:t>Wer eine Küche kauft, erwartet vom Hersteller des Kühlschranks ein funktionierendes Gerät. Der Küchenplaner muss trotzdem sicherstellen, dass die Einbaunische genug Platz und die notwendige Belüftung bietet. Wenn der Kühlschrank in einem zu engen, schlecht belüfteten Schrank überhitzt, lässt sich das Problem nicht allein mit dem Hinweis auf den Gerätehersteller lösen.</w:t>
      </w:r>
    </w:p>
    <w:p>
      <w:pPr>
        <w:spacing w:after="70" w:line="250" w:lineRule="auto"/>
      </w:pPr>
      <w:r>
        <w:t>Genauso unterscheiden wir die Absicherung einer zugelieferten Komponente von ihrer richtigen Anwendung im System. Der Supplier liefert die vereinbarte Funktion, Qualität und Nachweise. Wir beschreiben den tatsächlichen Einsatz, bewerten die Eignung der Evidenz und verantworten unsere Systemintegration. Eine Rollenverteilung ersetzt keine technische Prüfung ihrer Übergaben. Die konkreten Zuständigkeiten werden im Projekt vereinbart; dieses Handbuch legt keine Organisationsstruktur verbindlich fest.</w:t>
      </w:r>
    </w:p>
    <w:p>
      <w:pPr>
        <w:pStyle w:val="Heading2"/>
      </w:pPr>
      <w:r>
        <w:t>Die ganze Lebensgeschichte berücksichtigen</w:t>
      </w:r>
    </w:p>
    <w:p>
      <w:pPr>
        <w:spacing w:after="70" w:line="250" w:lineRule="auto"/>
      </w:pPr>
      <w:r>
        <w:t>Zuverlässigkeit beginnt vor der ersten Kundenaufnahme. In der Entwicklung wählen wir Anforderungen, Materialien und Architektur. In der Fertigung entstehen Streuungen und möglicherweise latente Fehler. Lagerung und Transport können Vorschädigungen bewirken. Im Betrieb wirken Lasten und Umweltbedingungen; im Service verändern Reparaturen und Updates die Konfiguration. Auch ein gelagertes Ersatzteil altert, obwohl sein Betriebsstundenzähler bei null steht.</w:t>
      </w:r>
    </w:p>
    <w:p>
      <w:pPr>
        <w:spacing w:after="70" w:line="250" w:lineRule="auto"/>
      </w:pPr>
      <w:r>
        <w:t>Eine Taschenlampe verdeutlicht die unterschiedlichen Zeiten: Ihre LED hat wenige Betriebsstunden, während eine jahrelang eingelegte Batterie auslaufen kann. Betriebsdauer und Kalenderalter beantworten verschiedene Fragen. Für das Röntgensystem führen wir deshalb die Nutzungshistorie und relevante Lebenszyklusbelastungen getrennt.</w:t>
      </w:r>
    </w:p>
    <w:p>
      <w:pPr>
        <w:pStyle w:val="Heading2"/>
      </w:pPr>
      <w:r>
        <w:t>Aufgaben an den Übergaben vereinbaren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Beteiligte Rolle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Typischer Beitrag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 Übergabe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Systementwicklung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Use Cases, Architektur und reale Einsatzbedingungen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Prüffähige Anforderungen und Integrationskonzept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Supplier und Lieferantenbetreuung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Komponentenentwicklung und vereinbarte Qualifikation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Versionsbezogene Berichte, Rohdaten und Einsatzgrenzen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Qualität und Risikomanagement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Prozesskontrolle und Bewertung relevanter Risiken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Freigabekriterien und bearbeitete Abweichungen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Fertigung und Logistik</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Reproduzierbare Herstellung und Handhabung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Prozessdaten, Rückverfolgbarkeit und Änderungsinformation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Service und Feldanalyse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Ereignisse erfassen und Fehler untersuchen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Verknüpfte Nutzung, Konfiguration und Fehlerbefunde</w:t>
            </w:r>
          </w:p>
        </w:tc>
      </w:tr>
    </w:tbl>
    <w:p>
      <w:pPr>
        <w:spacing w:after="70" w:before="40" w:line="250" w:lineRule="auto"/>
      </w:pPr>
    </w:p>
    <w:p>
      <w:pPr>
        <w:spacing w:after="70" w:line="250" w:lineRule="auto"/>
      </w:pPr>
      <w:r>
        <w:t>Die Lieferantenbetreuung erhält eine eindeutig benannte Rolle. Im Projekt wird festgelegt, wer Anforderungen freigibt, Nachweise akzeptiert und Fehlerfälle mit dem Zulieferer schließt.</w:t>
      </w:r>
    </w:p>
    <w:p>
      <w:pPr>
        <w:pStyle w:val="Heading2"/>
      </w:pPr>
      <w:r>
        <w:t>Nachweise übernehmen ohne sie blind zu übernehmen</w:t>
      </w:r>
    </w:p>
    <w:p>
      <w:pPr>
        <w:spacing w:after="70" w:line="250" w:lineRule="auto"/>
      </w:pPr>
      <w:r>
        <w:t>Wir übernehmen passende Supplier-Nachweise und prüfen gezielt die verbleibenden Lücken. Zuerst fragen wir, ob die geprüfte Version, Fertigung, Nutzung und Belastung unsere Anwendung abdecken. Ein geeigneter Nachweis darf übernommen werden. Für eine relevante Lücke wählen wir eine gezielte Ergänzung. Eine andere Einbausituation kann beispielsweise eine thermische Integrationsprüfung erfordern, ohne die mechanische Bauteilqualifikation neu aufzurollen.</w:t>
      </w:r>
    </w:p>
    <w:p>
      <w:pPr>
        <w:spacing w:after="70" w:line="250" w:lineRule="auto"/>
      </w:pPr>
      <w:r>
        <w:t>Die Übernahme gilt für einen dokumentierten Bereich. Wird ein qualifiziertes Kabel plötzlich häufiger bewegt oder anders geführt, muss die Änderungswirkung bewertet werden. Ein Fahrradreifen für die Straße ist nicht allein deshalb ungeeignet, weil er auf einem Schotterweg platzt; die erste Frage lautet, ob dieser Einsatz vereinbart und abgesichert war.</w:t>
      </w:r>
    </w:p>
    <w:p>
      <w:pPr>
        <w:pStyle w:val="Heading2"/>
      </w:pPr>
      <w:r>
        <w:t>Der Zuverlässigkeitsplan</w:t>
      </w:r>
    </w:p>
    <w:p>
      <w:pPr>
        <w:spacing w:after="70" w:line="250" w:lineRule="auto"/>
      </w:pPr>
      <w:r>
        <w:t>Ein schlanker Plan beschreibt Bewertungsziele, Funktionen, Einsatzprofile, Verantwortliche, Methoden, benötigte Daten und Entscheidungszeitpunkte. Er verbindet präventive Arbeit mit dem späteren Feldmonitoring. Ein Plan mit ausschließlich Feldkennzahlen kommt zu spät, wenn kritische Schnittstellen vorher nicht analysiert wurden.</w:t>
      </w:r>
    </w:p>
    <w:p>
      <w:pPr>
        <w:spacing w:after="70" w:line="250" w:lineRule="auto"/>
      </w:pPr>
      <w:r>
        <w:t>Der Plan wird aktualisiert, wenn neue Informationen eintreffen. Ein unbekannter Fehlermechanismus kann zusätzliche Analysen auslösen. Eine neue Nutzung kann bisher ausreichende Nachweise einschränken. Die Dokumentation sollte zeigen, welche Entscheidung aus welcher Erkenntnis folgt, statt nur eine Liste geplanter Tests fortzuschreiben.</w:t>
      </w:r>
    </w:p>
    <w:p>
      <w:pPr>
        <w:pStyle w:val="Heading2"/>
      </w:pPr>
      <w:r>
        <w:t>Drei Verantwortungsbereiche unterscheiden</w:t>
      </w:r>
    </w:p>
    <w:p>
      <w:pPr>
        <w:spacing w:after="70" w:line="250" w:lineRule="auto"/>
      </w:pPr>
      <w:r>
        <w:t>Die folgende Aufteilung hilft bei der Arbeit. Sie bezeichnet Verantwortungsbereiche und ist keine gesetzliche Zuordnung. Ein fremdes Teil wird durch den Einkauf nicht zu einem Nachweis ohne Grenzen.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Bereich</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Beispiel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Unsere Aufgabe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 Eigene Entwicklung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Steuerung und Integration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Anforderungen entwickeln und eigene Nachweise führen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 Zulieferung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Detektor und Generator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Einsatz spezifizieren und passende Nachweise übernehmen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 Betreiberumgebung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Netzwerk und Archiv</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Schnittstellenbedingungen abstimmen und Gesamtfunktion prüfen</w:t>
            </w:r>
          </w:p>
        </w:tc>
      </w:tr>
    </w:tbl>
    <w:p>
      <w:pPr>
        <w:spacing w:after="70" w:before="40" w:line="250" w:lineRule="auto"/>
      </w:pPr>
    </w:p>
    <w:p>
      <w:pPr>
        <w:spacing w:after="70" w:line="250" w:lineRule="auto"/>
      </w:pPr>
      <w:r>
        <w:t>Für jede Übergabe vereinbaren wir Ansprechpartner, technische Annahmen und einen Weg für Änderungen. Der Betreiber kann sein Netzwerk unabhängig ändern; ein Zulieferer kann eine Firmware aktualisieren. Wir halten deshalb einen gemeinsamen Konfigurationsstand fest, auch wenn die einzelnen Systeme unterschiedliche Lebenszyklen haben. Die Herstellerverantwortung für das eigene Produkt bleibt bestehen.</w:t>
      </w:r>
    </w:p>
    <w:p>
      <w:pPr>
        <w:pStyle w:val="Heading2"/>
      </w:pPr>
      <w:r>
        <w:t>Normen als Wegweiser verwenden</w:t>
      </w:r>
    </w:p>
    <w:p>
      <w:pPr>
        <w:spacing w:after="70" w:line="250" w:lineRule="auto"/>
      </w:pPr>
      <w:r>
        <w:t>Die Tabelle ordnet Normen den Nachweisfragen zu. Anwendbarkeit und Detailanforderungen werden im Normenprozess geprüft; hier wurden nur öffentliche Katalogbeschreibungen ausgewertet.</w:t>
      </w:r>
    </w:p>
    <w:tbl>
      <w:tblPr>
        <w:tblW w:type="dxa" w:w="9792"/>
        <w:jc w:val="center"/>
        <w:tblLayout w:type="fixed"/>
        <w:tblLook w:firstColumn="1" w:firstRow="1" w:lastColumn="0" w:lastRow="0" w:noHBand="0" w:noVBand="1" w:val="04A0"/>
      </w:tblPr>
      <w:tblGrid>
        <w:gridCol w:w="4032"/>
        <w:gridCol w:w="4464"/>
        <w:gridCol w:w="1296"/>
      </w:tblGrid>
      <w:tr>
        <w:trPr>
          <w:cantSplit/>
          <w:tblHeader/>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Dokument oder Rahmen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Leitfrage</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Kapitel</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IEC 60601-1 und zutreffende besondere Teile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Basissicherheit und wesentlichen Leistungsmerkmale müssen erhalten bleiben</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7 12 16 17</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IEC 60601-2-54 [N21]</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besonderen Anforderungen betreffen Radiographie und Radioskopie</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7 16 17</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IEC 60601-1-2 [N28]</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Störfestigkeit und Emissionen werden im Hinblick auf Basissicherheit und wesentliche Leistungsmerkmale geprüft</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12 16</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IEC 62366-1 [N29]</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werden sicherheitsrelevante Bedienhandlungen und Gebrauchstauglichkeit analysiert und geprüft</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8 19</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ISO 14971</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Funktionsverluste können zu unvertretbaren Risiken führen</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8 9 17</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IEC 62304 und IEC 81001-5-1</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werden Software und Security im Lebenszyklus behandelt</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13 17</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IEC 80001-1</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werden Risiken vernetzter Gesundheits IT zwischen Beteiligten behandelt</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3 5 16</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ISO/IEC/IEEE 15288 und 21839</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Lebenszyklusprozesse und übergreifenden Systembeziehungen sind relevant</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2 3 6</w:t>
            </w:r>
          </w:p>
        </w:tc>
      </w:tr>
      <w:tr>
        <w:trPr>
          <w:cantSplit/>
        </w:trPr>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MDR Überwachung nach dem Inverkehrbringen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fließen Feldinformationen in die Produktbewertung zurück</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18 19</w:t>
            </w:r>
          </w:p>
        </w:tc>
      </w:tr>
    </w:tbl>
    <w:p>
      <w:pPr>
        <w:spacing w:after="70" w:before="40" w:line="250" w:lineRule="auto"/>
      </w:pPr>
    </w:p>
    <w:p>
      <w:pPr>
        <w:spacing w:after="70" w:line="250" w:lineRule="auto"/>
      </w:pPr>
      <w:r>
        <w:t xml:space="preserve">Aktuelle Fassungen, Änderungen und geltende Übernahmen werden im Normenprozess geprüft. </w:t>
      </w:r>
      <w:hyperlink w:anchor="source_N22">
        <w:r>
          <w:rPr>
            <w:color w:val="18364A"/>
          </w:rPr>
          <w:t xml:space="preserve">[N22]</w:t>
        </w:r>
      </w:hyperlink>
      <w:r>
        <w:t xml:space="preserve"> </w:t>
      </w:r>
      <w:hyperlink w:anchor="source_N23">
        <w:r>
          <w:rPr>
            <w:color w:val="18364A"/>
          </w:rPr>
          <w:t xml:space="preserve">[N23]</w:t>
        </w:r>
      </w:hyperlink>
      <w:r>
        <w:t xml:space="preserve"> </w:t>
      </w:r>
      <w:hyperlink w:anchor="source_N24">
        <w:r>
          <w:rPr>
            <w:color w:val="18364A"/>
          </w:rPr>
          <w:t xml:space="preserve">[N24]</w:t>
        </w:r>
      </w:hyperlink>
      <w:r>
        <w:t xml:space="preserve"> </w:t>
      </w:r>
      <w:hyperlink w:anchor="source_N25">
        <w:r>
          <w:rPr>
            <w:color w:val="18364A"/>
          </w:rPr>
          <w:t xml:space="preserve">[N25]</w:t>
        </w:r>
      </w:hyperlink>
      <w:r>
        <w:t xml:space="preserve"> </w:t>
      </w:r>
      <w:hyperlink w:anchor="source_N26">
        <w:r>
          <w:rPr>
            <w:color w:val="18364A"/>
          </w:rPr>
          <w:t xml:space="preserve">[N26]</w:t>
        </w:r>
      </w:hyperlink>
    </w:p>
    <w:p>
      <w:pPr>
        <w:pStyle w:val="Heading2"/>
      </w:pPr>
      <w:r>
        <w:t>So gehen wir vor</w:t>
      </w:r>
    </w:p>
    <w:p>
      <w:pPr>
        <w:pStyle w:val="ListBullet"/>
        <w:spacing w:after="70" w:line="250" w:lineRule="auto"/>
      </w:pPr>
      <w:r>
        <w:t>Lebenszyklusphasen einschließlich Lagerung, Transport und Service auflisten.</w:t>
      </w:r>
    </w:p>
    <w:p>
      <w:pPr>
        <w:pStyle w:val="ListBullet"/>
        <w:spacing w:after="70" w:line="250" w:lineRule="auto"/>
      </w:pPr>
      <w:r>
        <w:t>Pro Nachweis eine verantwortliche Rolle und einen akzeptierenden Empfänger benennen.</w:t>
      </w:r>
    </w:p>
    <w:p>
      <w:pPr>
        <w:pStyle w:val="ListBullet"/>
        <w:spacing w:after="70" w:line="250" w:lineRule="auto"/>
      </w:pPr>
      <w:r>
        <w:t>Übergaben mit Inhalt, Version und Einsatzgrenzen definieren.</w:t>
      </w:r>
    </w:p>
    <w:p>
      <w:pPr>
        <w:pStyle w:val="ListBullet"/>
        <w:spacing w:after="70" w:line="250" w:lineRule="auto"/>
      </w:pPr>
      <w:r>
        <w:t>Supplier-Evidenz, Integrationsnachweise und Feldauswertung getrennt planen und verknüpfen.</w:t>
      </w:r>
    </w:p>
    <w:p>
      <w:pPr>
        <w:pStyle w:val="ListBullet"/>
        <w:spacing w:after="70" w:line="250" w:lineRule="auto"/>
      </w:pPr>
      <w:r>
        <w:t>Eskalationswege für Lücken, Änderungen und kritische Fehlerfälle vereinbaren.</w:t>
      </w:r>
    </w:p>
    <w:p>
      <w:pPr>
        <w:pStyle w:val="ListBullet"/>
        <w:spacing w:after="70" w:line="250" w:lineRule="auto"/>
      </w:pPr>
      <w:r>
        <w:t>Für jede Übergabe Bereich A, B oder C und anwendbare Normen festhalten.</w:t>
      </w:r>
    </w:p>
    <w:p>
      <w:pPr>
        <w:spacing w:after="70" w:line="250" w:lineRule="auto"/>
      </w:pPr>
      <w:r>
        <w:t>Das Ergebnis ist ein abgestimmter Zuverlässigkeitsplan. Ein bloßes Zertifikat ohne Bezug zur gelieferten Variante ist keine ausreichende technische Übergabe. Vertragliche Verantwortung und die Eignung eines konkreten Nachweises sind unterschiedliche Fragen.</w:t>
      </w:r>
    </w:p>
    <w:p>
      <w:pPr>
        <w:pStyle w:val="Heading2"/>
        <w:keepNext/>
      </w:pPr>
      <w:r>
        <w:t>Übung</w:t>
      </w:r>
    </w:p>
    <w:p>
      <w:pPr>
        <w:spacing w:after="70" w:line="250" w:lineRule="auto"/>
      </w:pPr>
      <w:r>
        <w:t>Eine Waschmaschine wird in einen engen Schrank eingebaut und vibriert dort stärker als freistehend. Welche Nachweise gehören zum Gerätehersteller, welche zur Einbaubewertung?</w:t>
      </w:r>
    </w:p>
    <w:p>
      <w:bookmarkStart w:id="8" w:name="chapter_3"/>
      <w:pPr>
        <w:pStyle w:val="Heading1"/>
        <w:pageBreakBefore/>
      </w:pPr>
      <w:r>
        <w:t>3 Systemgrenzen und Wechselwirkungen modellieren</w:t>
      </w:r>
      <w:bookmarkEnd w:id="8"/>
    </w:p>
    <w:p>
      <w:pPr>
        <w:pStyle w:val="Caption"/>
        <w:spacing w:after="70" w:line="250" w:lineRule="auto"/>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1">
        <w:r>
          <w:rPr>
            <w:color w:val="18364A"/>
          </w:rPr>
          <w:t xml:space="preserve">[Q01]</w:t>
        </w:r>
      </w:hyperlink>
      <w:r>
        <w:t xml:space="preserve"> </w:t>
      </w:r>
      <w:hyperlink w:anchor="source_Q07">
        <w:r>
          <w:rPr>
            <w:color w:val="18364A"/>
          </w:rPr>
          <w:t xml:space="preserve">[Q07]</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pPr>
      <w:r>
        <w:t>Die Grenze hängt von der Frage ab</w:t>
      </w:r>
    </w:p>
    <w:p>
      <w:pPr>
        <w:spacing w:after="70" w:line="250" w:lineRule="auto"/>
      </w:pPr>
      <w:r>
        <w:t>Betrachten wir eine Waschmaschine, ist das gesamte Gerät unser System. Wasseranschluss, Stromnetz, Nutzer und Fußboden gehören zur Umgebung. Untersuchen wir nur ihre Pumpe, werden Trommel, Steuerung und Schläuche ebenfalls zu ihrer Umgebung. Das Bauteil ist unverändert; die betrachtete Grenze hat sich geändert.</w:t>
      </w:r>
    </w:p>
    <w:p>
      <w:pPr>
        <w:spacing w:after="70" w:line="250" w:lineRule="auto"/>
      </w:pPr>
      <w:r>
        <w:t>Dieses gewählte Untersuchungsobjekt nennen wir System of Interest. Seine Grenze trennt, was wir zunächst intern modellieren, von dem, was als äußere Einwirkung oder Schnittstelle beschrieben wird. Eine Grenze darf deshalb nicht nur aus der Stückliste übernommen werden. Sie muss zur Bewertungsfrage passen.</w:t>
      </w:r>
    </w:p>
    <w:p>
      <w:pPr>
        <w:pStyle w:val="Heading2"/>
      </w:pPr>
      <w:r>
        <w:t>Zwei Grenzen und die mögliche Sicht als System of Systems</w:t>
      </w:r>
    </w:p>
    <w:p>
      <w:pPr>
        <w:spacing w:after="70" w:line="250" w:lineRule="auto"/>
      </w:pPr>
      <w:r>
        <w:t xml:space="preserve">Mehrere Subsysteme machen ein Gerät noch nicht zu einem System of Systems, kurz SoS. Entscheidend sind insbesondere eigenständige operative Zwecke und eigenständige Führung der beteiligten Systeme. Räumliche Verteilung, Weiterentwicklung und Verhalten aus dem Zusammenspiel ergänzen diese Betrachtung. Ein Detektor wird nicht allein dadurch operativ unabhängig, dass er in mehreren Räumen eingesetzt werden kann. </w:t>
      </w:r>
      <w:hyperlink w:anchor="source_Q22">
        <w:r>
          <w:rPr>
            <w:color w:val="18364A"/>
          </w:rPr>
          <w:t xml:space="preserve">[Q22]</w:t>
        </w:r>
      </w:hyperlink>
    </w:p>
    <w:p>
      <w:pPr>
        <w:spacing w:after="70" w:line="250" w:lineRule="auto"/>
      </w:pPr>
      <w:r>
        <w:t xml:space="preserve">Innerhalb der Produktgrenze zerlegen wir das Röntgengerät rekursiv in Subsysteme und Komponenten. Im hier betrachteten Produkt sind Detektor und Generator Subsysteme; räumliche Mobilität macht sie noch nicht zu eigenständigen Systemen eines SoS. Betrachten wir dagegen den Untersuchungsablauf mit Gerät, Auftragsverwaltung, Archiv und Betreiber-IT, kann die SoS-Sicht passen. Ein Archiv bedient weitere Modalitäten und verfolgt eigene Betriebs- und Änderungsziele. Wir begründen die Einordnung am gewählten Untersuchungsobjekt. ISO/IEC/IEEE 21839 behandelt SoS-Beziehungen im Lebenszyklus eines beteiligten Systems. </w:t>
      </w:r>
      <w:hyperlink w:anchor="source_N25">
        <w:r>
          <w:rPr>
            <w:color w:val="18364A"/>
          </w:rPr>
          <w:t xml:space="preserve">[N25]</w:t>
        </w:r>
      </w:hyperlink>
    </w:p>
    <w:p>
      <w:bookmarkStart w:id="9" w:name="diagram_D"/>
      <w:pPr>
        <w:keepNext/>
        <w:spacing w:after="70" w:line="250" w:lineRule="auto"/>
        <w:jc w:val="center"/>
      </w:pPr>
      <w:r>
        <w:drawing>
          <wp:inline xmlns:a="http://schemas.openxmlformats.org/drawingml/2006/main" xmlns:pic="http://schemas.openxmlformats.org/drawingml/2006/picture">
            <wp:extent cx="5943600" cy="4259162"/>
            <wp:docPr id="4" name="Picture 4" descr="Schaubild D Produktgrenze und Untersuchungsablauf"/>
            <wp:cNvGraphicFramePr>
              <a:graphicFrameLocks noChangeAspect="1"/>
            </wp:cNvGraphicFramePr>
            <a:graphic>
              <a:graphicData uri="http://schemas.openxmlformats.org/drawingml/2006/picture">
                <pic:pic>
                  <pic:nvPicPr>
                    <pic:cNvPr id="0" name="D.png"/>
                    <pic:cNvPicPr/>
                  </pic:nvPicPr>
                  <pic:blipFill>
                    <a:blip r:embed="rId14"/>
                    <a:stretch>
                      <a:fillRect/>
                    </a:stretch>
                  </pic:blipFill>
                  <pic:spPr>
                    <a:xfrm>
                      <a:off x="0" y="0"/>
                      <a:ext cx="5943600" cy="4259162"/>
                    </a:xfrm>
                    <a:prstGeom prst="rect"/>
                  </pic:spPr>
                </pic:pic>
              </a:graphicData>
            </a:graphic>
          </wp:inline>
        </w:drawing>
      </w:r>
      <w:bookmarkEnd w:id="9"/>
    </w:p>
    <w:p>
      <w:pPr>
        <w:pStyle w:val="Caption"/>
        <w:spacing w:after="70" w:line="250" w:lineRule="auto"/>
      </w:pPr>
      <w:r>
        <w:t>Schaubild D Produktgrenze und Untersuchungsablauf  Eigene Darstellung für den beschriebenen Lehrfall.</w:t>
      </w:r>
    </w:p>
    <w:p>
      <w:pPr>
        <w:spacing w:after="70" w:line="250" w:lineRule="auto"/>
      </w:pPr>
      <w:r>
        <w:t>Das vereinfachte Funktionsbild trennt Produktgrenze und Ablaufgrenze. Der Expositionspfad schließt den Strahler ein; weitere Subsysteme wie Bildverarbeitung und Positionierung sind hier nicht gesondert gezeichnet. Der Hersteller kann viele innere Übergaben gestalten, aber Änderungen des Betreiberarchivs nur abstimmen. Prüfungen an diesen Übergaben bleiben erforderlich. Evidenzübernahme, Schnittstellenvereinbarung und Integrationsprüfung haben jeweils eine eigene Aufgabe.</w:t>
      </w:r>
    </w:p>
    <w:p>
      <w:pPr>
        <w:spacing w:after="70" w:line="250" w:lineRule="auto"/>
      </w:pPr>
      <w:r>
        <w:t>Für den SoS-Steckbrief ergänzen wir die beteiligten Systeme, ihre eigenen Zwecke, Verantwortlichen und Änderungswege. Ob eine zentrale Stelle Änderungen durchsetzen kann oder Kooperation benötigt, wird konkret dokumentiert. Eine pauschale Einordnung jedes Röntgenablaufs als anerkanntes oder kollaboratives SoS hilft weniger als eine klare Beschreibung der tatsächlichen Befugnisse.</w:t>
      </w:r>
    </w:p>
    <w:p>
      <w:pPr>
        <w:pStyle w:val="Heading2"/>
      </w:pPr>
      <w:r>
        <w:t>Schnittstellen und zusätzliche Einwirkungen</w:t>
      </w:r>
    </w:p>
    <w:p>
      <w:pPr>
        <w:spacing w:after="70" w:line="250" w:lineRule="auto"/>
      </w:pPr>
      <w:r>
        <w:t>Beabsichtigte Inputs sind beispielsweise Aufträge, elektrische Energie, Daten oder Material. Beabsichtigte Outputs sind die geforderte Leistung oder Information. Zusätzlich wirken Umweltbedingungen auf das System ein: Temperatur, Feuchte, mechanische Belastung oder elektromagnetische Störung. Das System wirkt seinerseits auf die Umgebung, etwa durch Abwärme, Kräfte oder Emissionen.</w:t>
      </w:r>
    </w:p>
    <w:p>
      <w:pPr>
        <w:spacing w:after="70" w:line="250" w:lineRule="auto"/>
      </w:pPr>
      <w:r>
        <w:t>Die Abgrenzung in Schaubild B hilft, diese Beziehungen sichtbar zu machen. Eine Leitung kann zugleich gewünschte Daten übertragen und unerwünschte Störungen einkoppeln. Die Einteilung ist eine analytische Hilfe, keine Behauptung, dass gewollte und ungewollte Vorgänge physikalisch getrennt stattfinden.</w:t>
      </w:r>
    </w:p>
    <w:p>
      <w:pPr>
        <w:spacing w:after="70" w:line="250" w:lineRule="auto"/>
      </w:pPr>
      <w:r>
        <w:t>Beim Wasserkocher sind Wasser und elektrische Energie beabsichtigte Inputs, warmes Wasser ist ein beabsichtigter Output. Raumtemperatur und Kalkbelastung beeinflussen ihn. Abwärme und Dampf wirken nach außen. Ein reines Blockbild mit dem Pfeil „Strom hinein und heißes Wasser hinaus“ würde wichtige Belastungen übersehen.</w:t>
      </w:r>
    </w:p>
    <w:p>
      <w:pPr>
        <w:pStyle w:val="Heading2"/>
      </w:pPr>
      <w:r>
        <w:t>Zustand und Vorgeschichte ergänzen die Schnittstelle</w:t>
      </w:r>
    </w:p>
    <w:p>
      <w:pPr>
        <w:spacing w:after="70" w:line="250" w:lineRule="auto"/>
      </w:pPr>
      <w:r>
        <w:t>Dasselbe Inputsignal kann unterschiedliche Wirkungen haben. Der Einschaltknopf einer Waschmaschine startet je nach Zustand ein Programm, setzt es fort oder wird gesperrt. Für die Zuverlässigkeitsanalyse brauchen wir deshalb Betriebsarten, Zustände und Übergänge. Zur Vorgeschichte gehören beispielsweise Temperatur, kumulierte Last und bereits empfangene Befehle.</w:t>
      </w:r>
    </w:p>
    <w:p>
      <w:pPr>
        <w:spacing w:after="70" w:line="250" w:lineRule="auto"/>
      </w:pPr>
      <w:r>
        <w:t>Ein Detektor kann ein Bereitschaftssignal senden und kurze Zeit später in einen anderen Zustand wechseln. Ein Empfänger, der nur den letzten Wert kennt, muss zusätzlich wissen, ob er noch gültig ist. Signalwert, Zeit und Zustand gehören gemeinsam zur Schnittstellenbeschreibung. Auch Rückkopplungen sind wichtig: Eine Kühlungsregelung verändert die Temperatur, die wiederum die Regelung beeinflusst.</w:t>
      </w:r>
    </w:p>
    <w:p>
      <w:pPr>
        <w:pStyle w:val="Heading2"/>
      </w:pPr>
      <w:r>
        <w:t>Rekursive Zerlegung am Röntgensystem</w:t>
      </w:r>
    </w:p>
    <w:p>
      <w:pPr>
        <w:spacing w:after="70" w:line="250" w:lineRule="auto"/>
      </w:pPr>
      <w:r>
        <w:t>Zuerst grenzen wir das Gesamtsystem ab. Danach wählen wir beispielsweise den Detektor als neues Untersuchungsobjekt. Seine Umgebung enthält nun Generator, Steuerung, Einbau, Stromversorgung, Kommunikation und Strahlungsfeld. Innerhalb des Detektors können Sensorik, Elektronik und Firmware erneut betrachtet werden. Auf jeder Ebene stellen wir dieselben Fragen nach Funktion, I/O, Belastung, Zuständen und Wirkungen.</w:t>
      </w:r>
    </w:p>
    <w:p>
      <w:pPr>
        <w:spacing w:after="70" w:line="250" w:lineRule="auto"/>
      </w:pPr>
      <w:r>
        <w:t>Die Zerlegung schafft Ordnung, aber keine automatische Unabhängigkeit. Zwei Subsysteme können ein Netzteil, eine Kühlung oder einen Kommunikationskanal teilen. Ein Umweltproblem kann mehrere Elemente gleichzeitig treffen. Diese Kopplungen werden beim Herunterbrechen erhalten und in Kapitel 9 bewertet.</w:t>
      </w:r>
    </w:p>
    <w:p>
      <w:pPr>
        <w:pStyle w:val="Heading2"/>
      </w:pPr>
      <w:r>
        <w:t>Einen Systemsteckbrief erstellen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Beispiel am Detektor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Grenze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liegt innerhalb und außerhalb</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Detektormodul innen, Systemsteuerung außen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Leistung wird erwartet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Bilddaten innerhalb definierter Grenzen bereitstellen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Inputs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Flüsse werden benötigt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Versorgung, Steuerung, Exposition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Outputs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Was wird abgegeben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Bilddaten, Status und Abwärme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Einwirkungen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verändert Bedingungen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Einbauwärme, Strahlung und mechanische Last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Zustände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Wann gilt welcher Vertrag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Start, bereit, Aufnahme, Auslesen und Fehler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Eigener Zweck</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Leistung erfüllt das Element außerhalb unseres Ablaufs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Beim Detektormodul nicht eigenständig belegt; beim Archiv auch Speicherung für andere Modalitäten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Änderungsbefugnis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Wer kann eine Änderung beschließen und durchsetzen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Hersteller beim Gerät, Betreiber oder Dritthersteller beim Archiv</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Änderungsweg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erfahren andere Beteiligte von einer Änderung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Versionsmeldung, Wirkungsanalyse und abgestimmter Kompatibilitätsnachweis</w:t>
            </w:r>
          </w:p>
        </w:tc>
      </w:tr>
    </w:tbl>
    <w:p>
      <w:pPr>
        <w:spacing w:after="70" w:before="40" w:line="250" w:lineRule="auto"/>
      </w:pPr>
    </w:p>
    <w:p>
      <w:pPr>
        <w:pStyle w:val="Heading2"/>
      </w:pPr>
      <w:r>
        <w:t>So gehen wir vor</w:t>
      </w:r>
    </w:p>
    <w:p>
      <w:pPr>
        <w:pStyle w:val="ListBullet"/>
        <w:spacing w:after="70" w:line="250" w:lineRule="auto"/>
      </w:pPr>
      <w:r>
        <w:t>Eine konkrete Bewertungsfrage formulieren und die Systemgrenze zeichnen.</w:t>
      </w:r>
    </w:p>
    <w:p>
      <w:pPr>
        <w:pStyle w:val="ListBullet"/>
        <w:spacing w:after="70" w:line="250" w:lineRule="auto"/>
      </w:pPr>
      <w:r>
        <w:t>Alle Energie-, Informations- und Stoffflüsse an der Grenze sammeln.</w:t>
      </w:r>
    </w:p>
    <w:p>
      <w:pPr>
        <w:pStyle w:val="ListBullet"/>
        <w:spacing w:after="70" w:line="250" w:lineRule="auto"/>
      </w:pPr>
      <w:r>
        <w:t>Umwelt- und Rückwirkungen ergänzen, einschließlich gemeinsam genutzter Ressourcen.</w:t>
      </w:r>
    </w:p>
    <w:p>
      <w:pPr>
        <w:pStyle w:val="ListBullet"/>
        <w:spacing w:after="70" w:line="250" w:lineRule="auto"/>
      </w:pPr>
      <w:r>
        <w:t>Für jeden relevanten Fluss Richtung, Einheit, Timing, Gültigkeit und Grenzwerte beschreiben.</w:t>
      </w:r>
    </w:p>
    <w:p>
      <w:pPr>
        <w:pStyle w:val="ListBullet"/>
        <w:spacing w:after="70" w:line="250" w:lineRule="auto"/>
      </w:pPr>
      <w:r>
        <w:t>Zustände und Vorgeschichte aufnehmen und die Betrachtung bei Bedarf im Subsystem wiederholen.</w:t>
      </w:r>
    </w:p>
    <w:p>
      <w:pPr>
        <w:pStyle w:val="ListBullet"/>
        <w:spacing w:after="70" w:line="250" w:lineRule="auto"/>
      </w:pPr>
      <w:r>
        <w:t>Produktgrenze und Ablaufgrenze getrennt zeichnen; eigene Zwecke, Änderungsbefugnisse und Änderungswege dokumentieren.</w:t>
      </w:r>
    </w:p>
    <w:p>
      <w:pPr>
        <w:spacing w:after="70" w:line="250" w:lineRule="auto"/>
      </w:pPr>
      <w:r>
        <w:t>Das Ergebnis ist ein überprüfbarer Systemsteckbrief. Wenn eine Schnittstelle keinen verantwortlichen Besitzer hat, ist die Modellierung noch nicht abgeschlossen. Ein häufiges Problem ist, Wärme oder Erdung als bloße Randnotiz zu behandeln, obwohl sie die Funktion maßgeblich beeinflussen.</w:t>
      </w:r>
    </w:p>
    <w:p>
      <w:pPr>
        <w:pStyle w:val="Heading2"/>
        <w:keepNext/>
      </w:pPr>
      <w:r>
        <w:t>Übung</w:t>
      </w:r>
    </w:p>
    <w:p>
      <w:pPr>
        <w:spacing w:after="70" w:line="250" w:lineRule="auto"/>
      </w:pPr>
      <w:r>
        <w:t>Grenze einen Kühlschrank erst als Gesamtsystem und danach nur seinen Kompressor ab. Welche zuvor internen Elemente werden beim zweiten Blick zur Umgebung?</w:t>
      </w:r>
    </w:p>
    <w:p>
      <w:pPr>
        <w:pStyle w:val="Heading2"/>
        <w:keepNext/>
      </w:pPr>
      <w:r>
        <w:t>Vertiefungsübung</w:t>
      </w:r>
    </w:p>
    <w:p>
      <w:pPr>
        <w:spacing w:after="70" w:line="250" w:lineRule="auto"/>
      </w:pPr>
      <w:r>
        <w:t>Ein mobiler Detektor wird zwischen zwei Räumen getauscht. Reicht das aus, um ihn als eigenständiges System eines SoS einzuordnen? Welche Angaben fehlen?</w:t>
      </w:r>
    </w:p>
    <w:p>
      <w:bookmarkStart w:id="10" w:name="chapter_4"/>
      <w:pPr>
        <w:pStyle w:val="Heading1"/>
        <w:pageBreakBefore/>
      </w:pPr>
      <w:r>
        <w:t>4 Use Cases und Nutzungsprofile beschreiben</w:t>
      </w:r>
      <w:bookmarkEnd w:id="10"/>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6">
        <w:r>
          <w:rPr>
            <w:color w:val="18364A"/>
          </w:rPr>
          <w:t xml:space="preserve">[Q06]</w:t>
        </w:r>
      </w:hyperlink>
      <w:r>
        <w:t xml:space="preserve"> </w:t>
      </w:r>
      <w:hyperlink w:anchor="source_N03">
        <w:r>
          <w:rPr>
            <w:color w:val="18364A"/>
          </w:rPr>
          <w:t xml:space="preserve">[N03]</w:t>
        </w:r>
      </w:hyperlink>
      <w:r>
        <w:t xml:space="preserve"> </w:t>
      </w:r>
      <w:hyperlink w:anchor="source_N12">
        <w:r>
          <w:rPr>
            <w:color w:val="18364A"/>
          </w:rPr>
          <w:t xml:space="preserve">[N12]</w:t>
        </w:r>
      </w:hyperlink>
      <w:r>
        <w:t xml:space="preserve"> </w:t>
      </w:r>
      <w:hyperlink w:anchor="source_N17">
        <w:r>
          <w:rPr>
            <w:color w:val="18364A"/>
          </w:rPr>
          <w:t xml:space="preserve">[N17]</w:t>
        </w:r>
      </w:hyperlink>
      <w:r>
        <w:t xml:space="preserve">  |  </w:t>
      </w:r>
      <w:hyperlink w:anchor="contents">
        <w:r>
          <w:rPr>
            <w:color w:val="18364A"/>
          </w:rPr>
          <w:t xml:space="preserve">Inhalt</w:t>
        </w:r>
      </w:hyperlink>
    </w:p>
    <w:p>
      <w:pPr>
        <w:pStyle w:val="Heading2"/>
      </w:pPr>
      <w:r>
        <w:t>Gleiche Produkte erleben unterschiedliche Belastungen</w:t>
      </w:r>
    </w:p>
    <w:p>
      <w:r>
        <w:t>Zwei identische Fahrräder können nach einem Jahr sehr verschieden aussehen. Eines wurde zweimal im Monat gefahren, das andere täglich bei Regen und mit Gepäck. Die Aussage „ein Jahr Lebensdauer“ beschreibt ihre tatsächliche Nutzung nur unzureichend. Wir brauchen Kilometer, Last, Wetter, Wartung und gegebenenfalls die Zahl bestimmter Bewegungen.</w:t>
      </w:r>
    </w:p>
    <w:p>
      <w:r>
        <w:t>Ein Use Case beschreibt einen Ablauf aus Sicht einer benötigten Leistung. Ein Mission Profile beschreibt die zugehörigen Zustände und Belastungen während einer typischen oder definierten Nutzung. Ein Life Cycle Profile ergänzt Lagerung, Transport, Wartung und weitere Phasen der Lebensgeschichte. Diese Profile verbinden Anforderungen mit realen Prüfbedingungen.</w:t>
      </w:r>
    </w:p>
    <w:p>
      <w:pPr>
        <w:pStyle w:val="Heading2"/>
      </w:pPr>
      <w:r>
        <w:t>Mehrere Nutzungsuhren führen</w:t>
      </w:r>
    </w:p>
    <w:p>
      <w:r>
        <w:t>Für ein Röntgensystem können Kalenderalter, Einschaltstunden, Expositionen, Lastwechsel, Bewegungszyklen und kumulierte Strahlungsbelastung gleichzeitig relevant sein. Jede Größe wird am passenden Ort und mit passender Einheit definiert. Eine kumulierte Dosisangabe ohne Messort und Bestrahlungsbedingungen kann missverständlich sein. Sie darf nicht mit einer Patientendosis gleichgesetzt werden.</w:t>
      </w:r>
    </w:p>
    <w:p>
      <w:r>
        <w:t>Die Röhre erlebt andere Beanspruchungen als ein Detektorkabel. Eine Firmware erlebt bestimmte Zustandsfolgen, während ein Lagerteil chemisch altert. Wir wählen die Nutzungsgröße deshalb anhand des vermuteten Ausfallmechanismus. Bei unbekannten Mechanismen dokumentieren wir mehrere Größen, statt vorschnell nur Betriebsstunden zu sammeln.</w:t>
      </w:r>
    </w:p>
    <w:p>
      <w:pPr>
        <w:pStyle w:val="Heading2"/>
      </w:pPr>
      <w:r>
        <w:t>Eine Untersuchung vom Auftrag bis zum Ergebnis verfolgen</w:t>
      </w:r>
    </w:p>
    <w:p>
      <w:r>
        <w:t>Wir zeichnen einen beispielhaften Ablauf: Auftrag annehmen, Identität und Aufnahmeziel prüfen, Gerät vorbereiten, Aufnahme erzeugen, Bild verarbeiten und Ergebnis bereitstellen. Wenn die gewählte Grenze das Archiv einschließt, gehört die bestätigte Übergabe ebenfalls dazu. Neben der normalen Reihenfolge beschreiben wir Abbruch, Wiederholung und Wiederanlauf.</w:t>
      </w:r>
    </w:p>
    <w:p>
      <w:r>
        <w:t>Ein Auftrag erhält eine eindeutige Kennung. An jedem Übergang fragen wir, ob Inhalt, Kennung, Status und Zeit noch zusammenpassen. Ein spätes Bild kann technisch vollständig sein und trotzdem zum falschen Vorgang gehören. Der Ablauf liefert daher Eingaben für die Schnittstellen-FMEA und für die Integrationstests.</w:t>
      </w:r>
    </w:p>
    <w:p>
      <w:r>
        <w:t>Für die Abschlussquote zählen wir eindeutig definierte begonnene Untersuchungen und deren Endzustand. Wiederholungsaufnahmen innerhalb derselben Untersuchung werden zusätzlich gezählt und nicht als neue erfolgreiche Untersuchung versteckt. Technisch verursachte Wiederholungen, geplante Mehrfachaufnahmen und klinisch veranlasste Wiederholungen werden getrennt. Zielwerte folgen aus der Anwendung; das Handbuch gibt keine klinischen Grenzwerte vor.</w:t>
      </w:r>
    </w:p>
    <w:p>
      <w:pPr>
        <w:pStyle w:val="Heading2"/>
      </w:pPr>
      <w:r>
        <w:t>Ein einfaches Lastprofil rechnen</w:t>
      </w:r>
    </w:p>
    <w:p>
      <w:r>
        <w:t>Das folgende Lehrbeispiel ist keine Produktanforderung: Ein Kabel wird bei einem Aufnahmeablauf viermal bewegt. Es gibt 80 solche Abläufe pro Arbeitstag und 220 Arbeitstage pro Jahr. Daraus ergeben sich 70.400 Bewegungen pro Jahr und 704.000 Bewegungen in zehn Jahren. Das ist zunächst nur eine Zählung. Biegeradius, Zug, Temperatur und Bewegungsform fehlen noch, um einen Lebensdauerversuch festzulegen.</w:t>
      </w:r>
    </w:p>
    <w:p>
      <w:r>
        <w:t>Ein weiterer Lehrfall zeigt den Unterschied zwischen Mittelwert und Spitzenlast: Eine Kaffeemaschine bereitet über den Tag verteilt 30 Tassen zu. Eine zweite bereitet dieselbe Zahl innerhalb einer halben Stunde zu. Die Gesamtmenge ist gleich; thermische Spitzen, Pausen und Erholung sind unterschiedlich. Bei Röntgenaufnahmen können entsprechend Sequenz und Pausen ebenso wichtig sein wie die Gesamtzahl.</w:t>
      </w:r>
    </w:p>
    <w:p>
      <w:pPr>
        <w:pStyle w:val="Heading2"/>
      </w:pPr>
      <w:r>
        <w:t>Betriebsfälle und Grenzen</w:t>
      </w:r>
    </w:p>
    <w:p>
      <w:r>
        <w:t>Wir beschreiben den häufigen Betrieb, wenig häufige zulässige Fälle und ungünstige zulässige Kombinationen. Auch Start, Abschaltung, Standby, Wiederanlauf, Service und Variantenwechsel können relevante Use Cases sein. Fehlgebrauch und Fehlerfälle werden gesondert bewertet; sie dürfen nicht unbemerkt als Normalbetrieb in dieselbe Statistik eingehen.</w:t>
      </w:r>
    </w:p>
    <w:p>
      <w:r>
        <w:t>Ein ungünstiger zulässiger Fall muss physikalisch möglich und im vorgesehenen Einsatz relevant sein. Die Kombination aller denkbaren Maximalwerte kann unmöglich sein oder eine Schutzfunktion aktivieren, die die Last begrenzt. Solche Abhängigkeiten gehören in das Profil. Ein belastbarer Worst Case ist begründet, nicht einfach eine beliebig große Zahl.</w:t>
      </w:r>
    </w:p>
    <w:p>
      <w:pPr>
        <w:pStyle w:val="Heading2"/>
      </w:pPr>
      <w:r>
        <w:t>Profile am Röntgensystem anwenden</w:t>
      </w:r>
    </w:p>
    <w:p>
      <w:r>
        <w:t>Radiographie kann kurze Expositionen und häufige Positionswechsel enthalten. Fluoroskopische Abläufe können längere aktive Phasen und andere thermische Muster erzeugen. Mammographie kann andere Anforderungen an Positionierung und Mechanik haben. Daraus werden noch keine universellen Prüfschärfen abgeleitet: Varianten, Funktionen und tatsächliche Einsatzdaten entscheiden.</w:t>
      </w:r>
    </w:p>
    <w:p>
      <w:r>
        <w:t>Wenn Felddaten fehlen, trennen wir bekannte Fakten, technische Annahmen und konservative Setzungen. Wir prüfen mehrere plausible Profile und machen deutlich, bei welchem Profil die Aussage gilt. Die Profile müssen auch relevante Kunden mit abweichender Nutzung abdecken.</w:t>
      </w:r>
    </w:p>
    <w:p>
      <w:pPr>
        <w:pStyle w:val="Heading2"/>
      </w:pPr>
      <w:r>
        <w:t>So gehen wir vor</w:t>
      </w:r>
    </w:p>
    <w:p>
      <w:pPr>
        <w:pStyle w:val="ListBullet"/>
      </w:pPr>
      <w:r>
        <w:t>Use Cases mit Startzustand, Ablauf, Erfolgskriterium und Endzustand beschreiben.</w:t>
      </w:r>
    </w:p>
    <w:p>
      <w:pPr>
        <w:pStyle w:val="ListBullet"/>
      </w:pPr>
      <w:r>
        <w:t>Relevante Belastungsgrößen und Nutzungsuhren pro Komponente identifizieren.</w:t>
      </w:r>
    </w:p>
    <w:p>
      <w:pPr>
        <w:pStyle w:val="ListBullet"/>
      </w:pPr>
      <w:r>
        <w:t>Häufigkeiten, Verteilungen, Spitzen und Reihenfolgen erfassen.</w:t>
      </w:r>
    </w:p>
    <w:p>
      <w:pPr>
        <w:pStyle w:val="ListBullet"/>
      </w:pPr>
      <w:r>
        <w:t>Zulässige Grenzkombinationen mit ihren Abhängigkeiten festlegen.</w:t>
      </w:r>
    </w:p>
    <w:p>
      <w:pPr>
        <w:pStyle w:val="ListBullet"/>
      </w:pPr>
      <w:r>
        <w:t>Quellen, Annahmen und Streuung dokumentieren und mit Felddaten aktualisieren.</w:t>
      </w:r>
    </w:p>
    <w:p>
      <w:pPr>
        <w:pStyle w:val="ListBullet"/>
      </w:pPr>
      <w:r>
        <w:t>Begonnene Untersuchungen, Endzustände und Wiederholungen nach einer vereinbarten Zählregel erfassen.</w:t>
      </w:r>
    </w:p>
    <w:p>
      <w:r>
        <w:t>Das Ergebnis sind referenzierte Einsatzprofile. Eine Prüfdauer wird erst anschließend aus dem Nachweisziel und dem Mechanismus abgeleitet. Der Denkfehler „zehn Jahre entsprechen immer einer bestimmten Zahl von Stunden“ ist zu vermeiden.</w:t>
      </w:r>
    </w:p>
    <w:p>
      <w:pPr>
        <w:pStyle w:val="Heading2"/>
        <w:keepNext/>
      </w:pPr>
      <w:r>
        <w:t>Übung</w:t>
      </w:r>
    </w:p>
    <w:p>
      <w:r>
        <w:t>Ein Haustürschloss wird täglich zehnmal betätigt, ein Büroschloss hundertmal. Welche weiteren Angaben brauchst du, bevor du einen gemeinsamen Zehnjahresnachweis planst?</w:t>
      </w:r>
    </w:p>
    <w:p>
      <w:bookmarkStart w:id="11" w:name="chapter_5"/>
      <w:pPr>
        <w:pStyle w:val="Heading1"/>
        <w:pageBreakBefore/>
      </w:pPr>
      <w:r>
        <w:t>5 Funktionsketten und Signalketten zerlegen</w:t>
      </w:r>
      <w:bookmarkEnd w:id="11"/>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1">
        <w:r>
          <w:rPr>
            <w:color w:val="18364A"/>
          </w:rPr>
          <w:t xml:space="preserve">[Q01]</w:t>
        </w:r>
      </w:hyperlink>
      <w:r>
        <w:t xml:space="preserve"> </w:t>
      </w:r>
      <w:hyperlink w:anchor="source_Q07">
        <w:r>
          <w:rPr>
            <w:color w:val="18364A"/>
          </w:rPr>
          <w:t xml:space="preserve">[Q07]</w:t>
        </w:r>
      </w:hyperlink>
      <w:r>
        <w:t xml:space="preserve"> </w:t>
      </w:r>
      <w:hyperlink w:anchor="source_Q08">
        <w:r>
          <w:rPr>
            <w:color w:val="18364A"/>
          </w:rPr>
          <w:t xml:space="preserve">[Q08]</w:t>
        </w:r>
      </w:hyperlink>
      <w:r>
        <w:t xml:space="preserve">  |  </w:t>
      </w:r>
      <w:hyperlink w:anchor="contents">
        <w:r>
          <w:rPr>
            <w:color w:val="18364A"/>
          </w:rPr>
          <w:t xml:space="preserve">Inhalt</w:t>
        </w:r>
      </w:hyperlink>
    </w:p>
    <w:p>
      <w:pPr>
        <w:pStyle w:val="Heading2"/>
      </w:pPr>
      <w:r>
        <w:t>Von der Leistung zu den Bauteilen</w:t>
      </w:r>
    </w:p>
    <w:p>
      <w:r>
        <w:t>Beim Zubereiten von Kaffee werden Wasser bereitgestellt, erwärmt, durch das Kaffeepulver geführt und in die Tasse abgegeben. Das sind Funktionen. Wassertank, Heizung, Pumpe und Ventil sind mögliche Realisierungen. Wenn wir mit der Bauteilliste beginnen, übersehen wir leicht eine Funktion, die nicht eindeutig einem einzigen Teil gehört.</w:t>
      </w:r>
    </w:p>
    <w:p>
      <w:r>
        <w:t>Eine Funktionszerlegung beantwortet, welche Teilfunktionen eine übergeordnete Leistung ermöglichen. Eine Ablaufkette zeigt die Reihenfolge von Aktivitäten. Eine Signalkette zeigt Informationen und ihre Weitergabe. Energie- und Kraftflüsse werden zusätzlich betrachtet. Diese Sichten sind miteinander verknüpft, aber nicht austauschbar.</w:t>
      </w:r>
    </w:p>
    <w:p>
      <w:pPr>
        <w:pStyle w:val="Heading2"/>
      </w:pPr>
      <w:r>
        <w:t>Die Aufnahmefunktion zerlegen</w:t>
      </w:r>
    </w:p>
    <w:p>
      <w:r>
        <w:t>Eine vereinfachte Aufnahmefunktion umfasst Auftrag prüfen, Aufnahmebereitschaft herstellen, Exposition koordinieren, Bildsignal erfassen, Daten auslesen und ein verwendbares Bild bereitstellen. Der tatsächliche Produktablauf kann abweichen. Für jede Teilfunktion beschreiben wir Erfolg und zulässige Abweichung. Dadurch wird später sichtbar, an welcher Stelle ein Aufnahmeabbruch entsteht.</w:t>
      </w:r>
    </w:p>
    <w:p>
      <w:r>
        <w:t>Parallel zum Ablauf stehen verschiedene Ketten: Der Aufnahmeauftrag und die Statusmeldung bilden Informationsflüsse. Versorgung und Exposition sind Energieflüsse. Positionierung und Halterung erzeugen mechanische Beziehungen. Ein Zeitdiagramm ergänzt die Frage, wann sich bestimmte Zustände überlappen müssen. Ein reines Architekturdiagramm beantwortet diese Timingfrage nicht.</w:t>
      </w:r>
    </w:p>
    <w:p>
      <w:pPr>
        <w:pStyle w:val="Heading2"/>
      </w:pPr>
      <w:r>
        <w:t>Ein Schnittstellenvertrag braucht mehr als ein Datenformat</w:t>
      </w:r>
    </w:p>
    <w:p>
      <w:r>
        <w:t>Ein USB-Stecker passt mechanisch, aber ein Kabel kann trotzdem eine benötigte Datenrate oder Versorgungsleistung nicht ermöglichen. Das Alltagsbeispiel zeigt, warum passende Form allein noch keine funktionierende Schnittstelle beweist. Wir beschreiben Inhalt, Einheit, Wertebereich, Zeitverhalten und Fehlerbehandlung.</w:t>
      </w:r>
    </w:p>
    <w:p>
      <w:r>
        <w:t>Für eine Statusmeldung fragen wir: Wer erzeugt sie? Wann wird sie gültig? Wie lange bleibt sie gültig? Gehört sie zum aktuellen Auftrag? Was passiert bei Verlust, Verspätung, Wiederholung oder Neustart? Bei physikalischen Schnittstellen ergänzen wir beispielsweise Spannung, Strom, Impedanz, Bezugspotenzial und thermische Randbedingungen.</w:t>
      </w:r>
    </w:p>
    <w:p>
      <w:pPr>
        <w:pStyle w:val="Heading2"/>
      </w:pPr>
      <w:r>
        <w:t>Eine Kette mit Zuständen verbinden</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Teilfunktion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Erforderlicher Input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Erwarteter Output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Kritische Bedingung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Auftrag annehmen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Gültiger Aufnahmeauftrag</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Bestätigter Auftrag</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Passende Konfiguration und Kennung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Bereitschaft herstellen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Konfiguration und stabile Versorgung</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Gültiger Bereitschaftsstatus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Richtiger Zustand und frische Information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Exposition koordinieren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 und Bereitschaft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Kontrollierte Exposition</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Erforderliche zeitliche Überdeckung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 bereitstellen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Erfasste und ausgelesene Daten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Bild und zugehöriger Status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Vollständigkeit und korrekte Zuordnung</w:t>
            </w:r>
          </w:p>
        </w:tc>
      </w:tr>
    </w:tbl>
    <w:p>
      <w:pPr>
        <w:spacing w:after="40" w:before="40"/>
      </w:pPr>
    </w:p>
    <w:p>
      <w:r>
        <w:t>Diese Tabelle ist ein Lehrmodell, keine fertige Produktspezifikation. Sie führt zur FMEA: Ein verspäteter Bereitschaftsstatus kann auf der lokalen Ebene korrekt aussehen und auf der Systemebene falsch verwendet werden. Deshalb untersuchen wir nicht nur, ob ein Output entsteht, sondern auch, ob er im richtigen Kontext wirksam wird.</w:t>
      </w:r>
    </w:p>
    <w:p>
      <w:pPr>
        <w:pStyle w:val="Heading2"/>
      </w:pPr>
      <w:r>
        <w:t>Annahmen und zugesicherte Leistungen verbinden</w:t>
      </w:r>
    </w:p>
    <w:p>
      <w:r>
        <w:t>Ein Schnittstellenvertrag beschreibt, unter welchen Bedingungen ein Element welche Leistung zusichert. Wir nennen die Bedingungen Annahmen und die zugesagte Leistung Garantie. Diese technische Garantie ist keine Aussage über eine rechtliche Gewährleistung. Ist die Annahme verletzt, muss die vorgesehene Reaktion ebenfalls beschrieben sein.</w:t>
      </w:r>
    </w:p>
    <w:p>
      <w:r>
        <w:t>Beim Detektor lautet eine mögliche Annahme: Der Auftrag ist gültig, der relevante Zustand ist bekannt und die Versorgung liegt im festgelegten Bereich. Die zugesicherte Leistung beschreibt Bilddaten, Auftragskennung, zulässige Verzögerung und Fehlerstatus. Bei einer veralteten Bereitschaftsmeldung darf der Empfänger die Aufnahmefreigabe nicht allein aus dem früheren Wert ableiten. Der Vertrag legt fest, welche zusätzliche Aktualitätsprüfung nötig ist.</w:t>
      </w:r>
    </w:p>
    <w:p>
      <w:r>
        <w:t>Gemeinsam genutzte Ressourcen erhalten eigene Einträge: Versorgung, Kühlung, Netzwerk, Zeitbasis und Speicher. Zwei getrennte Datenpfade sind abhängig, wenn sie denselben Server benötigen. Solche Abhängigkeiten werden in Kapitel 9 und im Integrationsplan weitergeführt.</w:t>
      </w:r>
    </w:p>
    <w:p>
      <w:pPr>
        <w:pStyle w:val="Heading2"/>
      </w:pPr>
      <w:r>
        <w:t>Grenzen und Gegenprüfungen</w:t>
      </w:r>
    </w:p>
    <w:p>
      <w:r>
        <w:t>Funktionsketten sind nicht immer linear. Rückmeldungen, Schleifen und parallele Aktivitäten sind üblich. Eine Schutzfunktion kann den Ablauf bewusst unterbrechen. Wir zeichnen solche Beziehungen explizit. Das Modell muss außerdem zeigen, welche Nebenfunktion eine Hauptfunktion ermöglicht, etwa Kühlung oder Synchronisation.</w:t>
      </w:r>
    </w:p>
    <w:p>
      <w:r>
        <w:t>Ein nützlicher Gegencheck beginnt beim geforderten Systemoutput: Sind alle notwendigen Funktionen enthalten? Ein zweiter beginnt bei jeder Schnittstelle: Gibt es einen Sender, einen Empfänger und einen gemeinsamen Vertrag? Ein dritter betrachtet Fehlerzustände: Ist klar, wie die Kette reagiert, wenn eine Teilfunktion nicht rechtzeitig erfüllt wird?</w:t>
      </w:r>
    </w:p>
    <w:p>
      <w:pPr>
        <w:pStyle w:val="Heading2"/>
      </w:pPr>
      <w:r>
        <w:t>So gehen wir vor</w:t>
      </w:r>
    </w:p>
    <w:p>
      <w:pPr>
        <w:pStyle w:val="ListBullet"/>
      </w:pPr>
      <w:r>
        <w:t>Die übergeordnete Funktion in Teilfunktionen zerlegen, ohne vorschnell ein Bauteil zuzuordnen.</w:t>
      </w:r>
    </w:p>
    <w:p>
      <w:pPr>
        <w:pStyle w:val="ListBullet"/>
      </w:pPr>
      <w:r>
        <w:t>Ablauf, Information, Energie und mechanische Beziehungen getrennt zeichnen.</w:t>
      </w:r>
    </w:p>
    <w:p>
      <w:pPr>
        <w:pStyle w:val="ListBullet"/>
      </w:pPr>
      <w:r>
        <w:t>Die Sichten über gemeinsame IDs verknüpfen.</w:t>
      </w:r>
    </w:p>
    <w:p>
      <w:pPr>
        <w:pStyle w:val="ListBullet"/>
      </w:pPr>
      <w:r>
        <w:t>Zustände, Timing, Rückkopplungen und Schutzreaktionen ergänzen.</w:t>
      </w:r>
    </w:p>
    <w:p>
      <w:pPr>
        <w:pStyle w:val="ListBullet"/>
      </w:pPr>
      <w:r>
        <w:t>Mit einem konkreten Normalfall und einem Fehlerfall durch das Modell gehen.</w:t>
      </w:r>
    </w:p>
    <w:p>
      <w:pPr>
        <w:pStyle w:val="ListBullet"/>
      </w:pPr>
      <w:r>
        <w:t>Für jede Schnittstelle Annahme, Leistungszusage und Reaktion auf eine verletzte Annahme festhalten.</w:t>
      </w:r>
    </w:p>
    <w:p>
      <w:r>
        <w:t>Das Ergebnis ist eine Funktionsstruktur mit Ketten und Schnittstellenverträgen. Sie liefert die Eingabe für Architektur, Anforderungen und FMEA. Modellpflege gehört zur Entwicklung: Ein geändertes Timeout muss im Test und im Schnittstellenmodell denselben Stand haben.</w:t>
      </w:r>
    </w:p>
    <w:p>
      <w:pPr>
        <w:pStyle w:val="Heading2"/>
        <w:keepNext/>
      </w:pPr>
      <w:r>
        <w:t>Übung</w:t>
      </w:r>
    </w:p>
    <w:p>
      <w:r>
        <w:t>Zerlege das Laden eines Smartphones in Funktionen und Flüsse. Warum reicht die Aussage „Ladekabel angeschlossen“ nicht als Nachweis der Ladefunktion?</w:t>
      </w:r>
    </w:p>
    <w:p>
      <w:bookmarkStart w:id="12" w:name="chapter_6"/>
      <w:pPr>
        <w:pStyle w:val="Heading1"/>
        <w:pageBreakBefore/>
      </w:pPr>
      <w:r>
        <w:t>6 Architektur und MBSE verknüpfen</w:t>
      </w:r>
      <w:bookmarkEnd w:id="12"/>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Q07">
        <w:r>
          <w:rPr>
            <w:color w:val="18364A"/>
          </w:rPr>
          <w:t xml:space="preserve">[Q07]</w:t>
        </w:r>
      </w:hyperlink>
      <w:r>
        <w:t xml:space="preserve"> </w:t>
      </w:r>
      <w:hyperlink w:anchor="source_Q09">
        <w:r>
          <w:rPr>
            <w:color w:val="18364A"/>
          </w:rPr>
          <w:t xml:space="preserve">[Q09]</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pPr>
      <w:r>
        <w:t>Eine Funktion kann unterschiedlich realisiert werden</w:t>
      </w:r>
    </w:p>
    <w:p>
      <w:r>
        <w:t>Ein Zimmer kann durch einen Heizkörper, eine Fußbodenheizung oder eine Wärmepumpe mit Luftverteilung warm werden. Die Funktion ist ähnlich, die Architektur unterscheidet sich. Mit der Entscheidung ändern sich Energieversorgung, Regelung, Wartung und mögliche Fehler. Architektur legt damit einen wesentlichen Teil der späteren Zuverlässigkeit fest.</w:t>
      </w:r>
    </w:p>
    <w:p>
      <w:r>
        <w:t>Wir unterscheiden funktionale, logische und physische Sichten. Die funktionale Sicht beschreibt die benötigte Leistung. Die logische Sicht beschreibt die zusammenwirkenden Elemente und ihre Verantwortlichkeiten. Die physische Sicht ordnet diese Aufgaben konkreter Hardware, Software, Firmware und Schnittstellen zu. Eine Funktion kann mehrere Elemente benötigen; ein Element kann mehrere Funktionen tragen.</w:t>
      </w:r>
    </w:p>
    <w:p>
      <w:pPr>
        <w:pStyle w:val="Heading2"/>
      </w:pPr>
      <w:r>
        <w:t>Gemeinsame Ressourcen bewusst betrachten</w:t>
      </w:r>
    </w:p>
    <w:p>
      <w:r>
        <w:t>In einem Haushalt können Kühlschrank und Router an getrennten Steckdosen hängen, aber über denselben Sicherungsstromkreis versorgt werden. Die sichtbare Trennung schützt nicht vor dem Ausfall des gemeinsamen Stromkreises. Im Röntgensystem können entsprechend Netzteil, Kühlung, Taktquelle, Netzwerk oder gemeinsame Softwarebibliothek mehrere Funktionsketten beeinflussen.</w:t>
      </w:r>
    </w:p>
    <w:p>
      <w:r>
        <w:t>Wir fragen deshalb schon bei der Architekturentscheidung, ob eine gemeinsame Ressource sinnvoll ist und wie ihr Ausfall wirkt. Redundanz ist nur dann hilfreich, wenn die erforderliche Funktion im Fehlerfall tatsächlich weiterläuft. Zwei Kommunikationswege nützen wenig, wenn beide denselben fehlerhaften Zustand verwenden oder die Umschaltung nicht funktioniert.</w:t>
      </w:r>
    </w:p>
    <w:p>
      <w:pPr>
        <w:pStyle w:val="Heading2"/>
      </w:pPr>
      <w:r>
        <w:t>Was modellbasiertes Systems Engineering bedeutet</w:t>
      </w:r>
    </w:p>
    <w:p>
      <w:r>
        <w:t>Model Based Systems Engineering, kurz MBSE, verbindet Anforderungen, Funktionen, Architektur, Verhalten, Analysen und Nachweise in nachvollziehbaren Modellen. Der Nutzen liegt in konsistenten Beziehungen, nicht in einer möglichst großen Zahl von Diagrammen. Ein Werkzeug kann diese Pflege unterstützen; es ersetzt weder fachliche Entscheidungen noch geeignete Daten.</w:t>
      </w:r>
    </w:p>
    <w:p>
      <w:r>
        <w:t>Wir können klein beginnen: Ein Use Case bekommt eine ID, die benötigte Funktion eine zweite, die Schnittstelle eine dritte. Eine Anforderung verweist auf diese Beziehungen. Ein Test prüft die Anforderung, und ein Feldfehler verweist auf betroffene Funktionen und Versionen. So lässt sich bei einer Änderung fragen, welche Nachweise betroffen sind. Ein lose abgelegtes Architekturbild ohne verknüpfte IDs und Nachweise lässt diese Rückverfolgung offen.</w:t>
      </w:r>
    </w:p>
    <w:p>
      <w:pPr>
        <w:pStyle w:val="Heading2"/>
      </w:pPr>
      <w:r>
        <w:t>Freigegebene Versionskombinationen beherrschen</w:t>
      </w:r>
    </w:p>
    <w:p>
      <w:r>
        <w:t>Eine Architektur hat auch eine zeitliche Seite: Firmware, Steuerungssoftware, Betriebssystem und Archiv werden weiterentwickelt. Wir halten die erlaubten Kombinationen fest und verbinden sie mit den geprüften Funktionen. Die Tabelle ist ein erfundenes Lehrbeispiel; „Offen“ bedeutet ungeprüft; erst die Bewertung entscheidet über die Eignung.</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Steuerung und Detektor</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Archiv Version A</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Archiv Version B</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Entscheidung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Steuerung 1 und Firmware 1</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Geprüft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Offen</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Nur A freigegeben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Steuerung 2 und Firmware 1</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Geprüft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Geprüft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Beide Kombinationen freigegeben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Steuerung 2 und Firmware 2</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Offen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Geprüft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Nur B freigegeben</w:t>
            </w:r>
          </w:p>
        </w:tc>
      </w:tr>
    </w:tbl>
    <w:p>
      <w:pPr>
        <w:spacing w:after="40" w:before="40"/>
      </w:pPr>
    </w:p>
    <w:p>
      <w:r>
        <w:t>Die Freigabe umfasst Funktionen, Nutzung und Grenzen dieser Kombinationen. Ein Patch kann auch ohne geändertes Datenformat Zeitverhalten oder Ressourcenbedarf verändern. Die Änderungsanalyse prüft deshalb betroffene Verträge und Nachweise.</w:t>
      </w:r>
    </w:p>
    <w:p>
      <w:r>
        <w:t>Bei vielen Varianten können kombinatorische Tests den Umfang begrenzen. Paarweise Abdeckung untersucht alle ausgewählten Zweierkombinationen, erfasst aber nicht jede Wechselwirkung von drei oder mehr Faktoren. Wir ergänzen deshalb risikorelevante Kombinationen, bekannte Fehlerauslöser und Randfälle. Die Auswahl wird begründet; eine reduzierte Testzahl ist keine vollständige Abdeckung.</w:t>
      </w:r>
    </w:p>
    <w:p>
      <w:r>
        <w:t>Rückfallebenen brauchen eine eigene Funktionsbeschreibung. Lokale Bildpufferung muss beispielsweise korrekte Zuordnung, vollständige Übertragung, Duplikaterkennung und geordneten Wiederanlauf sichern. Eine Ersatzfunktion wird erst dann zur belastbaren Reserve, wenn ihr Übergang und ihre Grenzen geprüft sind.</w:t>
      </w:r>
    </w:p>
    <w:p>
      <w:pPr>
        <w:pStyle w:val="Heading2"/>
      </w:pPr>
      <w:r>
        <w:t>Ein Beispiel mit einer geänderten Bereitschaftsmeldung</w:t>
      </w:r>
    </w:p>
    <w:p>
      <w:r>
        <w:t>Ein Detektor erhält neue Firmware. Der Bereitschaftsstatus hat weiterhin dasselbe Datenformat, wird aber in einer anderen Phase zurückgenommen. Mechanisch bleibt der Detektor unverändert. Über das Modell erkennen wir die betroffene Zustandsbeziehung, die Systemanforderung an die Expositionsfreigabe und die zugehörigen Tests. Wir können diese Nachweise gezielt prüfen, statt wahllos jede Komponentenqualifikation zu wiederholen.</w:t>
      </w:r>
    </w:p>
    <w:p>
      <w:r>
        <w:t>Ein Digital Twin kann Teil dieser Arbeit sein. Er ist ein Modell eines relevanten Systemverhaltens, kein automatisch vollständiger Ersatz des realen Produkts. Für jede Verwendung werden Zweck, Eingaben, Modellgrenzen und Abgleich mit der Realität dokumentiert. Ein Timingmodell beweist beispielsweise keine Lötstellenlebensdauer. Ein Modell kann auch denselben Fehler wie die Spezifikation enthalten; unabhängige Gegenprüfungen bleiben nötig.</w:t>
      </w:r>
    </w:p>
    <w:p>
      <w:pPr>
        <w:pStyle w:val="Heading2"/>
      </w:pPr>
      <w:r>
        <w:t>Architekturentscheidungen vergleichen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Entscheidung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Möglicher Vorteil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Zuverlässigkeitsfrage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Gemeinsames Netzteil</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Weniger Teile und einfacherer Aufbau</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Funktionen verlieren gleichzeitig ihre Versorgung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Zwei Datenwege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Alternative Übertragung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Gibt es gemeinsame Ursachen und verlässliche Umschaltung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Zentrale Zustandsverwaltung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Einheitliche Koordination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passiert bei Ausfall oder veralteten Zustandsdaten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Lokale Fehlerbehandlung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Schnelle Reaktion im Subsystem</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Bleiben Systemzustand und andere Subsysteme konsistent</w:t>
            </w:r>
          </w:p>
        </w:tc>
      </w:tr>
    </w:tbl>
    <w:p>
      <w:pPr>
        <w:spacing w:after="40" w:before="40"/>
      </w:pPr>
    </w:p>
    <w:p>
      <w:r>
        <w:t>Die Tabelle liefert Fragen, keine pauschale Rangfolge. Weniger Teile können Ausfallmöglichkeiten reduzieren, eine zentrale Ressource kann aber mehrere Funktionen gleichzeitig beeinträchtigen. Die Bewertung hängt vom geforderten Verhalten und den realen Abhängigkeiten ab.</w:t>
      </w:r>
    </w:p>
    <w:p>
      <w:pPr>
        <w:pStyle w:val="Heading2"/>
      </w:pPr>
      <w:r>
        <w:t>So gehen wir vor</w:t>
      </w:r>
    </w:p>
    <w:p>
      <w:pPr>
        <w:pStyle w:val="ListBullet"/>
      </w:pPr>
      <w:r>
        <w:t>Funktionen und ihre erforderlichen Zustände dokumentieren.</w:t>
      </w:r>
    </w:p>
    <w:p>
      <w:pPr>
        <w:pStyle w:val="ListBullet"/>
      </w:pPr>
      <w:r>
        <w:t>Logische Verantwortlichkeiten und gemeinsame Ressourcen beschreiben.</w:t>
      </w:r>
    </w:p>
    <w:p>
      <w:pPr>
        <w:pStyle w:val="ListBullet"/>
      </w:pPr>
      <w:r>
        <w:t>Aufgaben konkreter Hardware und Software zuordnen.</w:t>
      </w:r>
    </w:p>
    <w:p>
      <w:pPr>
        <w:pStyle w:val="ListBullet"/>
      </w:pPr>
      <w:r>
        <w:t>Anforderungen, Fehleranalysen und Tests mit stabilen IDs verknüpfen.</w:t>
      </w:r>
    </w:p>
    <w:p>
      <w:pPr>
        <w:pStyle w:val="ListBullet"/>
      </w:pPr>
      <w:r>
        <w:t>Bei Änderungen einen betroffenen Modellpfad bis zum Systemoutput verfolgen.</w:t>
      </w:r>
    </w:p>
    <w:p>
      <w:pPr>
        <w:pStyle w:val="ListBullet"/>
      </w:pPr>
      <w:r>
        <w:t>Versionsmatrix führen und Rückfallebenen mit Übergang, Rückkehr und Grenzen spezifizieren.</w:t>
      </w:r>
    </w:p>
    <w:p>
      <w:r>
        <w:t>Das Ergebnis ist eine pflegbare Architektur mit nachvollziehbaren Entscheidungen. Ein Modell sollte nicht mehr Detail enthalten, als für die Entscheidung und seine Pflege sinnvoll ist. Ungeklärte Beziehungen werden sichtbar markiert, nicht durch vermeintlich präzise Diagramme versteckt.</w:t>
      </w:r>
    </w:p>
    <w:p>
      <w:pPr>
        <w:pStyle w:val="Heading2"/>
        <w:keepNext/>
      </w:pPr>
      <w:r>
        <w:t>Übung</w:t>
      </w:r>
    </w:p>
    <w:p>
      <w:r>
        <w:t>Zwei WLAN-Repeater nutzen denselben Router und dieselbe Steckdosenleiste. Welche Fehler werden durch den zweiten Repeater abgefangen und welche nicht?</w:t>
      </w:r>
    </w:p>
    <w:p>
      <w:pPr>
        <w:pStyle w:val="Heading2"/>
        <w:keepNext/>
      </w:pPr>
      <w:r>
        <w:t>Vertiefungsübung</w:t>
      </w:r>
    </w:p>
    <w:p>
      <w:r>
        <w:t>Ein Betreiber meldet ein Archiv-Upgrade auf Version B. Die Kombination Steuerung 1, Firmware 1 und Archiv B steht in der Versionsmatrix auf offen. Was folgt daraus?</w:t>
      </w:r>
    </w:p>
    <w:p>
      <w:bookmarkStart w:id="13" w:name="chapter_7"/>
      <w:pPr>
        <w:pStyle w:val="Heading1"/>
        <w:pageBreakBefore/>
      </w:pPr>
      <w:r>
        <w:t>7 Anforderungen und Zuverlässigkeitsziele ableiten</w:t>
      </w:r>
      <w:bookmarkEnd w:id="13"/>
    </w:p>
    <w:p>
      <w:pPr>
        <w:pStyle w:val="Caption"/>
        <w:spacing w:after="70" w:line="250" w:lineRule="auto"/>
      </w:pPr>
      <w:r>
        <w:t xml:space="preserve">Navigation </w:t>
      </w:r>
      <w:hyperlink w:anchor="diagram_A">
        <w:r>
          <w:rPr>
            <w:color w:val="18364A"/>
          </w:rPr>
          <w:t xml:space="preserve">Schaubild A  </w:t>
        </w:r>
      </w:hyperlink>
      <w:hyperlink w:anchor="diagram_B">
        <w:r>
          <w:rPr>
            <w:color w:val="18364A"/>
          </w:rPr>
          <w:t xml:space="preserve">Schaubild B  </w:t>
        </w:r>
      </w:hyperlink>
      <w:r>
        <w:t xml:space="preserve">|  </w:t>
      </w:r>
      <w:r>
        <w:t xml:space="preserve">Grundlagen </w:t>
      </w:r>
      <w:hyperlink w:anchor="source_N03">
        <w:r>
          <w:rPr>
            <w:color w:val="18364A"/>
          </w:rPr>
          <w:t xml:space="preserve">[N03]</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spacing w:before="160" w:after="80"/>
      </w:pPr>
      <w:r>
        <w:t>Gute Anforderungen ermöglichen eine Entscheidung</w:t>
      </w:r>
    </w:p>
    <w:p>
      <w:pPr>
        <w:spacing w:after="70" w:line="250" w:lineRule="auto"/>
      </w:pPr>
      <w:r>
        <w:t>Die Forderung „ein Regenschirm muss stabil sein“ lässt offen, welche Belastung er aushalten soll. Auch zehn Jahre haltbar ist unvollständig, wenn er einmal pro Jahr oder täglich benutzt werden kann. Eine technische Anforderung nennt eine Funktion, ihre Bedingungen, den zulässigen Leistungsbereich und den Nachweis.</w:t>
      </w:r>
    </w:p>
    <w:p>
      <w:pPr>
        <w:spacing w:after="70" w:line="250" w:lineRule="auto"/>
      </w:pPr>
      <w:r>
        <w:t>Für Zuverlässigkeitsziele kommen Nutzung, Population und Unsicherheit hinzu. Eine Aussage kann beispielsweise den Anteil von Einheiten beschreiben, die eine definierte Nutzung ohne einen festgelegten Funktionsausfall überstehen. Sie ist von der Forderung zu unterscheiden, dass jedes einzelne Muster einen bestimmten Belastungstest ohne Beschädigung bestehen soll. Beide Anforderungen können sinnvoll sein, beantworten aber unterschiedliche Fragen.</w:t>
      </w:r>
    </w:p>
    <w:p>
      <w:pPr>
        <w:pStyle w:val="Heading2"/>
        <w:spacing w:before="160" w:after="80"/>
      </w:pPr>
      <w:r>
        <w:t>Eine vollständige Zuverlässigkeitsforderung</w:t>
      </w:r>
    </w:p>
    <w:p>
      <w:pPr>
        <w:spacing w:after="70" w:line="250" w:lineRule="auto"/>
      </w:pPr>
      <w:r>
        <w:t>Ein ausschließlich didaktisches Beispiel lautet: Mindestens 90 Prozent der betrachteten Kabelpopulation sollen 500.000 festgelegte Bewegungszyklen ohne Verlust der definierten Übertragungsfunktion überstehen; der Nachweis erfolgt mit einem einseitigen Konfidenzniveau von 95 Prozent. Ergänzt werden müssen unter anderem Biegeradius, Bewegungsverlauf, Temperatur, Einbau und Ausfalldefinition. Die Zahlen sind keine Empfehlung für ein Röntgenprodukt.</w:t>
      </w:r>
    </w:p>
    <w:p>
      <w:pPr>
        <w:spacing w:after="70" w:line="250" w:lineRule="auto"/>
      </w:pPr>
      <w:r>
        <w:t>Die statistische Forderung wird in Kapitel 15 geplant. Vorher klären wir, ob 500.000 Zyklen überhaupt zur Anwendung passen. Eine mathematisch saubere Stichprobe rettet keine falsch spezifizierte Nutzung. Ebenso muss feststehen, welche Serienausführung und welche Fertigungsstreuung der Nachweis repräsentiert.</w:t>
      </w:r>
    </w:p>
    <w:p>
      <w:pPr>
        <w:pStyle w:val="Heading2"/>
        <w:spacing w:before="160" w:after="80"/>
      </w:pPr>
      <w:r>
        <w:t>Eine Kennzahl braucht einen klaren Endpunkt</w:t>
      </w:r>
    </w:p>
    <w:p>
      <w:pPr>
        <w:spacing w:after="70" w:line="250" w:lineRule="auto"/>
      </w:pPr>
      <w:r>
        <w:t>Für die Komponentenlebensdauer, die einzelne Aufnahme und die Betriebsbereitschaft verwenden wir unterschiedliche Ziele. Ein gutes Bild pro Aufnahme, wenige Abbrüche pro Untersuchung und geringe Ausfallzeit pro Betriebsmonat sind verschiedene Aussagen. Sie erhalten getrennte Ereignisdefinitionen und passende Nenner.</w:t>
      </w:r>
    </w:p>
    <w:p>
      <w:pPr>
        <w:spacing w:after="70" w:line="250" w:lineRule="auto"/>
      </w:pPr>
      <w:r>
        <w:t xml:space="preserve">Die erwartete Lebensdauer ist eine vom Hersteller für den vorgesehenen Einsatz festgelegte Zeitspanne im Produktkontext. Sie ist weder eine garantierte Überlebenszeit jedes Exemplars noch gleichbedeutend mit MTBF oder B10. Bei medizintechnischen Anforderungen prüfen wir die Bedeutung in den tatsächlich anwendbaren Normen. Wesentliche Leistungsmerkmale und Sicherheitsanforderungen werden mit dem Risikomanagement verknüpft. Die offizielle Beschreibung von IEC 60601-1 bestätigt den Rahmen für Basissicherheit und wesentliche Leistungsmerkmale. </w:t>
      </w:r>
      <w:hyperlink w:anchor="source_N22">
        <w:r>
          <w:rPr>
            <w:color w:val="18364A"/>
          </w:rPr>
          <w:t xml:space="preserve">[N22]</w:t>
        </w:r>
      </w:hyperlink>
    </w:p>
    <w:p>
      <w:pPr>
        <w:pStyle w:val="Heading2"/>
        <w:spacing w:before="160" w:after="80"/>
      </w:pPr>
      <w:r>
        <w:t>Anforderungen auf Ebenen verteilen</w:t>
      </w:r>
    </w:p>
    <w:p>
      <w:pPr>
        <w:spacing w:after="70" w:line="250" w:lineRule="auto"/>
      </w:pPr>
      <w:r>
        <w:t>Wir beginnen bei der Systemfunktion und leiten Bedingungen für Subsysteme, Komponenten und Schnittstellen ab. Ein Systemziel wird nicht einfach allen Komponenten identisch zugewiesen. Komponenten wirken unterschiedlich auf die Funktion, teilen Ressourcen oder übernehmen redundante Aufgaben. Eine erste Zuverlässigkeitsallokation kann die Entwicklung orientieren; sie muss auf einem geeigneten Systemmodell beruhen.</w:t>
      </w:r>
    </w:p>
    <w:p>
      <w:pPr>
        <w:spacing w:after="70" w:line="250" w:lineRule="auto"/>
      </w:pPr>
      <w:r>
        <w:t>Ein Zeitbudget illustriert das Herunterbrechen: Im Lehrbeispiel darf eine Antwort insgesamt 100 Millisekunden benötigen. Auftragserzeugung, Transport, Verarbeitung und Rückmeldung beanspruchen Teile dieses Budgets. Werden jeder Teilfunktion jeweils 100 Millisekunden zugestanden, ist die Systemanforderung nicht abgesichert. Neben der Summe brauchen wir Streuungen, konkurrierende Last und Zustandsübergänge. Unabhängige Maximalwerte dürfen nur kombiniert werden, wenn sie gemeinsam auftreten können.</w:t>
      </w:r>
    </w:p>
    <w:p>
      <w:pPr>
        <w:pStyle w:val="Heading2"/>
        <w:spacing w:before="160" w:after="80"/>
      </w:pPr>
      <w:r>
        <w:t>Anforderungen nach ihrer Aussage unterscheiden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Anforderungsart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Beispielhafte 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Benötigte Ergänzung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und Leistung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Welcher Output muss bereitstehen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Toleranz, Zustand und Erfolgskriterium</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Belastung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Temperatur oder Bewegung tritt auf</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Messort, Verlauf, Dauer und Kombination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Lebensdauer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 welche Nutzung gilt die Funktion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Stunden, Zyklen oder Kalenderzeit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Statistisches Ziel</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Welcher Populationsanteil wird gefordert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Konfidenzniveau, Modell und Repräsentativität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Schnittstelle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interagieren Sender und Empfänger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Timing, Gültigkeit und Fehlerreaktion</w:t>
            </w:r>
          </w:p>
        </w:tc>
      </w:tr>
    </w:tbl>
    <w:p>
      <w:pPr>
        <w:spacing w:after="70" w:before="40" w:line="250" w:lineRule="auto"/>
      </w:pPr>
    </w:p>
    <w:p>
      <w:pPr>
        <w:pStyle w:val="Heading2"/>
        <w:spacing w:before="160" w:after="80"/>
      </w:pPr>
      <w:r>
        <w:t>Nachweisbarkeit früh prüfen</w:t>
      </w:r>
    </w:p>
    <w:p>
      <w:pPr>
        <w:spacing w:after="70" w:line="250" w:lineRule="auto"/>
      </w:pPr>
      <w:r>
        <w:t>Zu jeder Anforderung vereinbaren wir Analyse, Test, Inspektion oder eine begründete Kombination. Vorhandene Supplier-Evidenz kann ein Teil sein. Eine Forderung ohne realistischen Nachweisweg führt oft erst spät zu Diskussionen. Ebenso problematisch ist ein Test ohne klaren Bezug zu einer Anforderung: Es bleibt unklar, welche Aussage ein positives Ergebnis ermöglicht.</w:t>
      </w:r>
    </w:p>
    <w:p>
      <w:pPr>
        <w:spacing w:after="70" w:line="250" w:lineRule="auto"/>
      </w:pPr>
      <w:r>
        <w:t>Im Röntgensystem leiten wir beispielsweise aus der Aufnahmefunktion Anforderungen an Expositionskoordination und Statusgültigkeit ab. Aus dem Nutzungsprofil entstehen thermische und zyklische Belastungen. Aus der Architektur entstehen gemeinsame Ressourcen und Fehlerreaktionen. Anforderungen werden aus diesen Beziehungen begründet und nicht nur aus einem früheren Projekt kopiert.</w:t>
      </w:r>
    </w:p>
    <w:p>
      <w:pPr>
        <w:pStyle w:val="Heading2"/>
        <w:spacing w:before="160" w:after="80"/>
      </w:pPr>
      <w:r>
        <w:t>So gehen wir vor</w:t>
      </w:r>
    </w:p>
    <w:p>
      <w:pPr>
        <w:pStyle w:val="ListBullet"/>
        <w:spacing w:after="70" w:line="250" w:lineRule="auto"/>
      </w:pPr>
      <w:r>
        <w:t>Systemfunktion und Nutzerbedarf in überprüfbare Leistung übersetzen.</w:t>
      </w:r>
    </w:p>
    <w:p>
      <w:pPr>
        <w:pStyle w:val="ListBullet"/>
        <w:spacing w:after="70" w:line="250" w:lineRule="auto"/>
      </w:pPr>
      <w:r>
        <w:t>Einsatzprofil, Geltungsbereich und Ausfalldefinition referenzieren.</w:t>
      </w:r>
    </w:p>
    <w:p>
      <w:pPr>
        <w:pStyle w:val="ListBullet"/>
        <w:spacing w:after="70" w:line="250" w:lineRule="auto"/>
      </w:pPr>
      <w:r>
        <w:t>Funktion, Belastung, Nutzungsumfang und statistisches Ziel getrennt formulieren.</w:t>
      </w:r>
    </w:p>
    <w:p>
      <w:pPr>
        <w:pStyle w:val="ListBullet"/>
        <w:spacing w:after="70" w:line="250" w:lineRule="auto"/>
      </w:pPr>
      <w:r>
        <w:t>Anforderungen über die Architektur auf geeignete Ebenen verteilen.</w:t>
      </w:r>
    </w:p>
    <w:p>
      <w:pPr>
        <w:pStyle w:val="ListBullet"/>
        <w:spacing w:after="70" w:line="250" w:lineRule="auto"/>
      </w:pPr>
      <w:r>
        <w:t>Vor der Freigabe Akzeptanzkriterium, Nachweis und Verantwortlichen festlegen.</w:t>
      </w:r>
    </w:p>
    <w:p>
      <w:pPr>
        <w:pStyle w:val="ListBullet"/>
        <w:spacing w:after="70" w:line="250" w:lineRule="auto"/>
      </w:pPr>
      <w:r>
        <w:t>Endpunkt und Nenner je Kennzahl festlegen; erwartete Lebensdauer getrennt von MTBF und B10 behandeln.</w:t>
      </w:r>
    </w:p>
    <w:p>
      <w:pPr>
        <w:spacing w:after="70" w:line="250" w:lineRule="auto"/>
      </w:pPr>
      <w:r>
        <w:t>Das Ergebnis ist ein prüfbarer Anforderungssatz. Typische Denkfehler sind zuverlässig ohne Messgröße, lange Lebensdauer ohne Profil und ein Konfidenzniveau ohne benannte Bezugsgröße. Beim Supplier müssen dieselben Begriffe und Einheiten gelten wie auf der Systemseite.</w:t>
      </w:r>
    </w:p>
    <w:p>
      <w:pPr>
        <w:pStyle w:val="Heading2"/>
        <w:keepNext/>
        <w:spacing w:before="160" w:after="80"/>
      </w:pPr>
      <w:r>
        <w:t>Übung</w:t>
      </w:r>
    </w:p>
    <w:p>
      <w:pPr>
        <w:spacing w:after="70" w:line="250" w:lineRule="auto"/>
      </w:pPr>
      <w:r>
        <w:t>Verbessere die Forderung „der Laptopakku soll lange halten“. Unterscheide Laufzeit pro Ladung, Ladezyklen, Kalenderalter und statistischen Populationsanteil.</w:t>
      </w:r>
    </w:p>
    <w:p>
      <w:bookmarkStart w:id="14" w:name="chapter_8"/>
      <w:pPr>
        <w:pStyle w:val="Heading1"/>
        <w:pageBreakBefore/>
      </w:pPr>
      <w:r>
        <w:t>8 FMEA aus Funktionen und Schnittstellen ableiten</w:t>
      </w:r>
      <w:bookmarkEnd w:id="14"/>
    </w:p>
    <w:p>
      <w:pPr>
        <w:pStyle w:val="Caption"/>
        <w:spacing w:after="40" w:line="240" w:lineRule="auto"/>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 xml:space="preserve">Grundlagen </w:t>
      </w:r>
      <w:hyperlink w:anchor="source_Q08">
        <w:r>
          <w:rPr>
            <w:color w:val="18364A"/>
          </w:rPr>
          <w:t xml:space="preserve">[Q08]</w:t>
        </w:r>
      </w:hyperlink>
      <w:r>
        <w:t xml:space="preserve"> </w:t>
      </w:r>
      <w:hyperlink w:anchor="source_N05">
        <w:r>
          <w:rPr>
            <w:color w:val="18364A"/>
          </w:rPr>
          <w:t xml:space="preserve">[N05]</w:t>
        </w:r>
      </w:hyperlink>
      <w:r>
        <w:t xml:space="preserve"> </w:t>
      </w:r>
      <w:hyperlink w:anchor="source_N18">
        <w:r>
          <w:rPr>
            <w:color w:val="18364A"/>
          </w:rPr>
          <w:t xml:space="preserve">[N18]</w:t>
        </w:r>
      </w:hyperlink>
      <w:r>
        <w:t xml:space="preserve">  |  </w:t>
      </w:r>
      <w:hyperlink w:anchor="contents">
        <w:r>
          <w:rPr>
            <w:color w:val="18364A"/>
          </w:rPr>
          <w:t xml:space="preserve">Inhalt</w:t>
        </w:r>
      </w:hyperlink>
    </w:p>
    <w:p>
      <w:pPr>
        <w:pStyle w:val="Heading2"/>
        <w:spacing w:before="120" w:after="60"/>
      </w:pPr>
      <w:r>
        <w:t>Von einer möglichen Abweichung zu ihrer Wirkung</w:t>
      </w:r>
    </w:p>
    <w:p>
      <w:pPr>
        <w:spacing w:after="40" w:line="240" w:lineRule="auto"/>
      </w:pPr>
      <w:r>
        <w:t>Eine FMEA ist eine strukturierte Untersuchung möglicher Fehlermöglichkeiten und ihrer Wirkungen. Wir gehen von einer Funktion oder einem Element aus und fragen, auf welche Weise es seine Aufgabe verfehlen kann. Anschließend betrachten wir Ursachen, lokale Wirkung, Wirkung auf die nächste Ebene und Wirkung auf die Systemfunktion. FMECA ergänzt eine Kritikalitätsbewertung.</w:t>
      </w:r>
    </w:p>
    <w:p>
      <w:pPr>
        <w:spacing w:after="40" w:line="240" w:lineRule="auto"/>
      </w:pPr>
      <w:r>
        <w:t>Ein Alltagsszenario ist die Kaffeemaschine: Das Ventil soll zum richtigen Zeitpunkt Wasser freigeben. Es kann geschlossen bleiben, undicht sein oder zu spät öffnen. Die lokalen Wirkungen unterscheiden sich. Auf der Systemebene kann Kaffee fehlen, die Füllmenge falsch sein oder Wasser außerhalb des vorgesehenen Pfads austreten. Die Ursache kann jeweils in Mechanik, Ansteuerung, Verschmutzung oder Spezifikation liegen.</w:t>
      </w:r>
    </w:p>
    <w:p>
      <w:pPr>
        <w:pStyle w:val="Heading2"/>
        <w:spacing w:before="120" w:after="60"/>
      </w:pPr>
      <w:r>
        <w:t>Die FMEA aus Systemgrenze und Schnittstellen vorbereiten</w:t>
      </w:r>
    </w:p>
    <w:p>
      <w:pPr>
        <w:spacing w:after="40" w:line="240" w:lineRule="auto"/>
      </w:pPr>
      <w:r>
        <w:t>Bevor wir Zeilen ausfüllen, brauchen wir die Systemgrenze, Funktionsstruktur, Schnittstellen und Zustände aus Kapitel 3 bis 6. Ohne diese Vorbereitung entsteht häufig eine Bauteilliste mit allgemeinen Aussagen wie „Elektronik defekt“. Sie zeigt weder die geforderte Funktion noch die Fehlerausbreitung.</w:t>
      </w:r>
    </w:p>
    <w:p>
      <w:pPr>
        <w:spacing w:after="40" w:line="240" w:lineRule="auto"/>
      </w:pPr>
      <w:r>
        <w:t>Für jede relevante Ausgabe prüfen wir Abweichungen: fehlt, falsch, zu viel, zu wenig, zu früh, zu spät, intermittierend, veraltet oder im falschen Zustand. Auch unerwünschte Ausgaben werden betrachtet. Ein Element kann seine Sollausgabe liefern und gleichzeitig eine störende Nebenwirkung erzeugen. Bei Inputs fragen wir zusätzlich, wie das Element auf ungültige oder außerhalb der Annahmen liegende Werte reagieren soll.</w:t>
      </w:r>
    </w:p>
    <w:p>
      <w:pPr>
        <w:pStyle w:val="Heading2"/>
        <w:spacing w:before="120" w:after="60"/>
      </w:pPr>
      <w:r>
        <w:t>Den Übergang zwischen Systemen ausdrücklich prüfen</w:t>
      </w:r>
    </w:p>
    <w:p>
      <w:pPr>
        <w:spacing w:after="40" w:line="240" w:lineRule="auto"/>
      </w:pPr>
      <w:r>
        <w:t>Für jede Übergabe betrachten wir fehlenden, falschen, verspäteten, veralteten und doppelt gelieferten Output. Ergänzend fragen wir nach falscher Reihenfolge und ungültigem Zustand. Diese Begriffe beschreiben Abweichungen; erst ihre Wirkung auf die benötigte Funktion entscheidet über die Relevanz.</w:t>
      </w:r>
    </w:p>
    <w:p>
      <w:pPr>
        <w:spacing w:after="40" w:line="240" w:lineRule="auto"/>
      </w:pPr>
      <w:r>
        <w:t>Ein Archiv kann dieselbe Nachricht zweimal erhalten. Die FMEA untersucht, ob eine Wiederholung korrekt erkannt wird oder eine falsche Zuordnung erzeugt. Ein nicht erreichbares Archiv kann zu einem kontrollierten Wartezustand führen; ein fälschlich bestätigter Empfang dagegen zu einem unerkannten Verlust. Beide Fälle brauchen unterschiedliche Maßnahmen und Testorakel.</w:t>
      </w:r>
    </w:p>
    <w:p>
      <w:pPr>
        <w:pStyle w:val="Heading2"/>
        <w:spacing w:before="120" w:after="60"/>
      </w:pPr>
      <w:r>
        <w:t>Die passende Sicht für die FMEA wählen</w:t>
      </w:r>
    </w:p>
    <w:p>
      <w:pPr>
        <w:spacing w:after="40" w:line="240" w:lineRule="auto"/>
      </w:pPr>
      <w:r>
        <w:t>Eine funktionale FMEA untersucht die Leistung und ihre Abweichungen, auch bevor die konkrete Bauform feststeht. Eine Design-FMEA untersucht die gewählte Realisierung. Eine Interface-FMEA betrachtet Austauschvorgänge und gegenseitige Wirkungen zwischen Elementen. Eine Prozess-FMEA untersucht Herstellungs- oder Montageabläufe. Diese Sichten werden abgestimmt; sie sollen nicht dieselben Informationen ohne Verbindung mehrfach pflegen.</w:t>
      </w:r>
    </w:p>
    <w:p>
      <w:pPr>
        <w:spacing w:after="40" w:line="240" w:lineRule="auto"/>
      </w:pPr>
      <w:r>
        <w:t>Am Röntgensystem kann die Interface-FMEA feststellen, dass ein Bereitschaftsstatus noch gespeichert ist, obwohl der Detektor inzwischen nicht mehr aufnahmebereit ist. Ein Bauteil muss dafür nicht beschädigt sein. Sender, Übertragung, Empfänger und Zeitbezug müssen gemeinsam untersucht werden.</w:t>
      </w:r>
    </w:p>
    <w:p>
      <w:pPr>
        <w:pStyle w:val="Heading2"/>
        <w:spacing w:before="120" w:after="60"/>
      </w:pPr>
      <w:r>
        <w:t>Ein Ausschnitt aus der FMEA</w:t>
      </w:r>
    </w:p>
    <w:p>
      <w:pPr>
        <w:spacing w:after="40" w:line="240" w:lineRule="auto"/>
      </w:pPr>
      <w:r>
        <w:t>Der folgende Ausschnitt ist ein Lehrbeispiel. Er enthält bewusst keine freigegebenen Risiko- oder Bewertungsskalen.</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ID und Funktion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Fehlermöglichkeit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 Ursache</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Wirkung auf die Systemfunktion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F01 Bereitschaft melden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Status veraltet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Zustandswechsel wird nicht rechtzeitig erkannt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Freigabeentscheidung passt nicht zum aktuellen Zustand</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F02 Bild übertragen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Daten fehlen teilweise</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Unterbrechung oder Ressourcenengpass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Kein vollständig nutzbares Bild</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F03 Wärme abführen</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Kühlleistung zu klein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Einbau behindert Luftstrom</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Degradation oder Schutzunterbrechung</w:t>
            </w:r>
          </w:p>
        </w:tc>
      </w:tr>
    </w:tbl>
    <w:p>
      <w:pPr>
        <w:spacing w:after="40" w:before="40" w:line="240" w:lineRule="auto"/>
      </w:pP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 Maßnahme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Nachweis der Maßnahme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F01</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Auftragskennung und Gültigkeitsprüfung einführen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Verzögerte und veraltete Meldungen gezielt prüfen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F02</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Vollständigkeit erkennen und definierte Fehlerreaktion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Unterbrechung an verschiedenen Übertragungspunkten injizieren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F03</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Einbaubedingungen absichern und Temperatur überwachen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Thermischer Systemtest im relevanten Lastprofil</w:t>
            </w:r>
          </w:p>
        </w:tc>
      </w:tr>
    </w:tbl>
    <w:p>
      <w:pPr>
        <w:spacing w:after="40" w:before="40" w:line="240" w:lineRule="auto"/>
      </w:pPr>
    </w:p>
    <w:p>
      <w:pPr>
        <w:spacing w:after="40" w:line="240" w:lineRule="auto"/>
      </w:pPr>
      <w:r>
        <w:t>Ein ausgefüllter Analysebogen ergänzt vorhandene Prävention und Erkennung, Verantwortliche, Termine, Bewertung und Restzustand. Eine Maßnahme bleibt offen, bis ihre Wirksamkeit nachgewiesen ist. Ein erledigtes Entwicklungs-Ticket allein beweist diese Wirksamkeit nicht.</w:t>
      </w:r>
    </w:p>
    <w:p>
      <w:pPr>
        <w:pStyle w:val="Heading2"/>
        <w:spacing w:before="120" w:after="60"/>
      </w:pPr>
      <w:r>
        <w:t>Bedienhandlungen in die Analyse einbeziehen</w:t>
      </w:r>
    </w:p>
    <w:p>
      <w:pPr>
        <w:spacing w:after="40" w:line="240" w:lineRule="auto"/>
      </w:pPr>
      <w:r>
        <w:t xml:space="preserve">Eine unklare Anzeige kann eine falsche Handlung begünstigen, obwohl Elektronik und Software technisch funktionieren. Wie bei zwei ähnlich aussehenden Herdknöpfen müssen Zuordnung, Rückmeldung und erwartete Bedienung zusammenpassen. Sicherheitsrelevante Bedienhandlungen werden mit dem Prozess der Gebrauchstauglichkeit nach IEC 62366-1 verknüpft. Die FMEA ersetzt diesen Prozess nicht. </w:t>
      </w:r>
      <w:hyperlink w:anchor="source_N29">
        <w:r>
          <w:rPr>
            <w:color w:val="18364A"/>
          </w:rPr>
          <w:t xml:space="preserve">[N29]</w:t>
        </w:r>
      </w:hyperlink>
    </w:p>
    <w:p>
      <w:pPr>
        <w:pStyle w:val="Heading2"/>
        <w:spacing w:before="120" w:after="60"/>
      </w:pPr>
      <w:r>
        <w:t>Bewertung und Grenzen</w:t>
      </w:r>
    </w:p>
    <w:p>
      <w:pPr>
        <w:spacing w:after="40" w:line="240" w:lineRule="auto"/>
      </w:pPr>
      <w:r>
        <w:t>Schwere, Auftreten und Erkennung werden anhand begründeter unternehmensspezifischer Skalen bewertet. Eine Risikoprioritätszahl kann als Hilfsgröße verwendet werden, darf aber keine relevante hohe Schwere hinter einer kleinen Zahl verstecken. Die Verknüpfung mit dem medizinischen Risikomanagement muss separat sichergestellt werden. Nicht jeder Zuverlässigkeitsausfall führt zu einem Schaden, und nicht jedes Risiko entsteht durch einen einzelnen Komponentenfehler.</w:t>
      </w:r>
    </w:p>
    <w:p>
      <w:pPr>
        <w:spacing w:after="40" w:line="240" w:lineRule="auto"/>
      </w:pPr>
      <w:r>
        <w:t>Die FMEA ist besonders gut für nachvollziehbare Einzelabweichungen und deren Fortpflanzung. Kombinationen, gemeinsame Ursachen und komplexe zeitliche Wechselwirkungen benötigen häufig ergänzende Methoden, etwa FTA oder Zustandsmodelle. Sie wird bei Architekturänderungen, neuen Use Cases und Feldbefunden gepflegt.</w:t>
      </w:r>
    </w:p>
    <w:p>
      <w:pPr>
        <w:pStyle w:val="Heading2"/>
        <w:spacing w:before="120" w:after="60"/>
      </w:pPr>
      <w:r>
        <w:t>So gehen wir vor</w:t>
      </w:r>
    </w:p>
    <w:p>
      <w:pPr>
        <w:pStyle w:val="ListBullet"/>
        <w:spacing w:after="40" w:line="240" w:lineRule="auto"/>
      </w:pPr>
      <w:r>
        <w:t>Grenze, Funktion, Zustand und betrachtete Schnittstelle festlegen.</w:t>
      </w:r>
    </w:p>
    <w:p>
      <w:pPr>
        <w:pStyle w:val="ListBullet"/>
        <w:spacing w:after="40" w:line="240" w:lineRule="auto"/>
      </w:pPr>
      <w:r>
        <w:t>Abweichungen mit einer systematischen Fragenliste erzeugen.</w:t>
      </w:r>
    </w:p>
    <w:p>
      <w:pPr>
        <w:pStyle w:val="ListBullet"/>
        <w:spacing w:after="40" w:line="240" w:lineRule="auto"/>
      </w:pPr>
      <w:r>
        <w:t>Ursachen und Wirkungen über die Ebenen verfolgen.</w:t>
      </w:r>
    </w:p>
    <w:p>
      <w:pPr>
        <w:pStyle w:val="ListBullet"/>
        <w:spacing w:after="40" w:line="240" w:lineRule="auto"/>
      </w:pPr>
      <w:r>
        <w:t>Vorhandene Kontrollen und relevante Bewertungsmaßstäbe dokumentieren.</w:t>
      </w:r>
    </w:p>
    <w:p>
      <w:pPr>
        <w:pStyle w:val="ListBullet"/>
        <w:spacing w:after="40" w:line="240" w:lineRule="auto"/>
      </w:pPr>
      <w:r>
        <w:t>Maßnahmen mit Verantwortlichen und Wirksamkeitsnachweisen vereinbaren.</w:t>
      </w:r>
    </w:p>
    <w:p>
      <w:pPr>
        <w:pStyle w:val="ListBullet"/>
        <w:spacing w:after="40" w:line="240" w:lineRule="auto"/>
      </w:pPr>
      <w:r>
        <w:t>Neue Erkenntnisse in Funktionen, Anforderungen und Tests zurückführen.</w:t>
      </w:r>
    </w:p>
    <w:p>
      <w:pPr>
        <w:pStyle w:val="ListBullet"/>
        <w:spacing w:after="40" w:line="240" w:lineRule="auto"/>
      </w:pPr>
      <w:r>
        <w:t>Übergaben auf fehlenden, falschen, verspäteten, veralteten und doppelten Output sowie falsche Reihenfolge prüfen.</w:t>
      </w:r>
    </w:p>
    <w:p>
      <w:pPr>
        <w:pStyle w:val="Heading2"/>
        <w:keepNext/>
        <w:spacing w:before="120" w:after="60"/>
      </w:pPr>
      <w:r>
        <w:t>Übung</w:t>
      </w:r>
    </w:p>
    <w:p>
      <w:pPr>
        <w:spacing w:after="40" w:line="240" w:lineRule="auto"/>
      </w:pPr>
      <w:r>
        <w:t>Eine Haustürklingel klingelt zehn Sekunden zu spät. Formuliere Funktion, Fehlermöglichkeit, zwei mögliche Ursachen und die Wirkung. Warum ist „Klingel defekt“ als Beschreibung zu ungenau?</w:t>
      </w:r>
    </w:p>
    <w:p>
      <w:bookmarkStart w:id="15" w:name="chapter_9"/>
      <w:pPr>
        <w:pStyle w:val="Heading1"/>
        <w:pageBreakBefore/>
      </w:pPr>
      <w:r>
        <w:t>9 Fehlerkombinationen und Systemzuverlässigkeit analysieren</w:t>
      </w:r>
      <w:bookmarkEnd w:id="15"/>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1">
        <w:r>
          <w:rPr>
            <w:color w:val="18364A"/>
          </w:rPr>
          <w:t xml:space="preserve">[Q01]</w:t>
        </w:r>
      </w:hyperlink>
      <w:r>
        <w:t xml:space="preserve"> </w:t>
      </w:r>
      <w:hyperlink w:anchor="source_N06">
        <w:r>
          <w:rPr>
            <w:color w:val="18364A"/>
          </w:rPr>
          <w:t xml:space="preserve">[N06]</w:t>
        </w:r>
      </w:hyperlink>
      <w:r>
        <w:t xml:space="preserve"> </w:t>
      </w:r>
      <w:hyperlink w:anchor="source_N07">
        <w:r>
          <w:rPr>
            <w:color w:val="18364A"/>
          </w:rPr>
          <w:t xml:space="preserve">[N07]</w:t>
        </w:r>
      </w:hyperlink>
      <w:r>
        <w:t xml:space="preserve">  |  </w:t>
      </w:r>
      <w:hyperlink w:anchor="contents">
        <w:r>
          <w:rPr>
            <w:color w:val="18364A"/>
          </w:rPr>
          <w:t xml:space="preserve">Inhalt</w:t>
        </w:r>
      </w:hyperlink>
    </w:p>
    <w:p>
      <w:pPr>
        <w:pStyle w:val="Heading2"/>
      </w:pPr>
      <w:r>
        <w:t>Unterschiedliche Fragen brauchen unterschiedliche Modelle</w:t>
      </w:r>
    </w:p>
    <w:p>
      <w:r>
        <w:t>Bei einer FMEA fragen wir von einer Fehlermöglichkeit aus nach ihren Wirkungen. Bei einer Fehlerbaumanalyse, kurz FTA, beginnen wir mit einem unerwünschten Ereignis und suchen seine Ursachen und Kombinationen. Ein Zuverlässigkeitsblockdiagramm, kurz RBD, beschreibt dagegen, welche Elemente für die betrachtete Funktion erfolgreich sein müssen.</w:t>
      </w:r>
    </w:p>
    <w:p>
      <w:r>
        <w:t>Das Treppenhauslicht kann ausfallen, weil die Lampe, die Versorgung oder die Steuerung fehlt. Für das Ereignis „kein Licht“ genügt möglicherweise jeder dieser Fehler allein. Bei einer zweiten Lampe kann der Verlust beider Lampen nötig sein, während eine gemeinsame Sicherung weiterhin ein Einzelfehler bleibt. Schon dieses einfache Beispiel zeigt den Unterschied zwischen Redundanz und gemeinsamer Ursache.</w:t>
      </w:r>
    </w:p>
    <w:p>
      <w:pPr>
        <w:pStyle w:val="Heading2"/>
      </w:pPr>
      <w:r>
        <w:t>ODER und UND richtig interpretieren</w:t>
      </w:r>
    </w:p>
    <w:p>
      <w:r>
        <w:t>Ein ODER-Gatter bedeutet, dass mindestens eines seiner Eingangsevents für den betrachteten Fehlerpfad genügt. Ein UND-Gatter bedeutet, dass die beschriebene Kombination erforderlich ist. Die genaue Ereignisdefinition und betrachtete Dauer entscheiden über die Bedeutung. Zwei Ereignisse dürfen nicht deshalb als unabhängig behandelt werden, weil sie in verschiedenen Kästchen stehen.</w:t>
      </w:r>
    </w:p>
    <w:p>
      <w:r>
        <w:t>Bei quantitativen Modellen benötigen wir passende Eingangsdaten und Annahmen zu Zeit, Reparatur, Abhängigkeiten und Ausfalldefinition. Die Rate eines Serviceaustauschs ist nicht ohne Prüfung die Wahrscheinlichkeit eines bestätigten Funktionsausfalls. Ein numerisch berechnetes Ergebnis kann sehr präzise aussehen und dennoch auf ungeeigneten Daten beruhen.</w:t>
      </w:r>
    </w:p>
    <w:p>
      <w:pPr>
        <w:pStyle w:val="Heading2"/>
      </w:pPr>
      <w:r>
        <w:t>Gemeinsame Ursachen quantitativ vorsichtig behandeln</w:t>
      </w:r>
    </w:p>
    <w:p>
      <w:r>
        <w:t>Redundanz hilft gegen unabhängige Ausfälle. Ein gemeinsames Netzteil, eine gemeinsame Kühlung oder derselbe Softwarefehler kann beide Kanäle treffen. Wir modellieren die gemeinsame Ursache ausdrücklich, bevor wir die Parallelformel verwenden.</w:t>
      </w:r>
    </w:p>
    <w:p>
      <w:r>
        <w:t>Als vereinfachte Aufteilung kann ein Anteil b der Ausfallrate eines Elements gemeinsamen Ursachen zugeordnet werden. Der übrige Anteil wird als unabhängig behandelt. Im Lehrbeispiel mit 100 FIT und b gleich 0,05 entfallen 5 FIT auf den gemeinsamen und 95 FIT auf den unabhängigen Anteil. FIT bedeutet ein Ausfall pro einer Milliarde Einheitenstunden. Die Aufteilung ersetzt keine vollständige Rechnung der redundanten Architektur.</w:t>
      </w:r>
    </w:p>
    <w:p>
      <w:pPr>
        <w:spacing w:before="80" w:after="160"/>
        <w:jc w:val="center"/>
      </w:pPr>
      <m:oMathPara>
        <m:oMath>
          <m:sSub>
            <m:e>
              <m:r>
                <m:t>λ</m:t>
              </m:r>
            </m:e>
            <m:sub>
              <m:r>
                <m:t>gemeinsam</m:t>
              </m:r>
            </m:sub>
          </m:sSub>
          <m:r>
            <m:t> = bλ;   </m:t>
          </m:r>
          <m:sSub>
            <m:e>
              <m:r>
                <m:t>λ</m:t>
              </m:r>
            </m:e>
            <m:sub>
              <m:r>
                <m:t>unabhängig</m:t>
              </m:r>
            </m:sub>
          </m:sSub>
          <m:r>
            <m:t> = (1 − b)λ</m:t>
          </m:r>
        </m:oMath>
      </m:oMathPara>
    </w:p>
    <w:p>
      <w:r>
        <w:t>Der Faktor wird aus geeigneter Evidenz oder einem begründeten, anwendbaren Verfahren abgeleitet. Er darf nicht beliebig optimistisch gewählt werden. Für systematische Software- und Integrationsfehler ist diese einfache konstante Ratenaufteilung häufig ungeeignet. Eine gemeinsame Ursache kann außerdem mehr als zwei Elemente und mehrere Funktionen betreffen.</w:t>
      </w:r>
    </w:p>
    <w:p>
      <w:pPr>
        <w:pStyle w:val="Heading2"/>
      </w:pPr>
      <w:r>
        <w:t>Fehlerbaum und Blockdiagramm am selben Beispiel</w:t>
      </w:r>
    </w:p>
    <w:p>
      <w:bookmarkStart w:id="16" w:name="diagram_I"/>
      <w:pPr>
        <w:keepNext/>
        <w:jc w:val="center"/>
      </w:pPr>
      <w:r>
        <w:drawing>
          <wp:inline xmlns:a="http://schemas.openxmlformats.org/drawingml/2006/main" xmlns:pic="http://schemas.openxmlformats.org/drawingml/2006/picture">
            <wp:extent cx="5943600" cy="4247298"/>
            <wp:docPr id="5" name="Picture 5" descr="Schaubild I Fehlerbaum und Blockdiagramm des Treppenhauslichts"/>
            <wp:cNvGraphicFramePr>
              <a:graphicFrameLocks noChangeAspect="1"/>
            </wp:cNvGraphicFramePr>
            <a:graphic>
              <a:graphicData uri="http://schemas.openxmlformats.org/drawingml/2006/picture">
                <pic:pic>
                  <pic:nvPicPr>
                    <pic:cNvPr id="0" name="I.png"/>
                    <pic:cNvPicPr/>
                  </pic:nvPicPr>
                  <pic:blipFill>
                    <a:blip r:embed="rId15"/>
                    <a:stretch>
                      <a:fillRect/>
                    </a:stretch>
                  </pic:blipFill>
                  <pic:spPr>
                    <a:xfrm>
                      <a:off x="0" y="0"/>
                      <a:ext cx="5943600" cy="4247298"/>
                    </a:xfrm>
                    <a:prstGeom prst="rect"/>
                  </pic:spPr>
                </pic:pic>
              </a:graphicData>
            </a:graphic>
          </wp:inline>
        </w:drawing>
      </w:r>
      <w:bookmarkEnd w:id="16"/>
    </w:p>
    <w:p>
      <w:pPr>
        <w:pStyle w:val="Caption"/>
      </w:pPr>
      <w:r>
        <w:t>Schaubild I Fehlerbaum und Blockdiagramm des Treppenhauslichts  Eigene Darstellung für den beschriebenen Lehrfall.</w:t>
      </w:r>
    </w:p>
    <w:p>
      <w:r>
        <w:t xml:space="preserve">Das Treppenhaus hat zwei Lampen und eine gemeinsame Versorgung. Licht ist vorhanden, wenn die Versorgung funktioniert und mindestens eine Lampe leuchtet. Kein Licht entsteht, wenn die Versorgung ausfällt oder beide Lampen ausfallen. Der Fehlerbaum und das Blockdiagramm zeigen dieselbe vereinfachte Logik aus entgegengesetzten Richtungen. Eine gemeinsame Steuerung, Reparatur oder dynamische Umschaltung sind hier bewusst noch nicht enthalten. Erst nach dieser qualitativen Klärung wählen wir passende Wahrscheinlichkeiten. </w:t>
      </w:r>
      <w:hyperlink w:anchor="source_N06">
        <w:r>
          <w:rPr>
            <w:color w:val="18364A"/>
          </w:rPr>
          <w:t xml:space="preserve">[N06]</w:t>
        </w:r>
      </w:hyperlink>
      <w:r>
        <w:t xml:space="preserve"> </w:t>
      </w:r>
      <w:hyperlink w:anchor="source_N07">
        <w:r>
          <w:rPr>
            <w:color w:val="18364A"/>
          </w:rPr>
          <w:t xml:space="preserve">[N07]</w:t>
        </w:r>
      </w:hyperlink>
    </w:p>
    <w:p>
      <w:pPr>
        <w:pStyle w:val="Heading2"/>
      </w:pPr>
      <w:r>
        <w:t>Zwei einfache Rechnungen</w:t>
      </w:r>
    </w:p>
    <w:p>
      <w:r>
        <w:t>Im Lehrbeispiel werden zwei Elemente für dieselbe Mission benötigt. Jedes hat eine Zuverlässigkeit von 0,99. Sind ihre Ausfälle unabhängig und reicht bereits der Ausfall eines Elements für den Funktionsverlust, ergibt sich die Serienzuverlässigkeit als Produkt.</w:t>
      </w:r>
    </w:p>
    <w:p>
      <w:pPr>
        <w:spacing w:before="80" w:after="160"/>
        <w:jc w:val="center"/>
      </w:pPr>
      <m:oMathPara>
        <m:oMath>
          <m:sSub>
            <m:e>
              <m:r>
                <m:t>R</m:t>
              </m:r>
            </m:e>
            <m:sub>
              <m:r>
                <m:t>sys</m:t>
              </m:r>
            </m:sub>
          </m:sSub>
          <m:r>
            <m:t> = </m:t>
          </m:r>
          <m:sSub>
            <m:e>
              <m:r>
                <m:t>R</m:t>
              </m:r>
            </m:e>
            <m:sub>
              <m:r>
                <m:t>1</m:t>
              </m:r>
            </m:sub>
          </m:sSub>
          <m:r>
            <m:t> × </m:t>
          </m:r>
          <m:sSub>
            <m:e>
              <m:r>
                <m:t>R</m:t>
              </m:r>
            </m:e>
            <m:sub>
              <m:r>
                <m:t>2</m:t>
              </m:r>
            </m:sub>
          </m:sSub>
          <m:r>
            <m:t> × … × </m:t>
          </m:r>
          <m:sSub>
            <m:e>
              <m:r>
                <m:t>R</m:t>
              </m:r>
            </m:e>
            <m:sub>
              <m:r>
                <m:t>n</m:t>
              </m:r>
            </m:sub>
          </m:sSub>
        </m:oMath>
      </m:oMathPara>
    </w:p>
    <w:p>
      <w:r>
        <w:t>Für zwei solche Elemente ergeben sich 0,9801 beziehungsweise 98,01 Prozent. Hohe Einzelwerte garantieren also nicht denselben Systemwert. Die Gleichung gilt für den definierten Erfolg beider Elemente über dieselbe Mission, nur für die so definierten Missionswahrscheinlichkeiten; MTBF-Zahlen sind keine solchen Wahrscheinlichkeiten.</w:t>
      </w:r>
    </w:p>
    <w:p>
      <w:r>
        <w:t>Bei idealer aktiver Redundanz reicht ein funktionsfähiges Element. Sind die Ausfälle unabhängig und gibt es keine weitere gemeinsame Verlustquelle, ergibt sich:</w:t>
      </w:r>
    </w:p>
    <w:p>
      <w:pPr>
        <w:spacing w:before="80" w:after="160"/>
        <w:jc w:val="center"/>
      </w:pPr>
      <m:oMathPara>
        <m:oMath>
          <m:sSub>
            <m:e>
              <m:r>
                <m:t>R</m:t>
              </m:r>
            </m:e>
            <m:sub>
              <m:r>
                <m:t>parallel</m:t>
              </m:r>
            </m:sub>
          </m:sSub>
          <m:r>
            <m:t> = 1 − (1 − </m:t>
          </m:r>
          <m:sSub>
            <m:e>
              <m:r>
                <m:t>R</m:t>
              </m:r>
            </m:e>
            <m:sub>
              <m:r>
                <m:t>1</m:t>
              </m:r>
            </m:sub>
          </m:sSub>
          <m:r>
            <m:t>)(1 − </m:t>
          </m:r>
          <m:sSub>
            <m:e>
              <m:r>
                <m:t>R</m:t>
              </m:r>
            </m:e>
            <m:sub>
              <m:r>
                <m:t>2</m:t>
              </m:r>
            </m:sub>
          </m:sSub>
          <m:r>
            <m:t>)</m:t>
          </m:r>
        </m:oMath>
      </m:oMathPara>
    </w:p>
    <w:p>
      <w:r>
        <w:t>Bei zwei Elementen mit jeweils 0,99 entstehen im idealen Modell 0,9999 beziehungsweise 99,99 Prozent. Eine gemeinsame Versorgung, eine fehlerhafte Umschaltung oder eine gemeinsame Softwareursache kann diesen Vorteil deutlich einschränken. Die idealisierte Rechnung ist deshalb ein Ausgangspunkt, kein vollständiger Architekturnachweis.</w:t>
      </w:r>
    </w:p>
    <w:p>
      <w:pPr>
        <w:pStyle w:val="Heading2"/>
      </w:pPr>
      <w:r>
        <w:t>Steuerung und Rückmeldung mit STPA untersuchen</w:t>
      </w:r>
    </w:p>
    <w:p>
      <w:r>
        <w:t xml:space="preserve">Die System-Theoretic Process Analysis, kurz STPA, ergänzt Fehleranalysen um Steuerungsbeziehungen. Sie ist eine Methode zur Gefährdungsanalyse und keine Formel für eine Ausfallwahrscheinlichkeit. Wir verwenden sie besonders dann, wenn ein problematischer Ablauf entstehen kann, obwohl kein Einzelteil beschädigt ist. </w:t>
      </w:r>
      <w:hyperlink w:anchor="source_Q23">
        <w:r>
          <w:rPr>
            <w:color w:val="18364A"/>
          </w:rPr>
          <w:t xml:space="preserve">[Q23]</w:t>
        </w:r>
      </w:hyperlink>
    </w:p>
    <w:p>
      <w:r>
        <w:t>Beim Bereitschaftsfall betrachten wir Controller, Freigabebefehl, gesteuerten Prozess und Rückmeldung. Wir fragen: Wird ein erforderlicher Befehl nicht gegeben? Wird ein unzulässiger Befehl gegeben? Kommt er zu früh, zu spät oder in falscher Reihenfolge? Dauert er zu lange oder endet er zu früh? Daraus entstehen konkrete Szenarien, Bedingungen und Maßnahmen.</w:t>
      </w:r>
    </w:p>
    <w:p>
      <w:r>
        <w:t>Das Ergebnis ergänzt die FMEA und die Tests. Eine vollständige STPA benötigt definierte Verluste, Gefährdungen, Steuerungsstruktur und Ursachenanalyse. Die kurzen Leitfragen hier sind ein Einstieg, kein vollständiger Sicherheitsnachweis.</w:t>
      </w:r>
    </w:p>
    <w:p>
      <w:pPr>
        <w:pStyle w:val="Heading2"/>
      </w:pPr>
      <w:r>
        <w:t>Zeit und Reparatur ergänzen</w:t>
      </w:r>
    </w:p>
    <w:p>
      <w:r>
        <w:t>Eine Kaffeemaschine, die sofort repariert werden kann, hat eine andere Verfügbarkeit als eine mit langer Ersatzteilwartezeit. Ein Zustandsmodell beschreibt beispielsweise funktionsfähig, eingeschränkt, ausgefallen und in Reparatur. Markov-Modelle verwenden bestimmte Annahmen über Zustandsübergänge; ihre Übergangsannahmen müssen zum betrachteten Prozess passen. Für komplexere Abläufe können Simulationen oder andere zeitabhängige Modelle geeigneter sein.</w:t>
      </w:r>
    </w:p>
    <w:p>
      <w:r>
        <w:t>Im einfachen Modell mit mittlerer Betriebszeit MTBF und mittlerer Reparaturzeit MTTR kann eine langfristige intrinsische Verfügbarkeit angenähert beziehungsweise unter passenden Erneuerungsannahmen berechnet werden:</w:t>
      </w:r>
    </w:p>
    <w:p>
      <w:pPr>
        <w:spacing w:before="80" w:after="160"/>
        <w:jc w:val="center"/>
      </w:pPr>
      <m:oMathPara>
        <m:oMath>
          <m:r>
            <m:t>A = </m:t>
          </m:r>
          <m:f>
            <m:num>
              <m:r>
                <m:t>MTBF</m:t>
              </m:r>
            </m:num>
            <m:den>
              <m:r>
                <m:t>MTBF + MTTR</m:t>
              </m:r>
            </m:den>
          </m:f>
        </m:oMath>
      </m:oMathPara>
    </w:p>
    <w:p>
      <w:r>
        <w:t>Logistik, geplante Wartung und reale Betriebsorganisation benötigen gegebenenfalls weitere Zeiten. Die Formel macht eine Entscheidung sichtbar: Verfügbarkeit kann durch weniger Fehler oder durch schnellere Wiederherstellung verbessert werden. Die schnellere Wiederherstellung verkürzt die Ausfallzeit, verhindert aber keinen Missionsausfall.</w:t>
      </w:r>
    </w:p>
    <w:p>
      <w:pPr>
        <w:pStyle w:val="Heading2"/>
      </w:pPr>
      <w:r>
        <w:t>Anwendung am Röntgensystem</w:t>
      </w:r>
    </w:p>
    <w:p>
      <w:r>
        <w:t>Für das Top Event „keine verwendbare Aufnahme“ betrachten wir beispielsweise Detektor, Expositionskoordination, Versorgung und Datenbereitstellung. Wir definieren den Output, bevor wir Fehlerpfade sammeln. Gemeinsame Ressourcen werden zuerst qualitativ geprüft. Eine spätere Quantifizierung soll zeigen, welche Unsicherheit besonders relevant ist und wo zusätzliche Daten den größten Nutzen bringen.</w:t>
      </w:r>
    </w:p>
    <w:p>
      <w:pPr>
        <w:pStyle w:val="Heading2"/>
      </w:pPr>
      <w:r>
        <w:t>So gehen wir vor</w:t>
      </w:r>
    </w:p>
    <w:p>
      <w:pPr>
        <w:pStyle w:val="ListBullet"/>
      </w:pPr>
      <w:r>
        <w:t>Systemfunktion beziehungsweise Top Event einschließlich Zeitbezug definieren.</w:t>
      </w:r>
    </w:p>
    <w:p>
      <w:pPr>
        <w:pStyle w:val="ListBullet"/>
      </w:pPr>
      <w:r>
        <w:t>Die passende Modellform wählen und ihre Grenze dokumentieren.</w:t>
      </w:r>
    </w:p>
    <w:p>
      <w:pPr>
        <w:pStyle w:val="ListBullet"/>
      </w:pPr>
      <w:r>
        <w:t>Gemeinsame Ursachen, Fehlerfortpflanzung und Wiederherstellung ergänzen.</w:t>
      </w:r>
    </w:p>
    <w:p>
      <w:pPr>
        <w:pStyle w:val="ListBullet"/>
      </w:pPr>
      <w:r>
        <w:t>Eingangsdaten auf identische Nutzung und Ausfalldefinition prüfen.</w:t>
      </w:r>
    </w:p>
    <w:p>
      <w:pPr>
        <w:pStyle w:val="ListBullet"/>
      </w:pPr>
      <w:r>
        <w:t>Sensitivität und Unsicherheit des Ergebnisses bewerten.</w:t>
      </w:r>
    </w:p>
    <w:p>
      <w:pPr>
        <w:pStyle w:val="ListBullet"/>
      </w:pPr>
      <w:r>
        <w:t>Gemeinsame Ursachen vor der Parallelrechnung modellieren; bei relevanten Steuerungsabläufen eine STPA erwägen.</w:t>
      </w:r>
    </w:p>
    <w:p>
      <w:r>
        <w:t>Das Ergebnis ist ein begründeter Fehlerpfad oder ein Systemmodell mit klaren Annahmen. Redundanz ohne Prüfung gemeinsamer Ursachen und das Multiplizieren beliebiger Kennzahlen sind typische Denkfehler.</w:t>
      </w:r>
    </w:p>
    <w:p>
      <w:pPr>
        <w:pStyle w:val="Heading2"/>
        <w:keepNext/>
      </w:pPr>
      <w:r>
        <w:t>Übung</w:t>
      </w:r>
    </w:p>
    <w:p>
      <w:r>
        <w:t>Zwei Taschenlampen haben getrennte Batterien, wurden aber beide im selben feuchten Keller gelagert. Welche Unabhängigkeitsannahme solltest du vor einer Redundanzrechnung prüfen?</w:t>
      </w:r>
    </w:p>
    <w:p>
      <w:pPr>
        <w:pStyle w:val="Heading2"/>
        <w:keepNext/>
      </w:pPr>
      <w:r>
        <w:t>Vertiefungsübung</w:t>
      </w:r>
    </w:p>
    <w:p>
      <w:r>
        <w:t>Ein redundanter Kanal hat 200 FIT. Im vereinfachten Ratenmodell beträgt der Anteil gemeinsamer Ursachen 0,10. Wie teilen wir die Rate auf, und was sagt das noch nicht?</w:t>
      </w:r>
    </w:p>
    <w:p>
      <w:bookmarkStart w:id="17" w:name="chapter_10"/>
      <w:pPr>
        <w:pStyle w:val="Heading1"/>
        <w:pageBreakBefore/>
      </w:pPr>
      <w:r>
        <w:t>10 Ausfallmechanismen und Robustheitsreserven verstehen</w:t>
      </w:r>
      <w:bookmarkEnd w:id="17"/>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6">
        <w:r>
          <w:rPr>
            <w:color w:val="18364A"/>
          </w:rPr>
          <w:t xml:space="preserve">[Q06]</w:t>
        </w:r>
      </w:hyperlink>
      <w:r>
        <w:t xml:space="preserve"> </w:t>
      </w:r>
      <w:hyperlink w:anchor="source_Q11">
        <w:r>
          <w:rPr>
            <w:color w:val="18364A"/>
          </w:rPr>
          <w:t xml:space="preserve">[Q11]</w:t>
        </w:r>
      </w:hyperlink>
      <w:r>
        <w:t xml:space="preserve"> </w:t>
      </w:r>
      <w:hyperlink w:anchor="source_N11">
        <w:r>
          <w:rPr>
            <w:color w:val="18364A"/>
          </w:rPr>
          <w:t xml:space="preserve">[N11]</w:t>
        </w:r>
      </w:hyperlink>
      <w:r>
        <w:t xml:space="preserve">  |  </w:t>
      </w:r>
      <w:hyperlink w:anchor="contents">
        <w:r>
          <w:rPr>
            <w:color w:val="18364A"/>
          </w:rPr>
          <w:t xml:space="preserve">Inhalt</w:t>
        </w:r>
      </w:hyperlink>
    </w:p>
    <w:p>
      <w:pPr>
        <w:pStyle w:val="Heading2"/>
      </w:pPr>
      <w:r>
        <w:t>Belastung und Beanspruchbarkeit zusammen betrachten</w:t>
      </w:r>
    </w:p>
    <w:p>
      <w:r>
        <w:t>Eine Einkaufstasche trägt fünf Kilogramm problemlos. Wenn sie nass wird, kann dieselbe Last kritischer sein. Entscheidend sind Belastung, Materialzustand und Beanspruchbarkeit. Im technischen Produkt wirken Temperatur, Spannung, Bewegung, Strahlung und weitere Einflüsse auf konkrete physikalische Mechanismen. Physics of Failure bedeutet, diesen Zusammenhang zu verstehen und in der Auslegung zu berücksichtigen.</w:t>
      </w:r>
    </w:p>
    <w:p>
      <w:r>
        <w:t>Ein Mechanismus ist beispielsweise eine thermisch getriebene Schädigung oder eine Ermüdung an einer Verbindung. Das sichtbare Fehlerbild ist etwa intermittierender Kontakt oder Bildausfall. Ursache, Mechanismus und Symptom werden getrennt. Eine hohe Ausfallzahl sagt zunächst wenig darüber aus, welcher Mechanismus verändert werden muss.</w:t>
      </w:r>
    </w:p>
    <w:p>
      <w:pPr>
        <w:pStyle w:val="Heading2"/>
      </w:pPr>
      <w:r>
        <w:t>Drei Bereiche unterscheiden</w:t>
      </w:r>
    </w:p>
    <w:p>
      <w:r>
        <w:t>Der Nominalpunkt beschreibt einen repräsentativen Betrieb. Der ungünstigste zulässige Fall liegt innerhalb der spezifizierten Anwendung. Explorative Grenztests untersuchen zusätzlich, wie sich das Produkt bei schrittweiser Annäherung an eine Grenze oder darüber hinaus verhält. Ein Versagen außerhalb der Spezifikation ist nur dann eine Nichterfüllung der Anforderung, wenn die geprüfte Bedingung zu ihrem Geltungsbereich gehört; es kann aber eine geringe Reserve oder eine unerwünschte Fehlerreaktion sichtbar machen.</w:t>
      </w:r>
    </w:p>
    <w:p>
      <w:r>
        <w:t>Ein Smartphone kann im Alltag bei Raumtemperatur funktionieren und im heißen Auto abschalten. Der erste Nachweis betrifft normale Nutzung, der zweite zulässige oder unzulässige Umgebungsbedingungen je nach Spezifikation. Eine kontrollierte Untersuchung der Grenze hilft, die Empfindlichkeit zu verstehen. Sie darf nicht mit einem Lebensdauernachweis verwechselt werden.</w:t>
      </w:r>
    </w:p>
    <w:p>
      <w:pPr>
        <w:pStyle w:val="Heading2"/>
      </w:pPr>
      <w:r>
        <w:t>Reserven sind mehrdimensional</w:t>
      </w:r>
    </w:p>
    <w:p>
      <w:r>
        <w:t>Im didaktischen Temperaturbeispiel liegt eine Bauteiltemperatur im ungünstigsten zulässigen Betrieb bei 70 Grad Celsius. Eine definierte Leistungsgrenze wird experimentell erst bei 85 Grad Celsius erreicht. Der Abstand beträgt für genau diese Konfiguration 15 Kelvin. Messunsicherheit, Streuung und andere Belastungen sind noch zu berücksichtigen. Dies ist kein universeller Sicherheitsabstand für ein Produkt.</w:t>
      </w:r>
    </w:p>
    <w:p>
      <w:r>
        <w:t>Bei höherer Versorgungslast kann die Grenze niedriger liegen. Eine Timingreserve kann durch Netzwerkverkehr schrumpfen. Ein älteres Bauteil kann andere Reserven haben als ein neues. Wir dokumentieren deshalb, welche Grenze gemessen, berechnet oder nur angenommen wurde, und unter welchen Kombinationen sie gilt.</w:t>
      </w:r>
    </w:p>
    <w:p>
      <w:pPr>
        <w:pStyle w:val="Heading2"/>
      </w:pPr>
      <w:r>
        <w:t>Auslegungsreserven und Streuungen untersuchen</w:t>
      </w:r>
    </w:p>
    <w:p>
      <w:r>
        <w:t>Derating bedeutet, ein Element nicht dauerhaft an einer relevanten Nenn- oder Grenzbelastung zu betreiben. Der geeignete Umfang hängt vom Mechanismus und den Daten ab; ein pauschaler Prozentwert reicht nicht. Bei Elektronik ist etwa die tatsächliche Bauteiltemperatur und nicht nur die Raumtemperatur relevant.</w:t>
      </w:r>
    </w:p>
    <w:p>
      <w:r>
        <w:t>Toleranzanalysen untersuchen, wie Fertigungs- und Betriebsstreuungen die Funktion verändern. Sensitivitätsanalysen zeigen, welche Einflussgröße das Ergebnis stark bewegt. Design of Experiments, kurz DoE, plant kontrollierte Kombinationen von Faktoren. Gegenüber wahllosem Verändern einzelner Größen kann es Wechselwirkungen sichtbar machen. Ein kleiner zweifaktorieller Plan kann beispielsweise niedrige und hohe Temperatur mit niedriger und hoher Last kombinieren; seine Aussage bleibt auf den untersuchten Bereich begrenzt.</w:t>
      </w:r>
    </w:p>
    <w:p>
      <w:pPr>
        <w:pStyle w:val="Heading2"/>
      </w:pPr>
      <w:r>
        <w:t>Frühe Zuverlässigkeitsvorhersagen richtig nutzen</w:t>
      </w:r>
    </w:p>
    <w:p>
      <w:r>
        <w:t>Zu Beginn eines Projekts fehlen oft Lebensdauerdaten der endgültigen Baugruppe. Eine Vorhersage kann Varianten vergleichen oder eine erste Allokation unterstützen. Verfahren auf Basis von Bauteilzahlen oder Belastungsdaten benötigen Referenzraten, Betriebsbedingungen und eine passende Architektur. Eine Zahl ohne diese Angaben ist kaum überprüfbar.</w:t>
      </w:r>
    </w:p>
    <w:p>
      <w:r>
        <w:t xml:space="preserve">IEC 61709 beschreibt die Umrechnung vorhandener Ausfallratendaten zwischen Referenz- und Einsatzbedingungen innerhalb der vorgesehenen Funktionsgrenzen. Die Norm liefert selbst keine Basis-Ausfallraten. </w:t>
      </w:r>
      <w:hyperlink w:anchor="source_N27">
        <w:r>
          <w:rPr>
            <w:color w:val="18364A"/>
          </w:rPr>
          <w:t xml:space="preserve">[N27]</w:t>
        </w:r>
      </w:hyperlink>
    </w:p>
    <w:p>
      <w:r>
        <w:t>Als Orientierung können im Projekt etwa SN 29500, FIDES oder MIL-HDBK-217F begegnen. Dieses Handbuch legt keine intern geprüfte Ausgabe dieser Verfahren fest und belegt daraus keine Ausfallrate. Vor ihrer Verwendung werden die tatsächlich freigegebenen Teile, Fassungen, Daten und Einsatzgrenzen beschafft und geprüft. Der frühere öffentliche Hinweis zu SN 29500 wird nicht als Beleg verwendet.</w:t>
      </w:r>
    </w:p>
    <w:p>
      <w:r>
        <w:t>Im vereinfachten Reihenmodell ergeben zehn unabhängige Elemente mit jeweils 100 FIT eine Rate von 1.000 FIT, also 0,000001 pro Stunde. Deren Kehrwert ist eine Million Stunden. Diese Modellzahl ist keine zugesicherte Lebensdauer und enthält keine automatisch bewerteten Software-, Schnittstellen- oder „Bedienfehler“. Frühe Vorhersage, experimenteller Nachweis und Feldschätzung werden im Bericht getrennt benannt.</w:t>
      </w:r>
    </w:p>
    <w:p>
      <w:pPr>
        <w:pStyle w:val="Heading2"/>
      </w:pPr>
      <w:r>
        <w:t>Weitere Modelle für beschleunigte Beanspruchung auswählen</w:t>
      </w:r>
    </w:p>
    <w:p>
      <w:r>
        <w:t>Wir wählen das Modell nach dem Mechanismus und kalibrieren seine Parameter mit geeigneten Daten. Das Beschleunigungsmodell gehört zum Nachweis, nicht nur zur Rechenhilfe.</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Mechanismus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Möglicher Ansatz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Entscheidende Grenze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Thermisch aktivierter Prozess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Arrhenius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Passende Aktivierungsenergie und gleichbleibender Mechanismus</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Temperatur und Feuchte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Peck oder geeigneter Eyring Ansatz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Kalibrierung und Kondensation beachten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Temperaturwechselermüdung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Coffin Manson oder Norris Landzberg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Temperaturhub Verweilzeit und Frequenz beachten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Mechanische Ermüdung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Wöhler oder Basquin Ansatz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Lastkollektiv und relevante Versagensart abdecken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Lastabhängige Lebensdauer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Inverses Potenzgesetz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Exponent und zulässigen Belastungsbereich bestimmen</w:t>
            </w:r>
          </w:p>
        </w:tc>
      </w:tr>
    </w:tbl>
    <w:p>
      <w:pPr>
        <w:spacing w:after="40" w:before="40"/>
      </w:pPr>
    </w:p>
    <w:p>
      <w:r>
        <w:t xml:space="preserve">Ein Potenzgesetz kann ein Verhältnis der Lebensdauern aus dem Verhältnis zweier Lasten ableiten. Sein Exponent muss zum betrachteten Mechanismus passen. Bei Feuchte genügt ein Verhältnis relativer Feuchten nicht, wenn Kondensation oder andere Prozesse hinzukommen. Mehrere Stressoren werden gemeinsam modelliert; ihre Faktoren werden nicht allein aus praktischen Gründen multipliziert. Die Modellfamilien dienen hier der Auswahl, nicht als universelle Umrechnungstabelle. </w:t>
      </w:r>
      <w:hyperlink w:anchor="source_Q15">
        <w:r>
          <w:rPr>
            <w:color w:val="18364A"/>
          </w:rPr>
          <w:t xml:space="preserve">[Q15]</w:t>
        </w:r>
      </w:hyperlink>
      <w:r>
        <w:t xml:space="preserve"> </w:t>
      </w:r>
      <w:hyperlink w:anchor="source_Q19">
        <w:r>
          <w:rPr>
            <w:color w:val="18364A"/>
          </w:rPr>
          <w:t xml:space="preserve">[Q19]</w:t>
        </w:r>
      </w:hyperlink>
    </w:p>
    <w:p>
      <w:pPr>
        <w:pStyle w:val="Heading2"/>
      </w:pPr>
      <w:r>
        <w:t>Anwendung am Röntgensystem</w:t>
      </w:r>
    </w:p>
    <w:p>
      <w:r>
        <w:t>Wir untersuchen zum Beispiel, ob ein Detektor bei hoher Expositionsfolge, ungünstigem Einbau und erhöhtem Kommunikationsverkehr noch alle benötigten Funktionen erfüllt. Als Ergebnis messen wir nicht nur „Test bestanden“, sondern auch Temperatur, Datenlatenz, Fehlerreaktion und Abstand zu definierten Grenzen. Eine Schutzabschaltung wird als solche erkannt und von unkontrolliertem Verhalten unterschieden.</w:t>
      </w:r>
    </w:p>
    <w:p>
      <w:r>
        <w:t>Solche Prüfungen sind in einer geeigneten technischen Testumgebung mit freigegebenen Schutzmaßnahmen durchzuführen. Schutzfunktionen werden nicht für einen Grenztest unkontrolliert umgangen. Beispiele aus diesem Handbuch legitimieren keine Überschreitung sicherheitsrelevanter Grenzen am klinisch genutzten Gerät.</w:t>
      </w:r>
    </w:p>
    <w:p>
      <w:pPr>
        <w:pStyle w:val="Heading2"/>
      </w:pPr>
      <w:r>
        <w:t>So gehen wir vor</w:t>
      </w:r>
    </w:p>
    <w:p>
      <w:pPr>
        <w:pStyle w:val="ListBullet"/>
      </w:pPr>
      <w:r>
        <w:t>Relevante Mechanismen und empfindliche Leistungsgrößen benennen.</w:t>
      </w:r>
    </w:p>
    <w:p>
      <w:pPr>
        <w:pStyle w:val="ListBullet"/>
      </w:pPr>
      <w:r>
        <w:t>Nominalbetrieb und ungünstige zulässige Kombinationen festlegen.</w:t>
      </w:r>
    </w:p>
    <w:p>
      <w:pPr>
        <w:pStyle w:val="ListBullet"/>
      </w:pPr>
      <w:r>
        <w:t>Messbare Grenzen und vorhandene Auslegungsreserven beschreiben.</w:t>
      </w:r>
    </w:p>
    <w:p>
      <w:pPr>
        <w:pStyle w:val="ListBullet"/>
      </w:pPr>
      <w:r>
        <w:t>Einflussgrößen kontrolliert variieren und Wechselwirkungen prüfen.</w:t>
      </w:r>
    </w:p>
    <w:p>
      <w:pPr>
        <w:pStyle w:val="ListBullet"/>
      </w:pPr>
      <w:r>
        <w:t>Streuung, Alterung und Messunsicherheit in die Aussage aufnehmen.</w:t>
      </w:r>
    </w:p>
    <w:p>
      <w:pPr>
        <w:pStyle w:val="ListBullet"/>
      </w:pPr>
      <w:r>
        <w:t>Bei Vorhersagen Datenbasis, Ausgabe und Einsatzbedingungen nennen; Beschleunigungsmodelle nach dem Mechanismus wählen.</w:t>
      </w:r>
    </w:p>
    <w:p>
      <w:r>
        <w:t>Das Ergebnis ist eine begründete Robustheitsbewertung. Ein einziger Reservewert für das gesamte System verdeckt meistens unterschiedliche Grenzen. Eine bestandene kurze Überlastprüfung beweist keine langfristige Ermüdungsfestigkeit.</w:t>
      </w:r>
    </w:p>
    <w:p>
      <w:pPr>
        <w:pStyle w:val="Heading2"/>
        <w:keepNext/>
      </w:pPr>
      <w:r>
        <w:t>Übung</w:t>
      </w:r>
    </w:p>
    <w:p>
      <w:r>
        <w:t>Ein Regenschirm übersteht starken Wind im Neuzustand. Welche Fragen bleiben offen, wenn er vorher mehrere Jahre feucht gelagert wurde und seine Gelenke Spiel bekommen haben?</w:t>
      </w:r>
    </w:p>
    <w:p>
      <w:bookmarkStart w:id="18" w:name="chapter_11"/>
      <w:pPr>
        <w:pStyle w:val="Heading1"/>
        <w:pageBreakBefore/>
      </w:pPr>
      <w:r>
        <w:t>11 Zulieferkomponenten spezifizieren und Nachweise übernehmen</w:t>
      </w:r>
      <w:bookmarkEnd w:id="18"/>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N03">
        <w:r>
          <w:rPr>
            <w:color w:val="18364A"/>
          </w:rPr>
          <w:t xml:space="preserve">[N03]</w:t>
        </w:r>
      </w:hyperlink>
      <w:r>
        <w:t xml:space="preserve"> </w:t>
      </w:r>
      <w:hyperlink w:anchor="source_N04">
        <w:r>
          <w:rPr>
            <w:color w:val="18364A"/>
          </w:rPr>
          <w:t xml:space="preserve">[N04]</w:t>
        </w:r>
      </w:hyperlink>
      <w:r>
        <w:t xml:space="preserve"> </w:t>
      </w:r>
      <w:hyperlink w:anchor="source_N20">
        <w:r>
          <w:rPr>
            <w:color w:val="18364A"/>
          </w:rPr>
          <w:t xml:space="preserve">[N20]</w:t>
        </w:r>
      </w:hyperlink>
      <w:r>
        <w:t xml:space="preserve">  |  </w:t>
      </w:r>
      <w:hyperlink w:anchor="contents">
        <w:r>
          <w:rPr>
            <w:color w:val="18364A"/>
          </w:rPr>
          <w:t xml:space="preserve">Inhalt</w:t>
        </w:r>
      </w:hyperlink>
    </w:p>
    <w:p>
      <w:pPr>
        <w:pStyle w:val="Heading2"/>
      </w:pPr>
      <w:r>
        <w:t>Die richtige Frage an den Lieferanten stellen</w:t>
      </w:r>
    </w:p>
    <w:p>
      <w:r>
        <w:t>Wer einen Fahrradreifen bestellt, muss Reifengröße, Felge, Last und vorgesehenen Einsatz kennen. Ein hochwertiger Reifen in der falschen Größe löst die Aufgabe nicht. Im technischen Einkauf ist die Aufgabe anspruchsvoller, aber das Prinzip bleibt gleich: Ein Supplier kann nur für den beschriebenen und vereinbarten Bereich geeignete Evidenz liefern.</w:t>
      </w:r>
    </w:p>
    <w:p>
      <w:r>
        <w:t>Wir spezifizieren Funktionen und Schnittstellen sowie Umwelt, Einbau, Nutzung, Lebensdauer und gewünschtes Nachweisniveau. Die Anforderung darf nicht ausschließlich den Normalbetrieb abdecken. Einschalten, Wiederanlauf, Lagerung, Transport und relevante Fehlerreaktionen gehören je nach Funktion dazu. Die Supplier-Spezifikation verweist auf dieselben Definitionen und Profile wie die Systemanforderung.</w:t>
      </w:r>
    </w:p>
    <w:p>
      <w:pPr>
        <w:pStyle w:val="Heading2"/>
      </w:pPr>
      <w:r>
        <w:t>Ein Nachweispaket besteht aus überprüfbarer Evidenz</w:t>
      </w:r>
    </w:p>
    <w:p>
      <w:r>
        <w:t>Ein Prüfbericht sollte mindestens Musteridentität, Hardware- und Softwarestand, relevante Fertigungsmerkmale, Prüfanordnung, Messmittel, Belastungsprofil und Ergebnisse enthalten. Ausfälle, Abweichungen und abgebrochene Prüfungen werden nicht durch eine zusammenfassende Aussage bestanden ersetzt. Bei statistischen Aussagen brauchen wir die Population, Stichprobe, Prüfdauer, zensierte Beobachtungen, Modellannahmen und Unsicherheit.</w:t>
      </w:r>
    </w:p>
    <w:p>
      <w:r>
        <w:t>Wir können zusätzliche Analysen, bekannte Fehlermechanismen, Einsatzgrenzen und Änderungsmitteilungen vereinbaren. Der Umfang richtet sich nach Funktion und Risiko; nicht jede Komponente braucht dieselbe Dokumentenmenge. Ein Lieferant von Kabeln liefert andere technische Nachweise als ein Lieferant von Software.</w:t>
      </w:r>
    </w:p>
    <w:p>
      <w:pPr>
        <w:pStyle w:val="Heading2"/>
      </w:pPr>
      <w:r>
        <w:t>Drei Entscheidungen statt eines pauschalen Ja</w:t>
      </w:r>
    </w:p>
    <w:p>
      <w:r>
        <w:t>Eine Evidenzbewertung endet mit akzeptiert, akzeptiert mit dokumentierten Einschränkungen oder ergänzender Nachweis erforderlich. Eine Einschränkung kann einen bestimmten Temperaturbereich oder eine freigegebene Version betreffen. Sie muss in der Integration wirksam werden. Ein Freigabevermerk, dessen Bedingungen niemand kennt, verhindert keinen falschen Einsatz.</w:t>
      </w:r>
    </w:p>
    <w:p>
      <w:r>
        <w:t>Ein Lehrbeispiel: Der Supplier hat einen Detektor bei einer definierten äußeren Temperatur geprüft. Im System erhöht sich seine Bauteiltemperatur durch den Einbau. Wir prüfen zunächst Messort und thermische Randbedingungen des Nachweises. Ein geeigneter Systemtest kann die tatsächliche Temperatur und Funktion absichern. Er ersetzt fehlende Lebensdauerdaten nur, wenn sein Profil und seine statistische Aussage den Lebensdauernachweis tatsächlich abdecken, aber er kann zeigen, ob wir innerhalb des belegten Einsatzbereichs bleiben.</w:t>
      </w:r>
    </w:p>
    <w:p>
      <w:pPr>
        <w:pStyle w:val="Heading2"/>
      </w:pPr>
      <w:r>
        <w:t>Einen Einsatzvertrag für die Komponente festhalten</w:t>
      </w:r>
    </w:p>
    <w:p>
      <w:r>
        <w:t>Wir fassen die Übernahme in einem kurzen Einsatzvertrag zusammen: Funktion und Leistungsgrenzen, tatsächliches Nutzungsprofil, relevante Abweichungen am Output, verfügbare Evidenz und Änderungsweg. Dazu gehören Teilenummer, Fertigungsstand und Softwareversion. Der Vertrag verbindet den Zuliefernachweis mit unserer Systemanforderung.</w:t>
      </w:r>
    </w:p>
    <w:p>
      <w:r>
        <w:t>Qualifikation ist ein dokumentierter Ausgangspunkt. Im Betrieb beobachten wir dieselbe Komponente mit Serien- und Versionsbezug weiter. Neue Lastprofile, Fertigungsänderungen oder Feldbefunde können eine Neubewertung auslösen. Kapitel 12 bleibt dafür eine Arbeitshilfe zur technischen Bewertung von Prüfmethoden; geeignete Zulieferprüfungen werden übernommen und verbleibende Lücken gezielt geschlossen.</w:t>
      </w:r>
    </w:p>
    <w:p>
      <w:pPr>
        <w:pStyle w:val="Heading2"/>
      </w:pPr>
      <w:r>
        <w:t>Ein Review strukturiert durchführen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Prüffrage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Was vergleichen wir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Mögliche Folge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Passt die Ausführung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Berichtsmuster gegen gelieferten Stand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Versionsbezogene Ergänzung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Passt die Nutzung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Testprofil gegen Systemprofil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Zusätzliche zyklische oder thermische Evidenz</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Passt die Funktion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Akzeptanzkriterium gegen Systemanforderung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während Belastung gezielt prüfen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Passt die Population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Musterherkunft gegen Serienprozess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Repräsentativität begründen oder nachweisen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Sind Änderungen geregelt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Material, Prozess, Firmware und Unterlieferant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Informations- und Neubewertungsweg vereinbaren</w:t>
            </w:r>
          </w:p>
        </w:tc>
      </w:tr>
    </w:tbl>
    <w:p>
      <w:pPr>
        <w:spacing w:after="40" w:before="40"/>
      </w:pPr>
    </w:p>
    <w:p>
      <w:r>
        <w:t>Diese Fragen verhindern sowohl unnötige Wiederholungen als auch blinde Übernahmen. Ein anderes Labor oder ein neues Formular sind allein noch kein technischer Grund für eine Wiederholung. Neue Beanspruchung, unpassende Muster oder ein veränderter Mechanismus können dagegen einen guten Grund darstellen.</w:t>
      </w:r>
    </w:p>
    <w:p>
      <w:pPr>
        <w:pStyle w:val="Heading2"/>
      </w:pPr>
      <w:r>
        <w:t>Was nach der Komponentenfreigabe geschieht</w:t>
      </w:r>
    </w:p>
    <w:p>
      <w:r>
        <w:t>Die akzeptierte Komponente wird für einen definierten Einsatz verwendet. Eingangskontrollen und Fertigungsprüfungen überwachen vereinbarte Merkmale, sind aber nicht mit der vollständigen Entwicklungsqualifikation gleichzusetzen. Im Feld werden bestätigte Fehler, Nutzung und Konfiguration verfolgt. Supplier und Systemteam erhalten relevante Befunde, und Maßnahmen werden mit Wirksamkeitsnachweis geschlossen.</w:t>
      </w:r>
    </w:p>
    <w:p>
      <w:r>
        <w:t>Eine bestehende Qualifikation darf bei Änderungen nicht stillschweigend übertragen werden. Umgekehrt wird sie nicht ohne Begründung verworfen. Ein neues Steckergehäuse kann die Mechanik beeinflussen, eine geänderte Firmware das Timing. Die Änderungsanalyse entscheidet, welche Evidenz betroffen ist.</w:t>
      </w:r>
    </w:p>
    <w:p>
      <w:pPr>
        <w:pStyle w:val="Heading2"/>
      </w:pPr>
      <w:r>
        <w:t>So gehen wir vor</w:t>
      </w:r>
    </w:p>
    <w:p>
      <w:pPr>
        <w:pStyle w:val="ListBullet"/>
      </w:pPr>
      <w:r>
        <w:t>Einsatzprofil und Nachweisziel vor der Beschaffung gemeinsam klären.</w:t>
      </w:r>
    </w:p>
    <w:p>
      <w:pPr>
        <w:pStyle w:val="ListBullet"/>
      </w:pPr>
      <w:r>
        <w:t>Das Nachweispaket mit klaren Akzeptanzkriterien vereinbaren.</w:t>
      </w:r>
    </w:p>
    <w:p>
      <w:pPr>
        <w:pStyle w:val="ListBullet"/>
      </w:pPr>
      <w:r>
        <w:t>Identität, Anwendbarkeit, Datenqualität und Lücken bewerten.</w:t>
      </w:r>
    </w:p>
    <w:p>
      <w:pPr>
        <w:pStyle w:val="ListBullet"/>
      </w:pPr>
      <w:r>
        <w:t>Gezielt ergänzen und Bedingungen der Übernahme dokumentieren.</w:t>
      </w:r>
    </w:p>
    <w:p>
      <w:pPr>
        <w:pStyle w:val="ListBullet"/>
      </w:pPr>
      <w:r>
        <w:t>Feldfeedback und Änderungsinformation als laufende Übergabe einrichten.</w:t>
      </w:r>
    </w:p>
    <w:p>
      <w:pPr>
        <w:pStyle w:val="ListBullet"/>
      </w:pPr>
      <w:r>
        <w:t>Für jede übernommene Komponente Einsatzbedingungen, Leistungszusage und Änderungsweg in einem Einsatzvertrag festhalten.</w:t>
      </w:r>
    </w:p>
    <w:p>
      <w:r>
        <w:t>Das Ergebnis ist eine freigegebene Komponente mit einem nachvollziehbaren Evidenzpaket. Der Satz „der Supplier ist zuständig“ beantwortet noch nicht, ob unsere Anwendung tatsächlich abgedeckt ist.</w:t>
      </w:r>
    </w:p>
    <w:p>
      <w:pPr>
        <w:pStyle w:val="Heading2"/>
        <w:keepNext/>
      </w:pPr>
      <w:r>
        <w:t>Übung</w:t>
      </w:r>
    </w:p>
    <w:p>
      <w:r>
        <w:t>Eine Outdoor-Lampe wurde vom Hersteller gegen Regen geprüft. Du willst sie in einem geschlossenen, heißen Gehäuse betreiben. Welche zwei Fragen stellst du, bevor du neue Tests beauftragst?</w:t>
      </w:r>
    </w:p>
    <w:p>
      <w:bookmarkStart w:id="19" w:name="chapter_12"/>
      <w:pPr>
        <w:pStyle w:val="Heading1"/>
        <w:pageBreakBefore/>
      </w:pPr>
      <w:r>
        <w:t>12 Hardwarekomponenten qualifizieren</w:t>
      </w:r>
      <w:bookmarkEnd w:id="19"/>
    </w:p>
    <w:p>
      <w:pPr>
        <w:pStyle w:val="Caption"/>
        <w:spacing w:after="70" w:line="250" w:lineRule="auto"/>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N11">
        <w:r>
          <w:rPr>
            <w:color w:val="18364A"/>
          </w:rPr>
          <w:t xml:space="preserve">[N11]</w:t>
        </w:r>
      </w:hyperlink>
      <w:r>
        <w:t xml:space="preserve"> </w:t>
      </w:r>
      <w:hyperlink w:anchor="source_N12">
        <w:r>
          <w:rPr>
            <w:color w:val="18364A"/>
          </w:rPr>
          <w:t xml:space="preserve">[N12]</w:t>
        </w:r>
      </w:hyperlink>
      <w:r>
        <w:t xml:space="preserve"> </w:t>
      </w:r>
      <w:hyperlink w:anchor="source_N13">
        <w:r>
          <w:rPr>
            <w:color w:val="18364A"/>
          </w:rPr>
          <w:t xml:space="preserve">[N13]</w:t>
        </w:r>
      </w:hyperlink>
      <w:r>
        <w:t xml:space="preserve"> </w:t>
      </w:r>
      <w:hyperlink w:anchor="source_N14">
        <w:r>
          <w:rPr>
            <w:color w:val="18364A"/>
          </w:rPr>
          <w:t xml:space="preserve">[N14]</w:t>
        </w:r>
      </w:hyperlink>
      <w:r>
        <w:t xml:space="preserve"> </w:t>
      </w:r>
      <w:hyperlink w:anchor="source_N15">
        <w:r>
          <w:rPr>
            <w:color w:val="18364A"/>
          </w:rPr>
          <w:t xml:space="preserve">[N15]</w:t>
        </w:r>
      </w:hyperlink>
      <w:r>
        <w:t xml:space="preserve"> </w:t>
      </w:r>
      <w:hyperlink w:anchor="source_N16">
        <w:r>
          <w:rPr>
            <w:color w:val="18364A"/>
          </w:rPr>
          <w:t xml:space="preserve">[N16]</w:t>
        </w:r>
      </w:hyperlink>
      <w:r>
        <w:t xml:space="preserve"> </w:t>
      </w:r>
      <w:hyperlink w:anchor="source_N17">
        <w:r>
          <w:rPr>
            <w:color w:val="18364A"/>
          </w:rPr>
          <w:t xml:space="preserve">[N17]</w:t>
        </w:r>
      </w:hyperlink>
      <w:r>
        <w:t xml:space="preserve">  |  </w:t>
      </w:r>
      <w:hyperlink w:anchor="contents">
        <w:r>
          <w:rPr>
            <w:color w:val="18364A"/>
          </w:rPr>
          <w:t xml:space="preserve">Inhalt</w:t>
        </w:r>
      </w:hyperlink>
    </w:p>
    <w:p>
      <w:pPr>
        <w:pStyle w:val="Heading2"/>
      </w:pPr>
      <w:r>
        <w:t>Vom Mechanismus zur Prüfung</w:t>
      </w:r>
    </w:p>
    <w:p>
      <w:pPr>
        <w:spacing w:after="70" w:line="250" w:lineRule="auto"/>
      </w:pPr>
      <w:r>
        <w:t>Eine Prüfung wird gewählt, weil sie eine relevante Beanspruchung und einen möglichen Funktionsverlust untersucht. Die Frage welchen Klimatest machen wir wird deshalb zuerst in die Frage übersetzt, welches Einsatzprofil und welcher Mechanismus abgesichert werden sollen. Die IEC-60068-Reihe bietet Methoden für Umweltprüfungen; die Auswahl und Anpassung brauchen weiterhin eine technische Begründung.</w:t>
      </w:r>
    </w:p>
    <w:p>
      <w:pPr>
        <w:spacing w:after="70" w:line="250" w:lineRule="auto"/>
      </w:pPr>
      <w:r>
        <w:t>Ein Turnschuh kann im trockenen Laden gut aussehen und bei Regen rutschig werden. Eine Sichtprüfung beantwortet die Frage nach Nässeverhalten nicht. Ebenso zeigt ein unauffälliges Elektronikmodul bei Raumtemperatur noch nicht, ob seine Verbindungstechnik Temperaturwechsel oder seine Mechanik Bewegung erträgt.</w:t>
      </w:r>
    </w:p>
    <w:p>
      <w:pPr>
        <w:pStyle w:val="Heading2"/>
      </w:pPr>
      <w:r>
        <w:t>Prüfziel und Aussage festlegen</w:t>
      </w:r>
    </w:p>
    <w:p>
      <w:pPr>
        <w:spacing w:after="70" w:line="250" w:lineRule="auto"/>
      </w:pPr>
      <w:r>
        <w:t>Wir unterscheiden Funktionsprüfung, Qualifikation gegen festgelegte Belastungen, explorative Robustheitsprüfung und quantitative Lebensdauerbewertung. Ein bestandener Belastungstest kann Eignung unter diesen Bedingungen zeigen. Für eine Populationsaussage über eine Zielnutzung benötigen wir zusätzlich die Statistik aus Kapitel 14 und 15.</w:t>
      </w:r>
    </w:p>
    <w:p>
      <w:pPr>
        <w:spacing w:after="70" w:line="250" w:lineRule="auto"/>
      </w:pPr>
      <w:r>
        <w:t>Vor jeder Prüfung werden Muster, Profil, Messgrößen, Ausfallkriterium und Abbruchregeln festgelegt. Funktionen werden nach Bedarf vor, während und nach der Belastung kontrolliert. Ein intermittierender Kontakt kann nach dem Abkühlen wieder funktionieren. Wer nur hinterher misst, kann diesen Fehler übersehen.</w:t>
      </w:r>
    </w:p>
    <w:p>
      <w:pPr>
        <w:pStyle w:val="Heading2"/>
      </w:pPr>
      <w:r>
        <w:t>Elektrische Belastungen und thermische Auslegung</w:t>
      </w:r>
    </w:p>
    <w:p>
      <w:pPr>
        <w:spacing w:after="70" w:line="250" w:lineRule="auto"/>
      </w:pPr>
      <w:r>
        <w:t>Wir untersuchen Versorgungstoleranz, Transienten, Einschaltstrom, Lastwechsel und wiederholtes Ein- und Ausschalten, soweit sie im Profil relevant sind. Das Bauteil wird im vorgesehenen Zustand betrieben und mit passenden Messmitteln beobachtet. Versorgungseinbrüche können einen Neustart auslösen, ohne sichtbare Hardwarebeschädigung.</w:t>
      </w:r>
    </w:p>
    <w:p>
      <w:pPr>
        <w:spacing w:after="70" w:line="250" w:lineRule="auto"/>
      </w:pPr>
      <w:r>
        <w:t>Alltagsbeispiel: Ein Ladegerät funktioniert unbelastet, bricht aber beim Laden eines leeren Akkus ein. Der Leerlauftest hat den kritischen Zustand nicht enthalten. Am Röntgensystem vergleichen wir deshalb benötigte Last, Versorgungspfad, lokale Temperatur und Fehlerreaktion. EMV-Prüfungen untersuchen zusätzlich bestimmte Störeinwirkungen und Emissionen; sie ersetzen keinen allgemeinen Lebensdauernachweis.</w:t>
      </w:r>
    </w:p>
    <w:p>
      <w:pPr>
        <w:spacing w:after="70" w:line="250" w:lineRule="auto"/>
      </w:pPr>
      <w:r>
        <w:t xml:space="preserve">Elektromagnetische Störfestigkeit und Emissionen werden gesondert betrachtet. IEC 60601-1-2 ordnet die Anforderungen und Prüfungen im Kontext von Basissicherheit und wesentlichen Leistungsmerkmalen ein. Eine störfeste Einzelbaugruppe reicht als Systemnachweis nur, wenn Einbau, Leitungen, Schnittstellen und Betriebszustände passend abgedeckt sind. </w:t>
      </w:r>
      <w:hyperlink w:anchor="source_N28">
        <w:r>
          <w:rPr>
            <w:color w:val="18364A"/>
          </w:rPr>
          <w:t xml:space="preserve">[N28]</w:t>
        </w:r>
      </w:hyperlink>
    </w:p>
    <w:p>
      <w:pPr>
        <w:pStyle w:val="Heading2"/>
      </w:pPr>
      <w:r>
        <w:t>Aufbau und Verbindungstechnik</w:t>
      </w:r>
    </w:p>
    <w:p>
      <w:pPr>
        <w:spacing w:after="70" w:line="250" w:lineRule="auto"/>
      </w:pPr>
      <w:r>
        <w:t>Leiterplatte, Lötstelle, Bond, Stecker, Kabel, Klebung und Verguss haben unterschiedliche Mechanismen. Temperaturwechsel erzeugen beispielsweise unterschiedliche Ausdehnung. Vibration und Kabelzug beanspruchen andere Stellen. Wir kombinieren die passende Belastung mit Messungen wie Kontaktwiderstand oder kontinuierlicher Unterbrechungsüberwachung. Mikroskopie, Röntgeninspektion oder Querschliff können Befunde ergänzen; zerstörende Untersuchungen werden im Prüfplan berücksichtigt.</w:t>
      </w:r>
    </w:p>
    <w:p>
      <w:pPr>
        <w:spacing w:after="70" w:line="250" w:lineRule="auto"/>
      </w:pPr>
      <w:r>
        <w:t>Alltagsbeispiel: Ein Kopfhörerkabel spielt Musik, solange es ruhig liegt, setzt aber beim Biegen am Stecker aus. Der Fehler ist lageabhängig. Eine unbewegte Abschlussprüfung kann ihn verpassen. Ein Detektorkabel wird entsprechend mit realistischem Biegeradius, Zugentlastung und Bewegung bewertet, nicht nur mit einer beliebigen Zahl von Biegungen.</w:t>
      </w:r>
    </w:p>
    <w:p>
      <w:pPr>
        <w:pStyle w:val="Heading2"/>
      </w:pPr>
      <w:r>
        <w:t>Temperatur und Temperaturwechsel</w:t>
      </w:r>
    </w:p>
    <w:p>
      <w:pPr>
        <w:spacing w:after="70" w:line="250" w:lineRule="auto"/>
      </w:pPr>
      <w:r>
        <w:t>Eine Prüfung bei konstanter Temperatur untersucht andere Aspekte als eine Temperaturwechselprüfung. Wir definieren obere und untere Temperatur, Messort, Rampen, Verweilzeit, Zykluszahl und Betriebszustand. Die Bauteiltemperatur kann wegen Eigenwärme von der Kammerluft abweichen. Ausreichende Stabilisierung wird am relevanten Ort bewertet.</w:t>
      </w:r>
    </w:p>
    <w:p>
      <w:pPr>
        <w:spacing w:after="70" w:line="250" w:lineRule="auto"/>
      </w:pPr>
      <w:r>
        <w:t>Alltagsbeispiel: Ein Marmeladenglas reagiert anders auf langsam steigende Temperatur als auf einen schnellen Wechsel von kalt zu heiß. Das verdeutlicht, warum Temperaturbereich und Wechselgeschwindigkeit getrennte Angaben sind. Für ein Modul untersuchen wir, ob der Test die relevante Materialbeanspruchung trifft und keine völlig andere, im Einsatz nicht vorkommende Schädigung erzeugt.</w:t>
      </w:r>
    </w:p>
    <w:p>
      <w:pPr>
        <w:pStyle w:val="Heading2"/>
      </w:pPr>
      <w:r>
        <w:t>Feuchte und Kondensation</w:t>
      </w:r>
    </w:p>
    <w:p>
      <w:pPr>
        <w:spacing w:after="70" w:line="250" w:lineRule="auto"/>
      </w:pPr>
      <w:r>
        <w:t>Relative Feuchte, Temperatur und Kondensation müssen unterschieden werden. Kondensation hängt von Oberflächentemperatur und Taupunkt ab. Ein Test mit konstanter feuchter Wärme ohne Kondensation deckt das Beschlagen einer kalten Oberfläche nach Transport in einen warmen Raum nur mit einem entsprechenden Kondensationsprofil ab. IEC 60068-2-78 beschreibt einen solchen konstanten Feuchtefall; andere Szenarien brauchen passende Methoden.</w:t>
      </w:r>
    </w:p>
    <w:p>
      <w:pPr>
        <w:spacing w:after="70" w:line="250" w:lineRule="auto"/>
      </w:pPr>
      <w:r>
        <w:t>Alltagsbeispiel: Eine Brille beschlägt beim Betreten eines warmen Raums. Das ist nicht dasselbe wie längeres Liegen in feuchter Luft. Bei einem Röntgenmodul fragen wir nach elektrischen Leckpfaden, Korrosion, optischen Effekten und Wiederinbetriebnahme. Funktionszustand und Beaufschlagung werden begründet, statt immer nur unbelastet zu lagern.</w:t>
      </w:r>
    </w:p>
    <w:p>
      <w:pPr>
        <w:pStyle w:val="Heading2"/>
      </w:pPr>
      <w:r>
        <w:t>Mechanische Festigkeit und Ermüdung</w:t>
      </w:r>
    </w:p>
    <w:p>
      <w:pPr>
        <w:spacing w:after="70" w:line="250" w:lineRule="auto"/>
      </w:pPr>
      <w:r>
        <w:t>Ein statischer Festigkeitsnachweis untersucht eine definierte Last und ihre Wirkung. Eine Finite-Elemente-Analyse, kurz FEM, berechnet Spannungen und Verformungen anhand eines Modells. Materialdaten, Lagerung, Kontakte, Lastpfade, Netzqualität und Modellabgleich entscheiden über ihre Aussage. Eine farbige Spannungsdarstellung ist kein Nachweis, solange die Randbedingungen nicht stimmen.</w:t>
      </w:r>
    </w:p>
    <w:p>
      <w:pPr>
        <w:spacing w:after="70" w:line="250" w:lineRule="auto"/>
      </w:pPr>
      <w:r>
        <w:t>Ermüdung entsteht durch wiederholte Beanspruchung. Wöhlerdaten beschreiben den Zusammenhang zwischen zyklischer Belastung und Lebensdauer unter bestimmten Bedingungen. Lastkollektive, Mittelspannung, Oberflächen und Fertigungsstreuung können relevant sein. Ein Lastsummenansatz wie Miner ist eine Modellannahme mit Grenzen und keine automatisch genaue Lebensdauerprognose.</w:t>
      </w:r>
    </w:p>
    <w:p>
      <w:pPr>
        <w:spacing w:after="70" w:line="250" w:lineRule="auto"/>
      </w:pPr>
      <w:r>
        <w:t>Alltagsbeispiel: Eine Büroklammer trägt eine kleine statische Last, bricht aber nach mehrmaligem Hin- und Herbiegen. Am Röntgensystem müssen Halterung und Kabel deshalb sowohl maximale Last als auch wiederholte Bewegung ertragen. Ein einzelner hoher Lasttest ersetzt keine zyklische Bewertung.</w:t>
      </w:r>
    </w:p>
    <w:p>
      <w:pPr>
        <w:pStyle w:val="Heading2"/>
      </w:pPr>
      <w:r>
        <w:t>Dynamische mechanische Belastungen prüfen</w:t>
      </w:r>
    </w:p>
    <w:p>
      <w:pPr>
        <w:spacing w:after="70" w:line="250" w:lineRule="auto"/>
      </w:pPr>
      <w:r>
        <w:t>Vibration ist eine wiederholte dynamische Anregung; Schock eine kurze Stoßbelastung. Ein Fall erzeugt zusätzlich Kontaktbedingungen, Orientierung und lokale Energieeinleitung. Wir legen Befestigung, Achsen, Frequenzinhalt, Amplitude, Dauer beziehungsweise Stoßverlauf sowie bei Fallprüfungen Höhe, Untergrund und Orientierung fest. Sinus- und Zufallsvibration beantworten unterschiedliche Fragen.</w:t>
      </w:r>
    </w:p>
    <w:p>
      <w:pPr>
        <w:spacing w:after="70" w:line="250" w:lineRule="auto"/>
      </w:pPr>
      <w:r>
        <w:t>Alltagsbeispiel: Eine Lieferung im Paketauto wird lange gerüttelt und kann zusätzlich kurz herunterfallen. Ein einzelner Falltest deckt die gesamte Transportgeschichte nicht ab. Für ein Modul unterscheiden wir Prüfung mit Verpackung, im Einbau und als lose Komponente. Ein Rütteltest an unrealistischer Befestigung kann falsche Schwachstellen erzeugen oder reale Resonanzen verbergen.</w:t>
      </w:r>
    </w:p>
    <w:p>
      <w:pPr>
        <w:pStyle w:val="Heading2"/>
      </w:pPr>
      <w:r>
        <w:t>Strahlenfestigkeit</w:t>
      </w:r>
    </w:p>
    <w:p>
      <w:pPr>
        <w:spacing w:after="70" w:line="250" w:lineRule="auto"/>
      </w:pPr>
      <w:r>
        <w:t>Eine Strahlenprüfung beschreibt Strahlungsart beziehungsweise Spektrum, Geometrie, Abschirmung, Dosisleistung, kumulierte Dosis am relevanten Ort und Betriebszustand. Während der Bestrahlung können zeitweilige Funktionsfehler auftreten; nachher können bleibende Änderungen sichtbar sein. Beide Wirkungen werden getrennt erfasst. Die empfindliche Stelle kann innerhalb der Baugruppe liegen, während eine äußere Messposition andere Werte liefert.</w:t>
      </w:r>
    </w:p>
    <w:p>
      <w:pPr>
        <w:spacing w:after="70" w:line="250" w:lineRule="auto"/>
      </w:pPr>
      <w:r>
        <w:t>Alltagsbeispiel: Ein Foto an der Sonne kann sich mit der Zeit verändern. Das illustriert nur den Gedanken einer kumulierten Einwirkung. Sonnenlicht und Röntgenstrahlung haben jedoch unterschiedliche physikalische Wirkungen; aus der Analogie folgt kein Prüfmodell. Für das Röntgensystem wird ein eigener, begründeter Bestrahlungsnachweis erstellt. Raumfahrtmodelle für andere Strahlungsfelder werden nicht ungeprüft übernommen.</w:t>
      </w:r>
    </w:p>
    <w:p>
      <w:pPr>
        <w:pStyle w:val="Heading2"/>
      </w:pPr>
      <w:r>
        <w:t>Belastungen außerhalb des Betriebs berücksichtigen</w:t>
      </w:r>
    </w:p>
    <w:p>
      <w:pPr>
        <w:spacing w:after="70" w:line="250" w:lineRule="auto"/>
      </w:pPr>
      <w:r>
        <w:t>Auch ohne aktive Funktion wirken Feuchte, Temperatur, Chemikalien, Verpackung und Zeit. Ersatzteilalterung und anschließende Wiederinbetriebnahme gehören zum Lebenszyklus. Reinigungsmittel können Dichtungen, Kunststoffe, Beschriftungen und Klebungen beeinflussen. Wir betrachten vorgesehene Mittel und Anwendungen einschließlich Wiederholung, Kontaktzeit und Trocknung.</w:t>
      </w:r>
    </w:p>
    <w:p>
      <w:pPr>
        <w:spacing w:after="70" w:line="250" w:lineRule="auto"/>
      </w:pPr>
      <w:r>
        <w:t>Alltagsbeispiel: Ein Gummiband kann jahrelang unbenutzt in einer Schublade liegen und anschließend spröde sein. Keine Betriebsstunden bedeutet nicht keine Alterung. Ein gelagerter Detektor oder ein Ersatzkabel benötigt deshalb eine begründete Lager- und Wiederinbetriebnahmebewertung.</w:t>
      </w:r>
    </w:p>
    <w:p>
      <w:pPr>
        <w:pStyle w:val="Heading2"/>
      </w:pPr>
      <w:r>
        <w:t>Kombinierte Belastungen und Testfolge</w:t>
      </w:r>
    </w:p>
    <w:p>
      <w:pPr>
        <w:spacing w:after="70" w:line="250" w:lineRule="auto"/>
      </w:pPr>
      <w:r>
        <w:t>Wärme, Feuchte und elektrische Spannung können gemeinsam anders wirken als isoliert. Eine vorherige mechanische Schädigung kann spätere Feuchteempfindlichkeit erhöhen. Deshalb planen wir kombinierte Belastungen oder eine begründete Reihenfolge, wenn das Profil und der Mechanismus es verlangen. Die Ergebnisse verschiedener Einzeltests lassen sich nicht einfach zu einer umfassenden Systemzuverlässigkeit addieren.</w:t>
      </w:r>
    </w:p>
    <w:p>
      <w:pPr>
        <w:spacing w:after="70" w:line="250" w:lineRule="auto"/>
      </w:pPr>
      <w:r>
        <w:t>Alltagsbeispiel: Ein Pappkarton trägt eine Last trocken gut. Erst nachdem er nass geworden ist, verformt er sich unter derselben Last. Die Reihenfolge ist relevant. Für eine Baugruppe halten wir fest, ob jedes Muster nur einen Test durchläuft oder ob Vorschädigung Teil des geplanten Nachweises ist.</w:t>
      </w:r>
    </w:p>
    <w:p>
      <w:pPr>
        <w:pStyle w:val="Heading2"/>
      </w:pPr>
      <w:r>
        <w:t>Eine Prüfmatrix aufbauen</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Mechanismus oder Fragestellung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Profilbeschreibung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Beobachtung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Kontaktunterbrechung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Realistische Bewegung und Belastung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Kontinuierliche Kontakt- und Funktionsüberwachung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Temperaturabhängige Degradation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Relevante Temperatur mit realer Eigenlast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Leistung und Bauteiltemperatur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Ermüdung einer Halterung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Repräsentatives zyklisches Lastkollektiv</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Verformung, Riss und Funktionsverlust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Strahlungsbedingte Änderung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Begründetes Bestrahlungsprofil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 während und nach der Einwirkung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Lagerungsbedingte Veränderung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Zeit und Umwelt mit Wiederanlauf</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Zustand und Funktion nach Lagerung</w:t>
            </w:r>
          </w:p>
        </w:tc>
      </w:tr>
    </w:tbl>
    <w:p>
      <w:pPr>
        <w:spacing w:after="70" w:before="40" w:line="250" w:lineRule="auto"/>
      </w:pPr>
    </w:p>
    <w:p>
      <w:pPr>
        <w:spacing w:after="70" w:line="250" w:lineRule="auto"/>
      </w:pPr>
      <w:r>
        <w:t>Die vollständige Matrix ergänzt Anforderung, Musterzahl, Serienrepräsentativität, Messunsicherheit, Akzeptanz, Abbruchregel, Verantwortlichen und Nachweisdokument. Ein Test ohne spezifizierte Beobachtung kann ein Muster stark beanspruchen und dennoch die entscheidende Fehlermöglichkeit nicht erkennen.</w:t>
      </w:r>
    </w:p>
    <w:p>
      <w:pPr>
        <w:pStyle w:val="Heading2"/>
      </w:pPr>
      <w:r>
        <w:t>Bestandene Prüfungen in eine belastbare Aussage übersetzen</w:t>
      </w:r>
    </w:p>
    <w:p>
      <w:pPr>
        <w:spacing w:after="70" w:line="250" w:lineRule="auto"/>
      </w:pPr>
      <w:r>
        <w:t>Eine Prüfmatrix wird lesbar, wenn jede Zeile dieselbe Frage beantwortet: Welcher Mechanismus könnte welche Funktion verlieren, welche Belastung macht ihn sichtbar und welcher Befund entscheidet? Ein Temperaturwechseltest, ein Vibrationsversuch und ein Falltest ersetzen einander nicht. Auch Strahlenfestigkeit benötigt ein eigenes Profil mit Messort, Strahlungsart und relevanter kumulierter Belastung.</w:t>
      </w:r>
    </w:p>
    <w:p>
      <w:pPr>
        <w:spacing w:after="70" w:line="250" w:lineRule="auto"/>
      </w:pPr>
      <w:r>
        <w:t>Für eine Steckverbindung kann der Zulieferer zunächst Temperaturwechsel und Kontaktwiderstand bewerten. Unsere Integration prüft zusätzlich die reale Kabelführung, Zugentlastung und Versorgung während Bewegung. Die Bauteilqualifikation wird damit nicht pauschal wiederholt; ihre Gültigkeit wird am eingebauten Produkt abgesichert.</w:t>
      </w:r>
    </w:p>
    <w:p>
      <w:pPr>
        <w:spacing w:after="70" w:line="250" w:lineRule="auto"/>
      </w:pPr>
      <w:r>
        <w:t>Ein Abschlusswert allein kann zeitweilige Unterbrechungen übersehen. Wir legen daher fest, welche Funktionen während der Belastung, zwischen Teilprüfungen und nach der Prüfung gemessen werden. Musterzustand, Belastungshistorie, Messauflösung, Fehlerzeitpunkt und Untersuchung des ausgefallenen Musters gehören zum Bericht. Eine bestandene Normprüfung und ein statistischer Lebensdauernachweis bleiben unterschiedliche Aussagen.</w:t>
      </w:r>
    </w:p>
    <w:p>
      <w:pPr>
        <w:pStyle w:val="Heading2"/>
      </w:pPr>
      <w:r>
        <w:t>So gehen wir vor</w:t>
      </w:r>
    </w:p>
    <w:p>
      <w:pPr>
        <w:pStyle w:val="ListBullet"/>
        <w:spacing w:after="70" w:line="250" w:lineRule="auto"/>
      </w:pPr>
      <w:r>
        <w:t>Relevante Ausfallmechanismen aus Profil, FMEA und Felderfahrung sammeln.</w:t>
      </w:r>
    </w:p>
    <w:p>
      <w:pPr>
        <w:pStyle w:val="ListBullet"/>
        <w:spacing w:after="70" w:line="250" w:lineRule="auto"/>
      </w:pPr>
      <w:r>
        <w:t>Vorhandene Supplier-Evidenz prüfen und nur verbleibende Lücken planen.</w:t>
      </w:r>
    </w:p>
    <w:p>
      <w:pPr>
        <w:pStyle w:val="ListBullet"/>
        <w:spacing w:after="70" w:line="250" w:lineRule="auto"/>
      </w:pPr>
      <w:r>
        <w:t>Profile und Akzeptanzkriterien vor Testbeginn festlegen.</w:t>
      </w:r>
    </w:p>
    <w:p>
      <w:pPr>
        <w:pStyle w:val="ListBullet"/>
        <w:spacing w:after="70" w:line="250" w:lineRule="auto"/>
      </w:pPr>
      <w:r>
        <w:t>Funktionen und Beanspruchungen während der Prüfung passend beobachten.</w:t>
      </w:r>
    </w:p>
    <w:p>
      <w:pPr>
        <w:pStyle w:val="ListBullet"/>
        <w:spacing w:after="70" w:line="250" w:lineRule="auto"/>
      </w:pPr>
      <w:r>
        <w:t>Ausfälle untersuchen, Daten einschließlich erfolgreicher Muster sichern und Aussagegrenzen dokumentieren.</w:t>
      </w:r>
    </w:p>
    <w:p>
      <w:pPr>
        <w:pStyle w:val="ListBullet"/>
        <w:spacing w:after="70" w:line="250" w:lineRule="auto"/>
      </w:pPr>
      <w:r>
        <w:t>Festlegen, was während, zwischen und nach der Belastung gemessen wird.</w:t>
      </w:r>
    </w:p>
    <w:p>
      <w:pPr>
        <w:spacing w:after="70" w:line="250" w:lineRule="auto"/>
      </w:pPr>
      <w:r>
        <w:t>Das Ergebnis ist ein Qualifikationsbericht für eine konkrete Ausführung und Anwendung. Statistik und Beschleunigungsfaktoren werden nicht nachträglich passend gewählt, damit das Ergebnis gut aussieht.</w:t>
      </w:r>
    </w:p>
    <w:p>
      <w:pPr>
        <w:pStyle w:val="Heading2"/>
        <w:keepNext/>
      </w:pPr>
      <w:r>
        <w:t>Übung</w:t>
      </w:r>
    </w:p>
    <w:p>
      <w:pPr>
        <w:spacing w:after="70" w:line="250" w:lineRule="auto"/>
      </w:pPr>
      <w:r>
        <w:t>Ein Stecker funktioniert nach einer Vibrationsprüfung. Während der Prüfung wurden keine Daten übertragen. Welche Aussage ist möglich und welche wichtige Frage ist noch offen?</w:t>
      </w:r>
    </w:p>
    <w:p>
      <w:bookmarkStart w:id="20" w:name="chapter_13"/>
      <w:pPr>
        <w:pStyle w:val="Heading1"/>
        <w:pageBreakBefore/>
      </w:pPr>
      <w:r>
        <w:t>13 Software und Firmware zuverlässig gestalten</w:t>
      </w:r>
      <w:bookmarkEnd w:id="20"/>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 xml:space="preserve">Grundlagen </w:t>
      </w:r>
      <w:hyperlink w:anchor="source_Q08">
        <w:r>
          <w:rPr>
            <w:color w:val="18364A"/>
          </w:rPr>
          <w:t xml:space="preserve">[Q08]</w:t>
        </w:r>
      </w:hyperlink>
      <w:r>
        <w:t xml:space="preserve"> </w:t>
      </w:r>
      <w:hyperlink w:anchor="source_N19">
        <w:r>
          <w:rPr>
            <w:color w:val="18364A"/>
          </w:rPr>
          <w:t xml:space="preserve">[N19]</w:t>
        </w:r>
      </w:hyperlink>
      <w:r>
        <w:t xml:space="preserve">  |  </w:t>
      </w:r>
      <w:hyperlink w:anchor="contents">
        <w:r>
          <w:rPr>
            <w:color w:val="18364A"/>
          </w:rPr>
          <w:t xml:space="preserve">Inhalt</w:t>
        </w:r>
      </w:hyperlink>
    </w:p>
    <w:p>
      <w:pPr>
        <w:pStyle w:val="Heading2"/>
      </w:pPr>
      <w:r>
        <w:t>Ein Fehler kann lange verborgen bleiben</w:t>
      </w:r>
    </w:p>
    <w:p>
      <w:r>
        <w:t>Eine Navigations-App funktioniert im Alltag, stürzt aber bei einem Wechsel der Zeitzone zusammen mit einem Verbindungsabbruch ab. Der Programmfehler kann seit der ersten Version vorhanden sein. Die seltene Kombination hat ihn aktiviert. Diese Art von Fehler wird nicht durch eine Materialverschleißkurve erklärt.</w:t>
      </w:r>
    </w:p>
    <w:p>
      <w:r>
        <w:t>Softwarezuverlässigkeit betrachtet die Funktionserfüllung über ein definiertes operationales Nutzungsprofil. Softwarefehler sind oft systematisch; ihr Auftreten hängt von Eingaben, Zuständen, Reihenfolgen und Ressourcen ab. Firmware verbindet diese Logik zusätzlich eng mit Hardware und Echtzeitverhalten. Ein statistischer Erfolgsanteil ist nur sinnvoll, wenn die betrachteten Abläufe und die Datenerzeugung klar definiert sind.</w:t>
      </w:r>
    </w:p>
    <w:p>
      <w:pPr>
        <w:pStyle w:val="Heading2"/>
      </w:pPr>
      <w:r>
        <w:t>Anforderungen und Verhalten prüfen</w:t>
      </w:r>
    </w:p>
    <w:p>
      <w:r>
        <w:t>Wir untersuchen erwartete Outputs, unerwünschte Outputs, Zustandsübergänge, Timing und Ressourcen. Unit-Tests prüfen lokale Logik. Integrationstests prüfen Verträge und gemeinsame Zustände. Systemtests prüfen die Nutzungskette. Codeabdeckung zeigt, welche Programmteile ausgeführt wurden; sie beweist weder die Vollständigkeit der Anforderungen noch die richtige Funktion in allen relevanten Zuständen.</w:t>
      </w:r>
    </w:p>
    <w:p>
      <w:r>
        <w:t>Eine Million Wiederholungen desselben erfolgreichen Ablaufs ist deshalb keine breite Zustandsabdeckung. Eine Waschmaschinensteuerung kann ein Standardprogramm immer korrekt ausführen und beim Öffnen, Unterbrechen und Wiederanlaufen einen Fehler haben. Wir testen nicht nur viele Wiederholungen, sondern auch bewusst andere relevante Sequenzen.</w:t>
      </w:r>
    </w:p>
    <w:p>
      <w:pPr>
        <w:pStyle w:val="Heading2"/>
      </w:pPr>
      <w:r>
        <w:t>Testmethoden nach ihrer Aufgabe unterscheiden</w:t>
      </w:r>
    </w:p>
    <w:p>
      <w:r>
        <w:t>Fuzzing erzeugt systematisch oder zufällig variierte Eingaben, um unerwartetes Verhalten aufzudecken. Dazu gehören etwa beschädigte Nachrichten, Grenzwerte oder ungewöhnliche Reihenfolgen. Stressprüfungen erhöhen relevante Last wie Datenverkehr, Parallelität oder Speicherauslastung. Fehlerinjektion erzeugt kontrollierte Störungen, beispielsweise Verbindungsverlust oder verzögerte Antworten.</w:t>
      </w:r>
    </w:p>
    <w:p>
      <w:r>
        <w:t>Langlauftests suchen kumulierende Effekte wie Speicherlecks. Recovery-Tests untersuchen Wiederanlauf und Zustandskonsistenz. Jede Methode braucht ein Testorakel: eine Regel, anhand derer Erfolg, Fehler und erwartete Schutzreaktion erkannt werden. Ein Programm, das nicht abstürzt, kann trotzdem falsche Daten liefern.</w:t>
      </w:r>
    </w:p>
    <w:p>
      <w:pPr>
        <w:pStyle w:val="Heading2"/>
      </w:pPr>
      <w:r>
        <w:t>Ein Röntgenbeispiel</w:t>
      </w:r>
    </w:p>
    <w:p>
      <w:r>
        <w:t>Während des Bildauslesens verzögert sich eine Nachricht. Die Steuerung startet einen Wiederanlauf, aber eine verspätete Antwort aus dem alten Auftrag trifft ein. Wir prüfen, ob Auftragskennung, Zustandsmodell und Datenzuordnung diese Antwort sicher behandeln. Der Fehler liegt möglicherweise im Zusammenspiel zweier korrekter lokaler Funktionen.</w:t>
      </w:r>
    </w:p>
    <w:p>
      <w:r>
        <w:t>Die Tests erfassen Version, Startzustand, Eingaben, Reihenfolge, Timing, Zufallsseed und Ergebnis. So lässt sich ein gefundener Fehler wiederholen. Logs müssen Ursache und Wirkung auseinanderhalten helfen: Der letzte Timeout im Log kann eine Folge und nicht der Beginn der Fehlerkette sein.</w:t>
      </w:r>
    </w:p>
    <w:p>
      <w:pPr>
        <w:pStyle w:val="Heading2"/>
      </w:pPr>
      <w:r>
        <w:t>Modell und reale Hardware</w:t>
      </w:r>
    </w:p>
    <w:p>
      <w:r>
        <w:t>Ein virtuelles Modell kann viele Eingaben und Abläufe früh prüfen. Seine Aussage gilt für die modellierten Effekte. Physikalische Eigenwärme, elektromagnetische Störungen oder eine reale elektrische Startsequenz brauchen geeignete zusätzliche Evidenz. Reale Hardware wird gezielt für relevante Integrationsfragen verwendet; ein freigegebenes Bauteil muss dafür nicht erneut vollständig qualifiziert werden.</w:t>
      </w:r>
    </w:p>
    <w:p>
      <w:r>
        <w:t>IEC 62304 liefert einen Softwarelebenszyklusrahmen im medizintechnischen Kontext. Das allein ersetzt weder die abschließende Gerätevalidierung noch die Freigabeentscheidung. Die konkreten Aktivitäten und Sicherheitsanforderungen werden im freigegebenen Produktprozess festgelegt.</w:t>
      </w:r>
    </w:p>
    <w:p>
      <w:pPr>
        <w:pStyle w:val="Heading2"/>
      </w:pPr>
      <w:r>
        <w:t>Updates als technische Änderungen bewerten</w:t>
      </w:r>
    </w:p>
    <w:p>
      <w:r>
        <w:t xml:space="preserve">Ein Update kann Timing, Protokollverhalten, Speicherbedarf und Leistungsaufnahme verändern. Wir prüfen die betroffenen Versionskombinationen, Schnittstellen und Rückfallebenen. Auch ein Security-Patch benötigt eine angemessene Bewertung seiner Wirkung auf die benötigten Funktionen. IEC 81001-5-1 beschreibt Aktivitäten für den sicheren Lebenszyklus von Gesundheitssoftware; die offizielle Beschreibung weist auch auf die korrigierte Fassung hin. </w:t>
      </w:r>
      <w:hyperlink w:anchor="source_N24">
        <w:r>
          <w:rPr>
            <w:color w:val="18364A"/>
          </w:rPr>
          <w:t xml:space="preserve">[N24]</w:t>
        </w:r>
      </w:hyperlink>
    </w:p>
    <w:p>
      <w:r>
        <w:t>Für Fehlerdaten aus einer stabilen Testphase können Software-Zuverlässigkeitswachstumsmodelle eine Vertiefung sein. Sie beruhen auf Annahmen über Nutzung, Fehlerentdeckung und Fehlerbeseitigung. Veränderte Testintensität oder neue Funktionen können einen scheinbaren Trend erzeugen. Eine sinkende Zahl gemeldeter Bugs ersetzt deshalb keine Prüfung der Systemfunktion.</w:t>
      </w:r>
    </w:p>
    <w:p>
      <w:r>
        <w:t>Bei datengetriebenen oder KI-basierten Funktionen definieren wir die geforderte Leistung für die vorgesehene Population. Veränderungen der Eingangsdaten können die Leistung beeinflussen. Wir unterscheiden dabei technische Funktionsausfälle und fachliche Leistungsgrenzen. Ob zusätzliche regulatorische Anforderungen gelten, wird produktspezifisch geprüft; eine KI-Funktion wird nicht allein durch eine pauschale Zuverlässigkeitszahl beschrieben.</w:t>
      </w:r>
    </w:p>
    <w:p>
      <w:pPr>
        <w:pStyle w:val="Heading2"/>
      </w:pPr>
      <w:r>
        <w:t>So gehen wir vor</w:t>
      </w:r>
    </w:p>
    <w:p>
      <w:pPr>
        <w:pStyle w:val="ListBullet"/>
      </w:pPr>
      <w:r>
        <w:t>Operationales Profil und Zustandsmodell mit der Systemfunktion verknüpfen.</w:t>
      </w:r>
    </w:p>
    <w:p>
      <w:pPr>
        <w:pStyle w:val="ListBullet"/>
      </w:pPr>
      <w:r>
        <w:t>Schnittstellenverträge, Zeitbedingungen und Ressourcenlimits prüfbar beschreiben.</w:t>
      </w:r>
    </w:p>
    <w:p>
      <w:pPr>
        <w:pStyle w:val="ListBullet"/>
      </w:pPr>
      <w:r>
        <w:t>Normale, grenznahe und fehlerhafte Sequenzen auswählen.</w:t>
      </w:r>
    </w:p>
    <w:p>
      <w:pPr>
        <w:pStyle w:val="ListBullet"/>
      </w:pPr>
      <w:r>
        <w:t>Fuzzing, Last und Fehlerinjektion mit geeignetem Testorakel kombinieren.</w:t>
      </w:r>
    </w:p>
    <w:p>
      <w:pPr>
        <w:pStyle w:val="ListBullet"/>
      </w:pPr>
      <w:r>
        <w:t>Ergebnisse reproduzierbar speichern und nach Änderungen gezielt regressieren.</w:t>
      </w:r>
    </w:p>
    <w:p>
      <w:pPr>
        <w:pStyle w:val="ListBullet"/>
      </w:pPr>
      <w:r>
        <w:t>Updates als Änderung bewerten; bei KI-Funktionen geforderte Leistung und betrachtete Population definieren.</w:t>
      </w:r>
    </w:p>
    <w:p>
      <w:r>
        <w:t>Das Ergebnis ist ein versionsbezogener Funktions- und Robustheitsnachweis. Eine grüne Testliste ohne bekannte Abdeckung und Aussagegrenzen ist noch keine vollständige Zuverlässigkeitsbewertung.</w:t>
      </w:r>
    </w:p>
    <w:p>
      <w:pPr>
        <w:pStyle w:val="Heading2"/>
        <w:keepNext/>
      </w:pPr>
      <w:r>
        <w:t>Übung</w:t>
      </w:r>
    </w:p>
    <w:p>
      <w:r>
        <w:t>Eine App wurde tausendmal mit derselben Datei geöffnet. Welche zusätzlichen Eingaben und Zustandsfolgen würdest du prüfen, bevor du sie als zuverlässig bewertest?</w:t>
      </w:r>
    </w:p>
    <w:p>
      <w:bookmarkStart w:id="21" w:name="chapter_14"/>
      <w:pPr>
        <w:pStyle w:val="Heading1"/>
        <w:pageBreakBefore/>
      </w:pPr>
      <w:r>
        <w:t>14 Lebensdauerstatistik und Konfidenzniveau richtig interpretieren</w:t>
      </w:r>
      <w:bookmarkEnd w:id="21"/>
    </w:p>
    <w:p>
      <w:pPr>
        <w:pStyle w:val="Caption"/>
        <w:spacing w:after="70" w:line="250" w:lineRule="auto"/>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3">
        <w:r>
          <w:rPr>
            <w:color w:val="18364A"/>
          </w:rPr>
          <w:t xml:space="preserve">[Q03]</w:t>
        </w:r>
      </w:hyperlink>
      <w:r>
        <w:t xml:space="preserve"> </w:t>
      </w:r>
      <w:hyperlink w:anchor="source_Q12">
        <w:r>
          <w:rPr>
            <w:color w:val="18364A"/>
          </w:rPr>
          <w:t xml:space="preserve">[Q12]</w:t>
        </w:r>
      </w:hyperlink>
      <w:r>
        <w:t xml:space="preserve"> </w:t>
      </w:r>
      <w:hyperlink w:anchor="source_Q13">
        <w:r>
          <w:rPr>
            <w:color w:val="18364A"/>
          </w:rPr>
          <w:t xml:space="preserve">[Q13]</w:t>
        </w:r>
      </w:hyperlink>
      <w:r>
        <w:t xml:space="preserve"> </w:t>
      </w:r>
      <w:hyperlink w:anchor="source_Q14">
        <w:r>
          <w:rPr>
            <w:color w:val="18364A"/>
          </w:rPr>
          <w:t xml:space="preserve">[Q14]</w:t>
        </w:r>
      </w:hyperlink>
      <w:r>
        <w:t xml:space="preserve"> </w:t>
      </w:r>
      <w:hyperlink w:anchor="source_Q15">
        <w:r>
          <w:rPr>
            <w:color w:val="18364A"/>
          </w:rPr>
          <w:t xml:space="preserve">[Q15]</w:t>
        </w:r>
      </w:hyperlink>
      <w:r>
        <w:t xml:space="preserve"> </w:t>
      </w:r>
      <w:hyperlink w:anchor="source_Q17">
        <w:r>
          <w:rPr>
            <w:color w:val="18364A"/>
          </w:rPr>
          <w:t xml:space="preserve">[Q17]</w:t>
        </w:r>
      </w:hyperlink>
      <w:r>
        <w:t xml:space="preserve"> </w:t>
      </w:r>
      <w:hyperlink w:anchor="source_Q18">
        <w:r>
          <w:rPr>
            <w:color w:val="18364A"/>
          </w:rPr>
          <w:t xml:space="preserve">[Q18]</w:t>
        </w:r>
      </w:hyperlink>
      <w:r>
        <w:t xml:space="preserve"> </w:t>
      </w:r>
      <w:hyperlink w:anchor="source_Q21">
        <w:r>
          <w:rPr>
            <w:color w:val="18364A"/>
          </w:rPr>
          <w:t xml:space="preserve">[Q21]</w:t>
        </w:r>
      </w:hyperlink>
      <w:r>
        <w:t xml:space="preserve"> </w:t>
      </w:r>
      <w:hyperlink w:anchor="source_N08">
        <w:r>
          <w:rPr>
            <w:color w:val="18364A"/>
          </w:rPr>
          <w:t xml:space="preserve">[N08]</w:t>
        </w:r>
      </w:hyperlink>
      <w:r>
        <w:t xml:space="preserve"> </w:t>
      </w:r>
      <w:hyperlink w:anchor="source_N09">
        <w:r>
          <w:rPr>
            <w:color w:val="18364A"/>
          </w:rPr>
          <w:t xml:space="preserve">[N09]</w:t>
        </w:r>
      </w:hyperlink>
      <w:r>
        <w:t xml:space="preserve"> </w:t>
      </w:r>
      <w:hyperlink w:anchor="source_N10">
        <w:r>
          <w:rPr>
            <w:color w:val="18364A"/>
          </w:rPr>
          <w:t xml:space="preserve">[N10]</w:t>
        </w:r>
      </w:hyperlink>
      <w:r>
        <w:t xml:space="preserve">  |  </w:t>
      </w:r>
      <w:hyperlink w:anchor="contents">
        <w:r>
          <w:rPr>
            <w:color w:val="18364A"/>
          </w:rPr>
          <w:t xml:space="preserve">Inhalt</w:t>
        </w:r>
      </w:hyperlink>
    </w:p>
    <w:p>
      <w:pPr>
        <w:pStyle w:val="Heading2"/>
        <w:spacing w:before="160" w:after="80"/>
      </w:pPr>
      <w:r>
        <w:t>Von einzelnen Erfahrungen zur Population</w:t>
      </w:r>
    </w:p>
    <w:p>
      <w:pPr>
        <w:spacing w:after="70" w:line="250" w:lineRule="auto"/>
      </w:pPr>
      <w:r>
        <w:t>Eine Familie berichtet, dass ihre Waschmaschine zwölf Jahre gehalten hat. Eine andere erlebt einen Ausfall nach zwei Jahren. Beide Beobachtungen können zu derselben Population gehören. Statistik beschreibt die Streuung und die Unsicherheit einer Aussage über viele Einheiten. Ein besonders gutes Einzelgerät beweist nicht, dass alle Geräte entsprechend lange halten.</w:t>
      </w:r>
    </w:p>
    <w:p>
      <w:pPr>
        <w:spacing w:after="70" w:line="250" w:lineRule="auto"/>
      </w:pPr>
      <w:r>
        <w:t>Wir beginnen mit der betrachteten Population, Funktion und Nutzungsgröße. Lebensdauer kann in Stunden, Zyklen, Aufnahmen oder Kalenderzeit gemessen werden. Werden unterschiedliche Nutzungsprofile zusammengefasst, muss ihre Wirkung auf das Ergebnis geprüft werden. Eine zufällige Stichprobe aus einer ungeeigneten Population beantwortet weiterhin die falsche Frage.</w:t>
      </w:r>
    </w:p>
    <w:p>
      <w:pPr>
        <w:pStyle w:val="Heading2"/>
        <w:spacing w:before="160" w:after="80"/>
      </w:pPr>
      <w:r>
        <w:t>Zuverlässigkeit und Ausfallverteilung</w:t>
      </w:r>
    </w:p>
    <w:p>
      <w:pPr>
        <w:spacing w:after="70" w:line="250" w:lineRule="auto"/>
      </w:pPr>
      <w:r>
        <w:t>Die Lebensdauer bis zum definierten Ausfall nennen wir T. Die Zuverlässigkeit R(t) ist die Wahrscheinlichkeit, dass eine Einheit die Nutzung t ohne diesen Ausfall übersteht. Die Ausfallverteilung F(t) beschreibt den bis dahin ausgefallenen Anteil im Modell.</w:t>
      </w:r>
    </w:p>
    <w:p>
      <w:pPr>
        <w:spacing w:before="80" w:after="70" w:line="250" w:lineRule="auto"/>
        <w:jc w:val="center"/>
      </w:pPr>
      <m:oMathPara>
        <m:oMath>
          <m:r>
            <m:t>R(t) = P(T &gt; t)</m:t>
          </m:r>
        </m:oMath>
      </m:oMathPara>
    </w:p>
    <w:p>
      <w:pPr>
        <w:spacing w:before="80" w:after="70" w:line="250" w:lineRule="auto"/>
        <w:jc w:val="center"/>
      </w:pPr>
      <m:oMathPara>
        <m:oMath>
          <m:r>
            <m:t>F(t) = 1 − R(t)</m:t>
          </m:r>
        </m:oMath>
      </m:oMathPara>
    </w:p>
    <w:p>
      <w:pPr>
        <w:spacing w:after="70" w:line="250" w:lineRule="auto"/>
      </w:pPr>
      <w:r>
        <w:t>Bei einer modellierten Zuverlässigkeit von 0,90 nach 1.000 Stunden haben 90 Prozent der Population diesen Funktionsausfall bis dahin nicht erlebt. Das bedeutet weder, dass jedes Gerät nach 1.000 Stunden ausfällt, noch dass sein Ausfallzeitpunkt exakt bekannt ist. Ein Verlust anderer Funktionen kann separat definiert sein.</w:t>
      </w:r>
    </w:p>
    <w:p>
      <w:pPr>
        <w:spacing w:after="70" w:line="250" w:lineRule="auto"/>
      </w:pPr>
      <w:r>
        <w:t>Die Hazard Rate h(t) ist die momentane bedingte Ausfallrate der bis t noch nicht ausgefallenen Einheiten. Sie hat eine Einheit wie pro Stunde und ist keine Wahrscheinlichkeit. Eine hohe Rate spät im Leben betrifft die noch überlebenden Einheiten; bereits ausgefallene Einheiten gehören nicht mehr zu diesem Risikosatz. In reparierbaren Systemen werden Ereignisintensitäten gesondert modelliert.</w:t>
      </w:r>
    </w:p>
    <w:p>
      <w:pPr>
        <w:pStyle w:val="Heading2"/>
        <w:spacing w:before="160" w:after="80"/>
      </w:pPr>
      <w:r>
        <w:t>Kennzahlen nicht verwechseln</w:t>
      </w:r>
    </w:p>
    <w:p>
      <w:pPr>
        <w:spacing w:after="70" w:line="250" w:lineRule="auto"/>
      </w:pPr>
      <w:r>
        <w:t>MTTF ist die mittlere Zeit bis zum Ausfall einer nicht reparierbaren beziehungsweise bis zum ersten betrachteten Ausfall bewerteten Einheit. MTBF beschreibt mittlere Abstände zwischen betrachteten Ausfällen in einem geeigneten reparierbaren Modell. Beide benötigen eine klare Ereignis- und Zeitdefinition. Weder MTTF noch MTBF ist eine garantierte Mindestlebensdauer.</w:t>
      </w:r>
    </w:p>
    <w:p>
      <w:pPr>
        <w:spacing w:after="70" w:line="250" w:lineRule="auto"/>
      </w:pPr>
      <w:r>
        <w:t>B10 ist die Nutzung, bis zu der zehn Prozent der Population im definierten Modell ausgefallen sind. Entsprechend beschreibt B1 ein früheres Quantil und B50 den Median. Ein Mittelwert kann durch sehr langlebige Einheiten steigen, obwohl ein relevanter Anteil früh ausfällt. Deshalb ist ein frühes Quantil für manche Entscheidungen hilfreicher.</w:t>
      </w:r>
    </w:p>
    <w:p>
      <w:pPr>
        <w:spacing w:after="70" w:line="250" w:lineRule="auto"/>
      </w:pPr>
      <w:r>
        <w:t>Alltagsbeispiel: Die durchschnittliche Wartezeit auf einen Bus kann kurz sein, obwohl einzelne Fahrgäste sehr lange warten. Durchschnitt, Anteil innerhalb einer Frist und Unsicherheit sind verschiedene Größen. Dasselbe gilt bei Lebensdauerkennzahlen.</w:t>
      </w:r>
    </w:p>
    <w:p>
      <w:pPr>
        <w:pStyle w:val="Heading2"/>
        <w:spacing w:before="160" w:after="80"/>
      </w:pPr>
      <w:r>
        <w:t>Modelle anhand von Daten und Mechanismen wählen</w:t>
      </w:r>
    </w:p>
    <w:p>
      <w:pPr>
        <w:spacing w:after="70" w:line="250" w:lineRule="auto"/>
      </w:pPr>
      <w:r>
        <w:t>Die Binomialverteilung beschreibt Erfolge und Misserfolge unabhängiger, vergleichbarer Versuche. Die Poissonverteilung kann Ereigniszahlen bei einer geeigneten konstanten Intensität beschreiben. Die Exponentialverteilung beschreibt Lebensdauern mit konstanter Hazard Rate. Weibull- und Lognormalmodelle ermöglichen andere Lebensdauerformen. Die Modellwahl beruht auf Mechanismus, Profil, Datenauswertung und Plausibilität, nicht auf der schönsten Kurve.</w:t>
      </w:r>
    </w:p>
    <w:p>
      <w:pPr>
        <w:spacing w:after="70" w:line="250" w:lineRule="auto"/>
      </w:pPr>
      <w:r>
        <w:t>Die oft gezeichnete Badewannenkurve ist ein Denkmodell für frühe Ausfälle, einen ungefähr konstanten Bereich und spätere Verschleißausfälle. Ob eine Komponente diesen Verlauf zeigt, muss an geeigneten Daten geprüft werden. Softwaresequenzfehler werden nicht allein dadurch erklärt, dass man eine solche Kurve darüberlegt.</w:t>
      </w:r>
    </w:p>
    <w:p>
      <w:bookmarkStart w:id="22" w:name="diagram_G"/>
      <w:pPr>
        <w:keepNext/>
        <w:spacing w:after="70" w:line="250" w:lineRule="auto"/>
        <w:jc w:val="center"/>
      </w:pPr>
      <w:r>
        <w:drawing>
          <wp:inline xmlns:a="http://schemas.openxmlformats.org/drawingml/2006/main" xmlns:pic="http://schemas.openxmlformats.org/drawingml/2006/picture">
            <wp:extent cx="5943600" cy="2925917"/>
            <wp:docPr id="6" name="Picture 6" descr="Schaubild G Badewannenkurve als Denkmodell"/>
            <wp:cNvGraphicFramePr>
              <a:graphicFrameLocks noChangeAspect="1"/>
            </wp:cNvGraphicFramePr>
            <a:graphic>
              <a:graphicData uri="http://schemas.openxmlformats.org/drawingml/2006/picture">
                <pic:pic>
                  <pic:nvPicPr>
                    <pic:cNvPr id="0" name="G.png"/>
                    <pic:cNvPicPr/>
                  </pic:nvPicPr>
                  <pic:blipFill>
                    <a:blip r:embed="rId16"/>
                    <a:stretch>
                      <a:fillRect/>
                    </a:stretch>
                  </pic:blipFill>
                  <pic:spPr>
                    <a:xfrm>
                      <a:off x="0" y="0"/>
                      <a:ext cx="5943600" cy="2925917"/>
                    </a:xfrm>
                    <a:prstGeom prst="rect"/>
                  </pic:spPr>
                </pic:pic>
              </a:graphicData>
            </a:graphic>
          </wp:inline>
        </w:drawing>
      </w:r>
      <w:bookmarkEnd w:id="22"/>
    </w:p>
    <w:p>
      <w:pPr>
        <w:pStyle w:val="Caption"/>
        <w:spacing w:after="70" w:line="250" w:lineRule="auto"/>
      </w:pPr>
      <w:r>
        <w:t>Schaubild G Badewannenkurve als Denkmodell  Eigene Darstellung für den beschriebenen Lehrfall.</w:t>
      </w:r>
    </w:p>
    <w:p>
      <w:pPr>
        <w:spacing w:after="70" w:line="250" w:lineRule="auto"/>
      </w:pPr>
      <w:r>
        <w:t xml:space="preserve">Im Schaubild ist die Summe dreier angenommener Beiträge dargestellt: ein abnehmender früher Beitrag, ein konstanter Beitrag und ein zunehmender Verschleißbeitrag. Die y-Achse zeigt eine relative Hazard Rate, keine Ausfallquote. Die Kurve ist ein Denkmodell; sie wurde nicht aus den Lehrdaten des folgenden Abschnitts geschätzt. </w:t>
      </w:r>
      <w:hyperlink w:anchor="source_Q13">
        <w:r>
          <w:rPr>
            <w:color w:val="18364A"/>
          </w:rPr>
          <w:t xml:space="preserve">[Q13]</w:t>
        </w:r>
      </w:hyperlink>
      <w:r>
        <w:t xml:space="preserve"> </w:t>
      </w:r>
      <w:hyperlink w:anchor="source_Q15">
        <w:r>
          <w:rPr>
            <w:color w:val="18364A"/>
          </w:rPr>
          <w:t xml:space="preserve">[Q15]</w:t>
        </w:r>
      </w:hyperlink>
    </w:p>
    <w:p>
      <w:pPr>
        <w:pStyle w:val="Heading2"/>
        <w:spacing w:before="160" w:after="80"/>
      </w:pPr>
      <w:r>
        <w:t>Das Exponentialmodell rechnen</w:t>
      </w:r>
    </w:p>
    <w:p>
      <w:pPr>
        <w:spacing w:after="70" w:line="250" w:lineRule="auto"/>
      </w:pPr>
      <w:r>
        <w:t>Bei konstanter Hazard Rate λ gilt:</w:t>
      </w:r>
    </w:p>
    <w:p>
      <w:pPr>
        <w:spacing w:before="80" w:after="70" w:line="250" w:lineRule="auto"/>
        <w:jc w:val="center"/>
      </w:pPr>
      <m:oMathPara>
        <m:oMath>
          <m:r>
            <m:t>R(t) = </m:t>
          </m:r>
          <m:sSup>
            <m:e>
              <m:r>
                <m:t>e</m:t>
              </m:r>
            </m:e>
            <m:sup>
              <m:r>
                <m:t>−λt</m:t>
              </m:r>
            </m:sup>
          </m:sSup>
          <m:r>
            <m:t>;   MTTF = </m:t>
          </m:r>
          <m:f>
            <m:num>
              <m:r>
                <m:t>1</m:t>
              </m:r>
            </m:num>
            <m:den>
              <m:r>
                <m:t>λ</m:t>
              </m:r>
            </m:den>
          </m:f>
        </m:oMath>
      </m:oMathPara>
    </w:p>
    <w:p>
      <w:pPr>
        <w:spacing w:after="70" w:line="250" w:lineRule="auto"/>
      </w:pPr>
      <w:r>
        <w:t>Im didaktischen Beispiel beträgt λ 0,0001 pro Stunde. Die MTTF beträgt dann 10.000 Stunden. Nach 1.000 Stunden ist R ungefähr 0,9048. Nach 10.000 Stunden bleiben im Modell nur ungefähr 36,8 Prozent ohne Ausfall. Das zeigt, warum eine MTTF von 10.000 Stunden keine Zusage ist, dass fast alle Einheiten so lange halten.</w:t>
      </w:r>
    </w:p>
    <w:p>
      <w:pPr>
        <w:spacing w:after="70" w:line="250" w:lineRule="auto"/>
      </w:pPr>
      <w:r>
        <w:t>Die konstante Rate wird begründet und anhand geeigneter Daten geprüft. Bei deutlichem Verschleiß ist die Rechnung häufig ungeeignet. Auch die Addition von Prüfstunden verschiedener Einheiten ist für quantitative Aussagen an die Modellannahmen gebunden; Kapitel 15 unterscheidet diese Planung vom binomialen Nachweis.</w:t>
      </w:r>
    </w:p>
    <w:p>
      <w:pPr>
        <w:pStyle w:val="Heading2"/>
        <w:spacing w:before="160" w:after="80"/>
      </w:pPr>
      <w:r>
        <w:t>Das Weibullmodell und B10</w:t>
      </w:r>
    </w:p>
    <w:p>
      <w:pPr>
        <w:spacing w:after="70" w:line="250" w:lineRule="auto"/>
      </w:pPr>
      <w:r>
        <w:t>Für die zweiparametrige Weibullverteilung verwenden wir η als Skalenparameter und β als Formparameter:</w:t>
      </w:r>
    </w:p>
    <w:p>
      <w:pPr>
        <w:spacing w:before="80" w:after="70" w:line="250" w:lineRule="auto"/>
        <w:jc w:val="center"/>
      </w:pPr>
      <m:oMathPara>
        <m:oMath>
          <m:r>
            <m:t>R(t) = exp[−</m:t>
          </m:r>
          <m:sSup>
            <m:e>
              <m:r>
                <m:t>(</m:t>
              </m:r>
              <m:f>
                <m:num>
                  <m:r>
                    <m:t>t</m:t>
                  </m:r>
                </m:num>
                <m:den>
                  <m:r>
                    <m:t>η</m:t>
                  </m:r>
                </m:den>
              </m:f>
              <m:r>
                <m:t>)</m:t>
              </m:r>
            </m:e>
            <m:sup>
              <m:r>
                <m:t>β</m:t>
              </m:r>
            </m:sup>
          </m:sSup>
          <m:r>
            <m:t>]</m:t>
          </m:r>
        </m:oMath>
      </m:oMathPara>
    </w:p>
    <w:p>
      <w:pPr>
        <w:spacing w:after="70" w:line="250" w:lineRule="auto"/>
      </w:pPr>
      <w:r>
        <w:t>β kleiner als eins beschreibt eine fallende Hazard Rate, β gleich eins eine konstante und β größer als eins eine steigende. Ein geschätztes β größer als eins kann zu Verschleiß passen, beweist aber noch keinen bestimmten Mechanismus. Mischungen und unpassende Profile können das Bild verändern. η ist die charakteristische Lebensdauer; bei ihr sind im Modell ungefähr 63,2 Prozent ausgefallen.</w:t>
      </w:r>
    </w:p>
    <w:p>
      <w:pPr>
        <w:spacing w:after="70" w:line="250" w:lineRule="auto"/>
      </w:pPr>
      <w:r>
        <w:t>Für das Quantil mit Ausfallanteil p gilt:</w:t>
      </w:r>
    </w:p>
    <w:p>
      <w:pPr>
        <w:spacing w:before="80" w:after="70" w:line="250" w:lineRule="auto"/>
        <w:jc w:val="center"/>
      </w:pPr>
      <m:oMathPara>
        <m:oMath>
          <m:sSub>
            <m:e>
              <m:r>
                <m:t>B</m:t>
              </m:r>
            </m:e>
            <m:sub>
              <m:r>
                <m:t>p</m:t>
              </m:r>
            </m:sub>
          </m:sSub>
          <m:r>
            <m:t> = η × </m:t>
          </m:r>
          <m:sSup>
            <m:e>
              <m:r>
                <m:t>[−ln(1 − p)]</m:t>
              </m:r>
            </m:e>
            <m:sup>
              <m:f>
                <m:num>
                  <m:r>
                    <m:t>1</m:t>
                  </m:r>
                </m:num>
                <m:den>
                  <m:r>
                    <m:t>β</m:t>
                  </m:r>
                </m:den>
              </m:f>
            </m:sup>
          </m:sSup>
        </m:oMath>
      </m:oMathPara>
    </w:p>
    <w:p>
      <w:pPr>
        <w:spacing w:after="70" w:line="250" w:lineRule="auto"/>
      </w:pPr>
      <w:r>
        <w:t>Im Lehrbeispiel sind η 1.000 Stunden und β 2. B10 liegt dann bei ungefähr 324,6 Stunden. Die Rechnung ist eine Modellrechnung mit angenommenen Parametern. Werden die Parameter aus wenigen Daten geschätzt, braucht B10 zusätzlich eine Unsicherheitsbewertung. Geschätzte B10 und eine untere Konfidenzgrenze der B10 dürfen nicht gleichgesetzt werden.</w:t>
      </w:r>
    </w:p>
    <w:p>
      <w:pPr>
        <w:pStyle w:val="Heading2"/>
        <w:spacing w:before="160" w:after="80"/>
      </w:pPr>
      <w:r>
        <w:t>Nicht ausgefallene Einheiten gehören in die Auswertung</w:t>
      </w:r>
    </w:p>
    <w:p>
      <w:pPr>
        <w:spacing w:after="70" w:line="250" w:lineRule="auto"/>
      </w:pPr>
      <w:r>
        <w:t>Wenn ein Test bei 300 Stunden endet und eine Einheit noch funktioniert, kennen wir ihre Lebensdauer nicht genau. Wir wissen aber, dass sie mindestens bis zu diesem Zeitpunkt überlebt hat. Diese Beobachtung ist rechtszensiert. Sie wird nicht als Ausfall bei 300 Stunden eingetragen und nicht aus dem Datensatz entfernt.</w:t>
      </w:r>
    </w:p>
    <w:p>
      <w:pPr>
        <w:spacing w:after="70" w:line="250" w:lineRule="auto"/>
      </w:pPr>
      <w:r>
        <w:t>Ein Alltagsszenario sind Menschen, die auf einer Feier noch anwesend sind, wenn wir nach Hause gehen. Wir wissen, dass ihre Aufenthaltsdauer mindestens bis zu unserer Abreise reicht. Wer nur die bereits gegangenen Gäste betrachtet, unterschätzt die Verweildauer. Die Analogie erklärt die Information, nicht die physikalische Ursache eines Geräteausfalls.</w:t>
      </w:r>
    </w:p>
    <w:p>
      <w:pPr>
        <w:spacing w:after="70" w:line="250" w:lineRule="auto"/>
      </w:pPr>
      <w:r>
        <w:t>Intervallzensierung entsteht, wenn ein Fehler nur zwischen zwei Prüfzeitpunkten eingegrenzt wird. Bei später Aufnahme in die Beobachtung kann zusätzlich eine Trunkierung vorliegen. Der Grund eines vorzeitigen Testendes ist wichtig: Ein wegen auffälligen Verhaltens entferntes Gerät darf nicht ohne Prüfung wie ein unabhängig zensiertes Gerät behandelt werden.</w:t>
      </w:r>
    </w:p>
    <w:p>
      <w:pPr>
        <w:pStyle w:val="Heading2"/>
        <w:spacing w:before="160" w:after="80"/>
      </w:pPr>
      <w:r>
        <w:t>Ein kleiner Datensatz</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Einheit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Beobachtete Nutzung in Stunden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Information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Definierter Ausfall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200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Definierter Ausfall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250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Ohne Ausfall aus der Beobachtung genommen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300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Ohne Ausfall am Testende</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300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Ohne Ausfall am Testende</w:t>
            </w:r>
          </w:p>
        </w:tc>
      </w:tr>
    </w:tbl>
    <w:p>
      <w:pPr>
        <w:spacing w:after="70" w:before="40" w:line="250" w:lineRule="auto"/>
      </w:pPr>
    </w:p>
    <w:p>
      <w:pPr>
        <w:spacing w:after="70" w:line="250" w:lineRule="auto"/>
      </w:pPr>
      <w:r>
        <w:t>Unter geeigneter unabhängiger Zensierung ergibt eine Kaplan-Meier-Schätzung nach dem ersten Ausfall 4 von 5 beziehungsweise 0,80. Beim zweiten Ausfall sind vier Einheiten im Risikosatz; der Wert wird mit 3 von 4 multipliziert und beträgt 0,60. Die Zensierungen verändern den Wert nicht durch einen zusätzlichen Ausfall, verkleinern aber den späteren Risikosatz. Die fünf Beobachtungen sind viel zu wenig für eine belastbare allgemeine Lebensdauerfreigabe.</w:t>
      </w:r>
    </w:p>
    <w:p>
      <w:pPr>
        <w:spacing w:after="70" w:line="250" w:lineRule="auto"/>
      </w:pPr>
      <w:r>
        <w:t>Kaplan-Meier schätzt eine Überlebensfunktion ohne festgelegte parametrische Verteilungsform. Jenseits der beobachteten Nutzung entsteht daraus kein begründeter Nachweis. Maximum Likelihood schätzt Modellparameter unter Einbezug der jeweiligen Ausfall- und Zensierungsinformation. Ein Wahrscheinlichkeitsplot hilft bei der Diagnose; ein normaler Regressions-Konfidenzbereich aus diesem Plot ist nur mit einer für diese Daten und Zensierungen gültigen Methode als Lebensdauer-Konfidenzbereich zu verwenden.</w:t>
      </w:r>
    </w:p>
    <w:p>
      <w:pPr>
        <w:pStyle w:val="Heading2"/>
        <w:spacing w:before="160" w:after="80"/>
      </w:pPr>
      <w:r>
        <w:t>Einen Weibullplot mit zensierten Daten lesen</w:t>
      </w:r>
    </w:p>
    <w:p>
      <w:bookmarkStart w:id="23" w:name="diagram_H"/>
      <w:pPr>
        <w:keepNext/>
        <w:spacing w:after="70" w:line="250" w:lineRule="auto"/>
        <w:jc w:val="center"/>
      </w:pPr>
      <w:r>
        <w:drawing>
          <wp:inline xmlns:a="http://schemas.openxmlformats.org/drawingml/2006/main" xmlns:pic="http://schemas.openxmlformats.org/drawingml/2006/picture">
            <wp:extent cx="5943600" cy="3127096"/>
            <wp:docPr id="7" name="Picture 7" descr="Schaubild H Weibullplot mit rechtszensierten Beobachtungen"/>
            <wp:cNvGraphicFramePr>
              <a:graphicFrameLocks noChangeAspect="1"/>
            </wp:cNvGraphicFramePr>
            <a:graphic>
              <a:graphicData uri="http://schemas.openxmlformats.org/drawingml/2006/picture">
                <pic:pic>
                  <pic:nvPicPr>
                    <pic:cNvPr id="0" name="H.png"/>
                    <pic:cNvPicPr/>
                  </pic:nvPicPr>
                  <pic:blipFill>
                    <a:blip r:embed="rId17"/>
                    <a:stretch>
                      <a:fillRect/>
                    </a:stretch>
                  </pic:blipFill>
                  <pic:spPr>
                    <a:xfrm>
                      <a:off x="0" y="0"/>
                      <a:ext cx="5943600" cy="3127096"/>
                    </a:xfrm>
                    <a:prstGeom prst="rect"/>
                  </pic:spPr>
                </pic:pic>
              </a:graphicData>
            </a:graphic>
          </wp:inline>
        </w:drawing>
      </w:r>
      <w:bookmarkEnd w:id="23"/>
    </w:p>
    <w:p>
      <w:pPr>
        <w:pStyle w:val="Caption"/>
        <w:spacing w:after="70" w:line="250" w:lineRule="auto"/>
      </w:pPr>
      <w:r>
        <w:t>Schaubild H Weibullplot mit rechtszensierten Beobachtungen  Eigene Darstellung für den beschriebenen Lehrfall.</w:t>
      </w:r>
    </w:p>
    <w:p>
      <w:pPr>
        <w:spacing w:after="70" w:line="250" w:lineRule="auto"/>
      </w:pPr>
      <w:r>
        <w:t>Der Plot verwendet den kleinen Datensatz mit Ausfällen bei 100 und 200 Stunden und rechtszensierten Beobachtungen bei 250, 300 und 300 Stunden. Die beiden Punkte zeigen die Kaplan-Meier-Ausfallanteile 0,20 und 0,40. Die Markierungen am oberen Rand zeigen an den jeweiligen Zeitpositionen Zensierungen, keine zusätzlichen Ausfälle. Die Weibullgerade wird mit Maximum Likelihood aus allen fünf Beobachtungen einschließlich der Zensierungen geschätzt.</w:t>
      </w:r>
    </w:p>
    <w:p>
      <w:pPr>
        <w:spacing w:after="70" w:line="250" w:lineRule="auto"/>
      </w:pPr>
      <w:r>
        <w:t xml:space="preserve">Auf der horizontalen logarithmischen Zeitachse und der vertikalen Skala ln[−ln(1−F)] wird eine zweiparametrige Weibullverteilung zur Geraden. Hier gibt es nur zwei Ausfälle: Eine optisch passende Gerade ist daher eine Darstellung der Annahme, keine belastbare Modellbestätigung oder Lebensdauerfreigabe. Die Grafik enthält keinen Konfidenzbereich. Zensierte Einheiten als Ausfälle einzuzeichnen oder aus der Schätzung zu entfernen würde eine andere, falsche Datenbasis schaffen. </w:t>
      </w:r>
      <w:hyperlink w:anchor="source_Q17">
        <w:r>
          <w:rPr>
            <w:color w:val="18364A"/>
          </w:rPr>
          <w:t xml:space="preserve">[Q17]</w:t>
        </w:r>
      </w:hyperlink>
      <w:r>
        <w:t xml:space="preserve"> </w:t>
      </w:r>
      <w:hyperlink w:anchor="source_Q18">
        <w:r>
          <w:rPr>
            <w:color w:val="18364A"/>
          </w:rPr>
          <w:t xml:space="preserve">[Q18]</w:t>
        </w:r>
      </w:hyperlink>
      <w:r>
        <w:t xml:space="preserve"> </w:t>
      </w:r>
      <w:hyperlink w:anchor="source_Q21">
        <w:r>
          <w:rPr>
            <w:color w:val="18364A"/>
          </w:rPr>
          <w:t xml:space="preserve">[Q21]</w:t>
        </w:r>
      </w:hyperlink>
    </w:p>
    <w:p>
      <w:pPr>
        <w:pStyle w:val="Heading2"/>
        <w:spacing w:before="160" w:after="80"/>
      </w:pPr>
      <w:r>
        <w:t>Was das Konfidenzniveau aussagt</w:t>
      </w:r>
    </w:p>
    <w:p>
      <w:pPr>
        <w:spacing w:after="70" w:line="250" w:lineRule="auto"/>
      </w:pPr>
      <w:r>
        <w:t>Ein frequentistisches Verfahren mit 95 Prozent Konfidenzniveau hat unter seinen Annahmen eine entsprechende Überdeckungseigenschaft über wiederholte Stichproben. Der feste wahre Parameter liegt nicht mit einer frequentistischen Wahrscheinlichkeit von 95 Prozent in einem bereits berechneten einzelnen Intervall. Praktisch berichten wir eine Schätzung und den nach diesem Verfahren bestimmten Unsicherheitsbereich.</w:t>
      </w:r>
    </w:p>
    <w:p>
      <w:pPr>
        <w:spacing w:after="70" w:line="250" w:lineRule="auto"/>
      </w:pPr>
      <w:r>
        <w:t>Eine einseitige untere Grenze ist sinnvoll, wenn mindestens eine bestimmte Zuverlässigkeit gefordert wird. Eine zweiseitige Grenze beantwortet eine andere Frage und verwendet eine andere Fehleraufteilung. Die gewünschte Richtung wird vorab festgelegt. 95 Prozent Konfidenzniveau sind kein Zuverlässigkeitsziel von 95 Prozent und kein Anteil erfolgreich geprüfter Muster.</w:t>
      </w:r>
    </w:p>
    <w:p>
      <w:pPr>
        <w:spacing w:after="70" w:line="250" w:lineRule="auto"/>
      </w:pPr>
      <w:r>
        <w:t>Alltagsbeispiel: Ein Mittelwert aus drei Kuchenstückgewichten ist unsicherer als einer aus vielen repräsentativen Stücken. Die Waage kann zugleich einen systematischen Fehler haben. Mehr Stücke reduzieren die Stichprobenunsicherheit, beseitigen aber keinen konstanten Messfehler. Ebenso löst eine größere Musterzahl keine falsche Ausfalldefinition oder unpassende Modellannahme.</w:t>
      </w:r>
    </w:p>
    <w:p>
      <w:pPr>
        <w:pStyle w:val="Heading2"/>
        <w:spacing w:before="160" w:after="80"/>
      </w:pPr>
      <w:r>
        <w:t>Konfidenzniveau und Vorwissen auseinanderhalten</w:t>
      </w:r>
    </w:p>
    <w:p>
      <w:pPr>
        <w:spacing w:after="70" w:line="250" w:lineRule="auto"/>
      </w:pPr>
      <w:r>
        <w:t>Im Fließtext verwenden wir Konfidenzniveau für den englischen Begriff Confidence Level. Die Bezeichnung Aussagewahrscheinlichkeit findet sich ebenfalls in der deutschen Fachliteratur. Sie darf nicht als Wahrscheinlichkeit missverstanden werden, dass ein bereits feststehender Parameter nachträglich zufällig ist. Wir berichten ausdrücklich, ob eine Grenze frequentistisch oder bayessch berechnet wurde.</w:t>
      </w:r>
    </w:p>
    <w:p>
      <w:pPr>
        <w:spacing w:after="70" w:line="250" w:lineRule="auto"/>
      </w:pPr>
      <w:r>
        <w:t>Vorwissen kann aus Vorgängerprodukten kommen. Vor der Übernahme vergleichen wir Mechanismus, Material, Fertigung, Software, Nutzung, Ausfalldefinition und Datenerfassung. Daten derselben Geräte dürfen nicht zugleich im Prior und in der neuen Stichprobe gezählt werden. Eine Sensitivitätsanalyse zeigt, wie sich das Ergebnis bei schwächerem Vorwissen verändert.</w:t>
      </w:r>
    </w:p>
    <w:p>
      <w:pPr>
        <w:spacing w:after="70" w:line="250" w:lineRule="auto"/>
      </w:pPr>
      <w:r>
        <w:t>Die dreiparametrige Weibullverteilung ergänzt eine Lagegrenze. Diese zusätzliche Flexibilität verlangt mehr Information und kann bei wenigen Ausfällen instabil werden. Eine scheinbar ausfallfreie Anfangszeit ist kein Beweis für eine echte Mindestlebensdauer. Für Einsteiger bleibt die zweiparametrige Form der Ausgangspunkt; komplexere Modelle werden nur bei sachlicher Begründung verwendet.</w:t>
      </w:r>
    </w:p>
    <w:p>
      <w:pPr>
        <w:pStyle w:val="Heading2"/>
        <w:spacing w:before="160" w:after="80"/>
      </w:pPr>
      <w:r>
        <w:t>Weitere Verfahren und ihre Grenzen</w:t>
      </w:r>
    </w:p>
    <w:p>
      <w:pPr>
        <w:spacing w:after="70" w:line="250" w:lineRule="auto"/>
      </w:pPr>
      <w:r>
        <w:t>Bootstrap zieht wiederholt neue Stichproben aus den beobachteten Einheiten und schätzt daraus Unsicherheit. Die resampelte Einheit muss zur Abhängigkeit passen; viele Zyklen desselben Geräts dürfen nicht beliebig wie unabhängige Geräte behandelt werden. Mit sehr wenigen Ausfällen oder ungünstiger Zensierung kann die Methode instabil sein.</w:t>
      </w:r>
    </w:p>
    <w:p>
      <w:pPr>
        <w:spacing w:after="70" w:line="250" w:lineRule="auto"/>
      </w:pPr>
      <w:r>
        <w:t>Bayessche Verfahren verbinden einen Prior mit den Daten. Ein Credible Interval hat eine andere Interpretation als ein frequentistischer Konfidenzbereich. Vorwissen, dessen Herkunft und Empfindlichkeit werden offengelegt. Bayes ist kein Weg, fehlende Daten unsichtbar durch optimistische Annahmen zu ersetzen.</w:t>
      </w:r>
    </w:p>
    <w:p>
      <w:pPr>
        <w:spacing w:after="70" w:line="250" w:lineRule="auto"/>
      </w:pPr>
      <w:r>
        <w:t>Bei konkurrierenden Fehlerursachen unterscheiden wir den gesamten Funktionsverlust von einem bestimmten Mechanismus. Andere Ausfälle können für eine Ursachenanalyse nicht immer problemlos als unabhängig zensiert behandelt werden. Gemeinsame Belastungen oder abhängige Mechanismen erfordern eine passende Modellierung.</w:t>
      </w:r>
    </w:p>
    <w:p>
      <w:pPr>
        <w:pStyle w:val="Heading2"/>
        <w:spacing w:before="160" w:after="80"/>
      </w:pPr>
      <w:r>
        <w:t>So gehen wir vor</w:t>
      </w:r>
    </w:p>
    <w:p>
      <w:pPr>
        <w:pStyle w:val="ListBullet"/>
        <w:spacing w:after="70" w:line="250" w:lineRule="auto"/>
      </w:pPr>
      <w:r>
        <w:t>Population, Funktion, Nutzungsgröße und Ausfalldefinition festlegen.</w:t>
      </w:r>
    </w:p>
    <w:p>
      <w:pPr>
        <w:pStyle w:val="ListBullet"/>
        <w:spacing w:after="70" w:line="250" w:lineRule="auto"/>
      </w:pPr>
      <w:r>
        <w:t>Alle Einheiten einschließlich Zensierungen und Ausschlüssen dokumentieren.</w:t>
      </w:r>
    </w:p>
    <w:p>
      <w:pPr>
        <w:pStyle w:val="ListBullet"/>
        <w:spacing w:after="70" w:line="250" w:lineRule="auto"/>
      </w:pPr>
      <w:r>
        <w:t>Daten und Mechanismen auf ein passendes Modell prüfen.</w:t>
      </w:r>
    </w:p>
    <w:p>
      <w:pPr>
        <w:pStyle w:val="ListBullet"/>
        <w:spacing w:after="70" w:line="250" w:lineRule="auto"/>
      </w:pPr>
      <w:r>
        <w:t>Schätzung, Unsicherheitsbereich und Modellannahmen gemeinsam berichten.</w:t>
      </w:r>
    </w:p>
    <w:p>
      <w:pPr>
        <w:pStyle w:val="ListBullet"/>
        <w:spacing w:after="70" w:line="250" w:lineRule="auto"/>
      </w:pPr>
      <w:r>
        <w:t>Keine Aussage über Nutzung, Population oder Ursachen hinaus ausdehnen, die nicht abgedeckt sind.</w:t>
      </w:r>
    </w:p>
    <w:p>
      <w:pPr>
        <w:pStyle w:val="ListBullet"/>
        <w:spacing w:after="70" w:line="250" w:lineRule="auto"/>
      </w:pPr>
      <w:r>
        <w:t>Angeben, ob eine Grenze frequentistisch oder bayessch berechnet wurde; Vorwissen nicht doppelt zählen.</w:t>
      </w:r>
    </w:p>
    <w:p>
      <w:pPr>
        <w:pStyle w:val="Heading2"/>
        <w:keepNext/>
        <w:spacing w:before="160" w:after="80"/>
      </w:pPr>
      <w:r>
        <w:t>Übung</w:t>
      </w:r>
    </w:p>
    <w:p>
      <w:pPr>
        <w:spacing w:after="70" w:line="250" w:lineRule="auto"/>
      </w:pPr>
      <w:r>
        <w:t>Zehn Geräte werden geprüft. Zwei fallen aus, acht funktionieren bei Testende. Warum ist der Mittelwert der beiden Ausfallzeiten kein guter Lebensdauerschätzer für die gesamte Population?</w:t>
      </w:r>
    </w:p>
    <w:p>
      <w:bookmarkStart w:id="24" w:name="chapter_15"/>
      <w:pPr>
        <w:pStyle w:val="Heading1"/>
        <w:pageBreakBefore/>
      </w:pPr>
      <w:r>
        <w:t>15 Nachweisversuche und beschleunigte Tests planen</w:t>
      </w:r>
      <w:bookmarkEnd w:id="24"/>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3">
        <w:r>
          <w:rPr>
            <w:color w:val="18364A"/>
          </w:rPr>
          <w:t xml:space="preserve">[Q03]</w:t>
        </w:r>
      </w:hyperlink>
      <w:r>
        <w:t xml:space="preserve"> </w:t>
      </w:r>
      <w:hyperlink w:anchor="source_Q04">
        <w:r>
          <w:rPr>
            <w:color w:val="18364A"/>
          </w:rPr>
          <w:t xml:space="preserve">[Q04]</w:t>
        </w:r>
      </w:hyperlink>
      <w:r>
        <w:t xml:space="preserve"> </w:t>
      </w:r>
      <w:hyperlink w:anchor="source_Q10">
        <w:r>
          <w:rPr>
            <w:color w:val="18364A"/>
          </w:rPr>
          <w:t xml:space="preserve">[Q10]</w:t>
        </w:r>
      </w:hyperlink>
      <w:r>
        <w:t xml:space="preserve"> </w:t>
      </w:r>
      <w:hyperlink w:anchor="source_Q16">
        <w:r>
          <w:rPr>
            <w:color w:val="18364A"/>
          </w:rPr>
          <w:t xml:space="preserve">[Q16]</w:t>
        </w:r>
      </w:hyperlink>
      <w:r>
        <w:t xml:space="preserve"> </w:t>
      </w:r>
      <w:hyperlink w:anchor="source_Q19">
        <w:r>
          <w:rPr>
            <w:color w:val="18364A"/>
          </w:rPr>
          <w:t xml:space="preserve">[Q19]</w:t>
        </w:r>
      </w:hyperlink>
      <w:r>
        <w:t xml:space="preserve"> </w:t>
      </w:r>
      <w:hyperlink w:anchor="source_Q20">
        <w:r>
          <w:rPr>
            <w:color w:val="18364A"/>
          </w:rPr>
          <w:t xml:space="preserve">[Q20]</w:t>
        </w:r>
      </w:hyperlink>
      <w:r>
        <w:t xml:space="preserve"> </w:t>
      </w:r>
      <w:hyperlink w:anchor="source_N08">
        <w:r>
          <w:rPr>
            <w:color w:val="18364A"/>
          </w:rPr>
          <w:t xml:space="preserve">[N08]</w:t>
        </w:r>
      </w:hyperlink>
      <w:r>
        <w:t xml:space="preserve"> </w:t>
      </w:r>
      <w:hyperlink w:anchor="source_N09">
        <w:r>
          <w:rPr>
            <w:color w:val="18364A"/>
          </w:rPr>
          <w:t xml:space="preserve">[N09]</w:t>
        </w:r>
      </w:hyperlink>
      <w:r>
        <w:t xml:space="preserve"> </w:t>
      </w:r>
      <w:hyperlink w:anchor="source_N11">
        <w:r>
          <w:rPr>
            <w:color w:val="18364A"/>
          </w:rPr>
          <w:t xml:space="preserve">[N11]</w:t>
        </w:r>
      </w:hyperlink>
      <w:r>
        <w:t xml:space="preserve">  |  </w:t>
      </w:r>
      <w:hyperlink w:anchor="contents">
        <w:r>
          <w:rPr>
            <w:color w:val="18364A"/>
          </w:rPr>
          <w:t xml:space="preserve">Inhalt</w:t>
        </w:r>
      </w:hyperlink>
    </w:p>
    <w:p>
      <w:pPr>
        <w:pStyle w:val="Heading2"/>
      </w:pPr>
      <w:r>
        <w:t>Vom Nachweisziel zum Versuch</w:t>
      </w:r>
    </w:p>
    <w:p>
      <w:r>
        <w:t>Eine Probefahrt zeigt, ob ein Auto unter den gefahrenen Bedingungen funktioniert. Sie beweist nicht ohne Weiteres seine Zuverlässigkeit über zehn Jahre. Ein Nachweisversuch wird umgekehrt geplant: Wir definieren die gewünschte Aussage und bestimmen dann Muster, Nutzung, Entscheidung und Unsicherheit.</w:t>
      </w:r>
    </w:p>
    <w:p>
      <w:r>
        <w:t>Die Mindestangaben sind Funktion, Population, Zielnutzung, geforderte Zuverlässigkeit und Konfidenzniveau beziehungsweise eine andere vorab vereinbarte statistische Entscheidung. Dazu kommen Profil, Repräsentativität, zulässige Ausfälle und Abbruchregeln. Die Auswertung wird nicht erst nach Sichtung der Ergebnisse gewählt.</w:t>
      </w:r>
    </w:p>
    <w:p>
      <w:pPr>
        <w:pStyle w:val="Heading2"/>
      </w:pPr>
      <w:r>
        <w:t>Binomialer Nullausfallnachweis</w:t>
      </w:r>
    </w:p>
    <w:p>
      <w:r>
        <w:t>Jede unabhängige, repräsentative Einheit absolviert dieselbe vollständig definierte Zielnutzung und wird als Erfolg oder Ausfall bewertet. Bei n erfolgreichen Einheiten und keinem Ausfall beträgt eine exakte einseitige untere Konfidenzgrenze der Erfolgswahrscheinlichkeit:</w:t>
      </w:r>
    </w:p>
    <w:p>
      <w:pPr>
        <w:spacing w:before="80" w:after="160"/>
        <w:jc w:val="center"/>
      </w:pPr>
      <m:oMathPara>
        <m:oMath>
          <m:sSub>
            <m:e>
              <m:r>
                <m:t>R</m:t>
              </m:r>
            </m:e>
            <m:sub>
              <m:r>
                <m:t>L</m:t>
              </m:r>
            </m:sub>
          </m:sSub>
          <m:r>
            <m:t> = </m:t>
          </m:r>
          <m:sSup>
            <m:e>
              <m:r>
                <m:t>α</m:t>
              </m:r>
            </m:e>
            <m:sup>
              <m:f>
                <m:num>
                  <m:r>
                    <m:t>1</m:t>
                  </m:r>
                </m:num>
                <m:den>
                  <m:r>
                    <m:t>n</m:t>
                  </m:r>
                </m:den>
              </m:f>
            </m:sup>
          </m:sSup>
          <m:r>
            <m:t>     bei null Ausfällen</m:t>
          </m:r>
        </m:oMath>
      </m:oMathPara>
    </w:p>
    <w:p>
      <w:r>
        <w:t>Dabei ist α eins minus Konfidenzniveau. Für 95 Prozent Konfidenzniveau ist α 0,05. Die notwendige Zahl wird durch die folgende Grenze bestimmt und auf die nächste ganze Zahl aufgerundet:</w:t>
      </w:r>
    </w:p>
    <w:p>
      <w:pPr>
        <w:spacing w:before="80" w:after="160"/>
        <w:jc w:val="center"/>
      </w:pPr>
      <m:oMathPara>
        <m:oMath>
          <m:r>
            <m:t>n ≥ </m:t>
          </m:r>
          <m:f>
            <m:num>
              <m:r>
                <m:t>ln(α)</m:t>
              </m:r>
            </m:num>
            <m:den>
              <m:r>
                <m:t>ln(</m:t>
              </m:r>
              <m:sSub>
                <m:e>
                  <m:r>
                    <m:t>R</m:t>
                  </m:r>
                </m:e>
                <m:sub>
                  <m:r>
                    <m:t>0</m:t>
                  </m:r>
                </m:sub>
              </m:sSub>
              <m:r>
                <m:t>)</m:t>
              </m:r>
            </m:den>
          </m:f>
        </m:oMath>
      </m:oMathPara>
    </w:p>
    <w:tbl>
      <w:tblPr>
        <w:tblW w:type="dxa" w:w="9792"/>
        <w:jc w:val="center"/>
        <w:tblLayout w:type="fixed"/>
        <w:tblLook w:firstColumn="1" w:firstRow="1" w:lastColumn="0" w:lastRow="0" w:noHBand="0" w:noVBand="1" w:val="04A0"/>
      </w:tblPr>
      <w:tblGrid>
        <w:gridCol w:w="3600"/>
        <w:gridCol w:w="2880"/>
        <w:gridCol w:w="3312"/>
      </w:tblGrid>
      <w:tr>
        <w:trPr>
          <w:cantSplit/>
          <w:tblHeader/>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Geforderte Zuverlässigkeit R0</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Einseitiges Konfidenzniveau</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 Einheiten ohne Ausfall</w:t>
            </w:r>
          </w:p>
        </w:tc>
      </w:tr>
      <w:tr>
        <w:trPr>
          <w:cantSplit/>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90 Prozent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95 Prozent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29</w:t>
            </w:r>
          </w:p>
        </w:tc>
      </w:tr>
      <w:tr>
        <w:trPr>
          <w:cantSplit/>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95 Prozent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95 Prozent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59</w:t>
            </w:r>
          </w:p>
        </w:tc>
      </w:tr>
      <w:tr>
        <w:trPr>
          <w:cantSplit/>
        </w:trP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99 Prozent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95 Prozent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299</w:t>
            </w:r>
          </w:p>
        </w:tc>
      </w:tr>
    </w:tbl>
    <w:p>
      <w:pPr>
        <w:spacing w:after="40" w:before="40"/>
      </w:pPr>
    </w:p>
    <w:p>
      <w:r>
        <w:t>Bei 29 Erfolgen ergibt sich eine untere Grenze von ungefähr 0,9019. Jede Einheit muss die Zielnutzung absolviert haben. Ein einzelnes Kabel mit 29 kurzen Bewegungen ist nicht dasselbe wie 29 Kabel, die jeweils das festgelegte Lebensdauerprofil durchlaufen.</w:t>
      </w:r>
    </w:p>
    <w:p>
      <w:r>
        <w:t>Alltagsbeispiel: Wenn ein Kuchenrezept 29-mal von unterschiedlichen repräsentativen Backvorgängen gelingt, ist das eine andere Datenbasis als 29 Blicke auf denselben Kuchen. Mehrere Beobachtungen desselben Musters bleiben von dessen Zustand und Vorgeschichte abhängig. Auch verschiedene Geräte können durch gemeinsame Charge oder gemeinsamen Prüfstand abhängig sein.</w:t>
      </w:r>
    </w:p>
    <w:p>
      <w:pPr>
        <w:pStyle w:val="Heading2"/>
      </w:pPr>
      <w:r>
        <w:t>Tests mit Ausfällen und Nachweiserfolg</w:t>
      </w:r>
    </w:p>
    <w:p>
      <w:r>
        <w:t>Ein Nullausfallplan ist einfach, kann aber eine tatsächlich gute Population häufig nicht erfolgreich nachweisen. Wenn die wahre Zuverlässigkeit 0,95 ist, beträgt die Chance auf 29 Erfolge hintereinander ungefähr 22,6 Prozent. Bei einer wahren Zuverlässigkeit von 0,98 beträgt sie ungefähr 55,7 Prozent. Konfidenzniveau und Nachweiserfolgswahrscheinlichkeit (Probability of Test Success) beantworten unterschiedliche Fragen.</w:t>
      </w:r>
    </w:p>
    <w:p>
      <w:pPr>
        <w:spacing w:before="80" w:after="160"/>
        <w:jc w:val="center"/>
      </w:pPr>
      <m:oMathPara>
        <m:oMath>
          <m:r>
            <m:t>P(Nachweiserfolg) = </m:t>
          </m:r>
          <m:sSup>
            <m:e>
              <m:sSub>
                <m:e>
                  <m:r>
                    <m:t>R</m:t>
                  </m:r>
                </m:e>
                <m:sub>
                  <m:r>
                    <m:t>true</m:t>
                  </m:r>
                </m:sub>
              </m:sSub>
            </m:e>
            <m:sup>
              <m:r>
                <m:t>n</m:t>
              </m:r>
            </m:sup>
          </m:sSup>
          <m:r>
            <m:t>     bei Nullausfallregel</m:t>
          </m:r>
        </m:oMath>
      </m:oMathPara>
    </w:p>
    <w:p>
      <w:r>
        <w:t>Pläne mit zulässigen Ausfällen können sinnvoller sein, benötigen aber eine größere oder anders geplante Stichprobe und eine korrekte Entscheidungsregel. Power beziehungsweise eine Betriebskurve beschreibt, wie sich diese Regel bei verschiedenen tatsächlichen Qualitätsniveaus verhält. Wir betrachten auch das Risiko, eine gute Population zurückzuweisen oder eine unzureichende zu akzeptieren. Die Details werden für die konkrete Anforderung statistisch geplant.</w:t>
      </w:r>
    </w:p>
    <w:p>
      <w:pPr>
        <w:pStyle w:val="Heading2"/>
      </w:pPr>
      <w:r>
        <w:t>Einen Nachweis trotz beobachteter Ausfälle führen</w:t>
      </w:r>
    </w:p>
    <w:p>
      <w:r>
        <w:t xml:space="preserve">Bei n unabhängigen Einheiten und r beobachteten Ausfällen verwenden wir für die Erfolgswahrscheinlichkeit die einseitige exakte Clopper-Pearson-Grenze. Für mindestens einen Erfolg gilt die folgende Formel; bei keinem Erfolg ist die untere Grenze null. BetaInv bezeichnet das Quantil der Beta-Verteilung. </w:t>
      </w:r>
      <w:hyperlink w:anchor="source_Q24">
        <w:r>
          <w:rPr>
            <w:color w:val="18364A"/>
          </w:rPr>
          <w:t xml:space="preserve">[Q24]</w:t>
        </w:r>
      </w:hyperlink>
    </w:p>
    <w:p>
      <w:pPr>
        <w:spacing w:before="80" w:after="160"/>
        <w:jc w:val="center"/>
      </w:pPr>
      <m:oMathPara>
        <m:oMath>
          <m:sSub>
            <m:e>
              <m:r>
                <m:t>R</m:t>
              </m:r>
            </m:e>
            <m:sub>
              <m:r>
                <m:t>L</m:t>
              </m:r>
            </m:sub>
          </m:sSub>
          <m:r>
            <m:t> = BetaInv(α; n − r, r + 1)</m:t>
          </m:r>
        </m:oMath>
      </m:oMathPara>
    </w:p>
    <w:p>
      <w:r>
        <w:t>Vor der Prüfung legen wir eine maximal akzeptierte Ausfallzahl c fest. Danach setzen wir die tatsächlich beobachtete Zahl r ein. Das verhindert, dass die Entscheidungsregel nach einem schlechten Ergebnis verändert wird.</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Maximal akzeptierte Ausfälle c</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 Einheiten 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Untere Grenze bei r gleich c</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0</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29</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0,9019</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46</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0,9010</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2</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61</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0,9004</w:t>
            </w:r>
          </w:p>
        </w:tc>
      </w:tr>
    </w:tbl>
    <w:p>
      <w:pPr>
        <w:spacing w:after="40" w:before="40"/>
      </w:pPr>
    </w:p>
    <w:p>
      <w:r>
        <w:t>Alle drei Pläne prüfen das Ziel R mindestens 0,90 bei 95 Prozent einseitigem Konfidenzniveau. Die Stichproben sind die kleinsten ganzen Zahlen, die die jeweilige Grenze erreichen. Jeder Versuch erfüllt dasselbe Zielprofil. Bei mehr als c Ausfällen ist die geplante Annahmeregel nicht erfüllt.</w:t>
      </w:r>
    </w:p>
    <w:p>
      <w:r>
        <w:t>Die Nachweiserfolgswahrscheinlichkeit ist P(X höchstens c), wobei X die binomial verteilte Ausfallzahl bei einer bestimmten wahren Zuverlässigkeit ist. Bei R gleich 0,95 ergeben sich für die drei Pläne ungefähr 22,6, 32,3 und 40,6 Prozent. Das zeigt den praktischen Unterschied trotz gleichen Konfidenzniveaus.</w:t>
      </w:r>
    </w:p>
    <w:p>
      <w:bookmarkStart w:id="25" w:name="diagram_E"/>
      <w:pPr>
        <w:keepNext/>
        <w:jc w:val="center"/>
      </w:pPr>
      <w:r>
        <w:drawing>
          <wp:inline xmlns:a="http://schemas.openxmlformats.org/drawingml/2006/main" xmlns:pic="http://schemas.openxmlformats.org/drawingml/2006/picture">
            <wp:extent cx="5943600" cy="3192260"/>
            <wp:docPr id="8" name="Picture 8" descr="Schaubild E Nachweiserfolgswahrscheinlichkeit der drei Prüfpläne"/>
            <wp:cNvGraphicFramePr>
              <a:graphicFrameLocks noChangeAspect="1"/>
            </wp:cNvGraphicFramePr>
            <a:graphic>
              <a:graphicData uri="http://schemas.openxmlformats.org/drawingml/2006/picture">
                <pic:pic>
                  <pic:nvPicPr>
                    <pic:cNvPr id="0" name="E.png"/>
                    <pic:cNvPicPr/>
                  </pic:nvPicPr>
                  <pic:blipFill>
                    <a:blip r:embed="rId18"/>
                    <a:stretch>
                      <a:fillRect/>
                    </a:stretch>
                  </pic:blipFill>
                  <pic:spPr>
                    <a:xfrm>
                      <a:off x="0" y="0"/>
                      <a:ext cx="5943600" cy="3192260"/>
                    </a:xfrm>
                    <a:prstGeom prst="rect"/>
                  </pic:spPr>
                </pic:pic>
              </a:graphicData>
            </a:graphic>
          </wp:inline>
        </w:drawing>
      </w:r>
      <w:bookmarkEnd w:id="25"/>
    </w:p>
    <w:p>
      <w:pPr>
        <w:pStyle w:val="Caption"/>
      </w:pPr>
      <w:r>
        <w:t>Schaubild E Nachweiserfolgswahrscheinlichkeit der drei Prüfpläne  Eigene Darstellung für den beschriebenen Lehrfall.</w:t>
      </w:r>
    </w:p>
    <w:p>
      <w:r>
        <w:t>Die Kurven helfen, eine brauchbare Stichprobe zu planen. Wir betrachten sowohl das Risiko eines unzureichenden Nachweises für eine gute Population als auch die Annahme eines unzureichenden Produkts. Ein bestandener statistischer Plan entbindet nicht von der technischen Untersuchung relevanter Ausfälle.</w:t>
      </w:r>
    </w:p>
    <w:p>
      <w:pPr>
        <w:pStyle w:val="Heading2"/>
      </w:pPr>
      <w:r>
        <w:t>Stundenbasierter Nachweis mit konstanter Rate</w:t>
      </w:r>
    </w:p>
    <w:p>
      <w:r>
        <w:t>Unter einem geeigneten Exponential- beziehungsweise Poissonmodell lassen sich unabhängige repräsentative Beobachtungszeiten addieren. Bei null Ausfällen ergibt sich aus der Gesamtzeit eine einseitige obere Grenze der konstanten Rate:</w:t>
      </w:r>
    </w:p>
    <w:p>
      <w:pPr>
        <w:spacing w:before="80" w:after="160"/>
        <w:jc w:val="center"/>
      </w:pPr>
      <m:oMathPara>
        <m:oMath>
          <m:sSub>
            <m:e>
              <m:r>
                <m:t>λ</m:t>
              </m:r>
            </m:e>
            <m:sub>
              <m:r>
                <m:t>U</m:t>
              </m:r>
            </m:sub>
          </m:sSub>
          <m:r>
            <m:t> = </m:t>
          </m:r>
          <m:f>
            <m:num>
              <m:r>
                <m:t>−ln(α)</m:t>
              </m:r>
            </m:num>
            <m:den>
              <m:sSub>
                <m:e>
                  <m:r>
                    <m:t>T</m:t>
                  </m:r>
                </m:e>
                <m:sub>
                  <m:r>
                    <m:t>ges</m:t>
                  </m:r>
                </m:sub>
              </m:sSub>
            </m:den>
          </m:f>
        </m:oMath>
      </m:oMathPara>
    </w:p>
    <w:p>
      <w:r>
        <w:t>Im Lehrbeispiel ergeben zehn Einheiten mit jeweils 1.000 Stunden insgesamt 10.000 Einheitenstunden. Bei 95 Prozent Konfidenzniveau liegt die obere Rate bei ungefähr 0,0002996 pro Stunde. Daraus folgt eine untere MTTF-Grenze von ungefähr 3.338 Stunden. Für die Zuverlässigkeit nach 1.000 Stunden ergibt dieses Modell eine untere Grenze von ungefähr 0,7411.</w:t>
      </w:r>
    </w:p>
    <w:p>
      <w:r>
        <w:t>Dieses Ergebnis widerspricht nicht dem Binomialansatz: Die Methoden verwenden unterschiedliche Informationen und Annahmen. Stundenadditionen bei konstanter Rate sind kein universeller Ersatz für einen Nachweis einer verschleißbedingten Ziellebensdauer. Wer das Modell nicht begründen kann, darf die scheinbar kleinere Prüfdauer nicht als Abkürzung wählen.</w:t>
      </w:r>
    </w:p>
    <w:p>
      <w:pPr>
        <w:pStyle w:val="Heading2"/>
      </w:pPr>
      <w:r>
        <w:t>Beobachtete Ereignisse im zeitbegrenzten Ratentest</w:t>
      </w:r>
    </w:p>
    <w:p>
      <w:r>
        <w:t xml:space="preserve">Bei einem HPP mit konstanter Ereignisintensität, vorab festgelegter Gesamtbeobachtungszeit und r Ereignissen ergibt sich eine einseitige obere Grenze aus dem Chi-Quadrat-Quantil. Die Formel folgt aus dem Poissonmodell für die Ereigniszahl. Sie ist nicht ungeprüft auf einen nach einer festen Ausfallzahl beendeten Versuch zu übertragen. </w:t>
      </w:r>
      <w:hyperlink w:anchor="source_Q25">
        <w:r>
          <w:rPr>
            <w:color w:val="18364A"/>
          </w:rPr>
          <w:t xml:space="preserve">[Q25]</w:t>
        </w:r>
      </w:hyperlink>
    </w:p>
    <w:p>
      <w:pPr>
        <w:spacing w:before="80" w:after="160"/>
        <w:jc w:val="center"/>
      </w:pPr>
      <m:oMathPara>
        <m:oMath>
          <m:sSub>
            <m:e>
              <m:r>
                <m:t>λ</m:t>
              </m:r>
            </m:e>
            <m:sub>
              <m:r>
                <m:t>U</m:t>
              </m:r>
            </m:sub>
          </m:sSub>
          <m:r>
            <m:t> = </m:t>
          </m:r>
          <m:f>
            <m:num>
              <m:sSub>
                <m:e>
                  <m:r>
                    <m:t>χ²</m:t>
                  </m:r>
                </m:e>
                <m:sub>
                  <m:r>
                    <m:t>1 − α; 2r + 2</m:t>
                  </m:r>
                </m:sub>
              </m:sSub>
            </m:num>
            <m:den>
              <m:r>
                <m:t>2Tgesamt</m:t>
              </m:r>
            </m:den>
          </m:f>
        </m:oMath>
      </m:oMathPara>
    </w:p>
    <w:p>
      <w:r>
        <w:t>Bei 10.000 Einheitenstunden und 95 Prozent Konfidenzniveau ergibt r gleich null rund 0,0002996 pro Stunde und r gleich eins rund 0,0004744 pro Stunde. Diese Zahlen beschreiben eine Unsicherheitsgrenze, nicht den Punktschätzer. Prüfschema, Exposition und Modell werden im Bericht gemeinsam genannt.</w:t>
      </w:r>
    </w:p>
    <w:p>
      <w:pPr>
        <w:pStyle w:val="Heading2"/>
      </w:pPr>
      <w:r>
        <w:t>Längere Laufzeit bei begründetem Weibullmodell</w:t>
      </w:r>
    </w:p>
    <w:p>
      <w:r>
        <w:t>Unter einem Weibullmodell mit bekanntem Formparameter β können längere ausfallfreie Prüfungen Information über eine kürzere Zielnutzung liefern. Sei L das Verhältnis Prüfnutzung zu Zielnutzung. Für n gleich lang geprüfte unabhängige Muster ist die Nullausfallbedingung:</w:t>
      </w:r>
    </w:p>
    <w:p>
      <w:pPr>
        <w:spacing w:before="80" w:after="160"/>
        <w:jc w:val="center"/>
      </w:pPr>
      <m:oMathPara>
        <m:oMath>
          <m:r>
            <m:t>n ≥ </m:t>
          </m:r>
          <m:f>
            <m:num>
              <m:r>
                <m:t>ln(α)</m:t>
              </m:r>
            </m:num>
            <m:den>
              <m:sSup>
                <m:e>
                  <m:r>
                    <m:t>L</m:t>
                  </m:r>
                </m:e>
                <m:sup>
                  <m:r>
                    <m:t>β</m:t>
                  </m:r>
                </m:sup>
              </m:sSup>
              <m:r>
                <m:t> ln(</m:t>
              </m:r>
              <m:sSub>
                <m:e>
                  <m:r>
                    <m:t>R</m:t>
                  </m:r>
                </m:e>
                <m:sub>
                  <m:r>
                    <m:t>0</m:t>
                  </m:r>
                </m:sub>
              </m:sSub>
              <m:r>
                <m:t>)</m:t>
              </m:r>
            </m:den>
          </m:f>
        </m:oMath>
      </m:oMathPara>
    </w:p>
    <w:p>
      <w:r>
        <w:t>Diese Beziehung wird häufig im Zusammenhang mit einem Lebensdauerverhältnis oder Lipson-Ansatz verwendet. Hier wird sie direkt aus der zweiparametrigen Weibull-Überlebensfunktion hergeleitet: Die Überlebenswahrscheinlichkeit bei der Prüfnutzung ist diejenige bei der Zielnutzung hoch L hoch β. Für n ausfallfreie Muster wird sie zusätzlich hoch n genommen. Diese Modellannahme ist stärker als die binomiale Bewertung allein am Zielzeitpunkt.</w:t>
      </w:r>
    </w:p>
    <w:p>
      <w:r>
        <w:t>Bei fünf Mustern, R0 gleich 0,99 und 95 Prozent Konfidenzniveau braucht jedes Muster bei β gleich 2 rund 7,72-mal die Zielnutzung. Bei β gleich 1,5 sind es rund 15,26-mal und bei β gleich 3 rund 3,91-mal. Die Rechnung setzt β als bekannt voraus. Wird β aus wenigen Daten geschätzt, muss seine Unsicherheit berücksichtigt werden; ein angenommener günstiger Wert ist kein belastbarer Nachweis.</w:t>
      </w:r>
    </w:p>
    <w:p>
      <w:r>
        <w:t>Längere Laufzeit bei unverändertem Profil ist noch keine Belastungsbeschleunigung. Eine erhöhte Temperatur verlangt zusätzlich ein geeignetes Beschleunigungsmodell. Beide Übertragungen werden getrennt begründet, damit keine zweite Annahme unbemerkt in die Rechnung gerät.</w:t>
      </w:r>
    </w:p>
    <w:p>
      <w:pPr>
        <w:pStyle w:val="Heading2"/>
      </w:pPr>
      <w:r>
        <w:t>Beschleunigung mechanismengerecht verwenden</w:t>
      </w:r>
    </w:p>
    <w:p>
      <w:r>
        <w:t>Ein beschleunigter Test erhöht eine Belastung so, dass ein relevanter Mechanismus schneller abläuft. Für eine quantitative Übertragung brauchen wir ein geprüftes Beschleunigungsmodell und passende Daten. Eine höhere Temperatur kann einen anderen Mechanismus aktivieren; dann ist eine einfache Hochrechnung nicht begründet.</w:t>
      </w:r>
    </w:p>
    <w:p>
      <w:r>
        <w:t>Das Arrheniusmodell beschreibt bestimmte temperaturabhängige Prozesse. Für einen so modellierten Mechanismus gilt:</w:t>
      </w:r>
    </w:p>
    <w:p>
      <w:pPr>
        <w:spacing w:before="80" w:after="160"/>
        <w:jc w:val="center"/>
      </w:pPr>
      <m:oMathPara>
        <m:oMath>
          <m:r>
            <m:t>AF = exp[</m:t>
          </m:r>
          <m:f>
            <m:num>
              <m:sSub>
                <m:e>
                  <m:r>
                    <m:t>E</m:t>
                  </m:r>
                </m:e>
                <m:sub>
                  <m:r>
                    <m:t>a</m:t>
                  </m:r>
                </m:sub>
              </m:sSub>
            </m:num>
            <m:den>
              <m:r>
                <m:t>k</m:t>
              </m:r>
            </m:den>
          </m:f>
          <m:r>
            <m:t>(</m:t>
          </m:r>
          <m:f>
            <m:num>
              <m:r>
                <m:t>1</m:t>
              </m:r>
            </m:num>
            <m:den>
              <m:sSub>
                <m:e>
                  <m:r>
                    <m:t>T</m:t>
                  </m:r>
                </m:e>
                <m:sub>
                  <m:r>
                    <m:t>use</m:t>
                  </m:r>
                </m:sub>
              </m:sSub>
            </m:den>
          </m:f>
          <m:r>
            <m:t> − </m:t>
          </m:r>
          <m:f>
            <m:num>
              <m:r>
                <m:t>1</m:t>
              </m:r>
            </m:num>
            <m:den>
              <m:sSub>
                <m:e>
                  <m:r>
                    <m:t>T</m:t>
                  </m:r>
                </m:e>
                <m:sub>
                  <m:r>
                    <m:t>test</m:t>
                  </m:r>
                </m:sub>
              </m:sSub>
            </m:den>
          </m:f>
          <m:r>
            <m:t>)]</m:t>
          </m:r>
        </m:oMath>
      </m:oMathPara>
    </w:p>
    <w:p>
      <w:r>
        <w:t>Ea ist eine passende Aktivierungsenergie, k die Boltzmann-Konstante und T eine absolute Temperatur in Kelvin am relevanten Ort. Im rein didaktischen Fall mit Ea 0,7 Elektronenvolt und 45 gegenüber 75 Grad Celsius beträgt der Faktor ungefähr 9,03. Diese angenommene Aktivierungsenergie ist kein Bauteilnachweis. Die Wahl des Werts, Modellunsicherheit und gleichbleibender Mechanismus sind entscheidend.</w:t>
      </w:r>
    </w:p>
    <w:p>
      <w:r>
        <w:t>Alltagsbeispiel: Teig geht in Wärme schneller auf. Bei zu großer Hitze verändert sich jedoch der Prozess. Die Analogie verdeutlicht, warum schneller nicht immer nur derselbe Mechanismus in größerem Tempo bedeutet. Sie liefert keine quantitative Regel für Elektronik.</w:t>
      </w:r>
    </w:p>
    <w:p>
      <w:r>
        <w:t>Für zyklische Ermüdung können lastabhängige Modelle passen. Höhere Frequenz kann allerdings Eigenwärme, Erholung oder Belastungsform verändern. Feuchte und Spannung können weitere Mechanismen beeinflussen. Ein kombinierter Beschleunigungsfaktor wird nicht durch unkritisches Multiplizieren einzelner Zahlen erzeugt.</w:t>
      </w:r>
    </w:p>
    <w:p>
      <w:pPr>
        <w:pStyle w:val="Heading2"/>
      </w:pPr>
      <w:r>
        <w:t>Grenzsuche und Degradationsprüfung einordnen</w:t>
      </w:r>
    </w:p>
    <w:p>
      <w:r>
        <w:t>Highly Accelerated Life Testing, kurz HALT, dient in diesem Zusammenhang der explorativen Schwachstellen- und Grenzsuche. Es liefert allein keinen allgemeinen quantitativen Lebensdauernachweis. Ein darauf abgestimmtes Screening wie HASS sucht Fertigungsfehler und muss begründen, dass geeignete Produkte nicht unzulässig vorgeschädigt werden. Screening und Qualifikation sind getrennte Aufgaben.</w:t>
      </w:r>
    </w:p>
    <w:p>
      <w:r>
        <w:t>Degradationsprüfungen messen die Entwicklung einer Leistungsgröße, bevor der Ausfall eintritt. Eine Hochrechnung braucht einen begründeten Zusammenhang mit der Ausfallgrenze, Streuung und Messunsicherheit. Ein langsam driftender Parameter ist nur für die Fehlerursachen ein Lebensdauerindikator, deren Zusammenhang mit der Drift belegt ist.</w:t>
      </w:r>
    </w:p>
    <w:p>
      <w:pPr>
        <w:pStyle w:val="Heading2"/>
      </w:pPr>
      <w:r>
        <w:t>So gehen wir vor</w:t>
      </w:r>
    </w:p>
    <w:p>
      <w:pPr>
        <w:pStyle w:val="ListBullet"/>
      </w:pPr>
      <w:r>
        <w:t>Nachweisziel und Ausfalldefinition einschließlich Konfidenzniveau festlegen.</w:t>
      </w:r>
    </w:p>
    <w:p>
      <w:pPr>
        <w:pStyle w:val="ListBullet"/>
      </w:pPr>
      <w:r>
        <w:t>Modellannahmen, Population und Unabhängigkeit prüfen.</w:t>
      </w:r>
    </w:p>
    <w:p>
      <w:pPr>
        <w:pStyle w:val="ListBullet"/>
      </w:pPr>
      <w:r>
        <w:t>Stichprobe, Dauer, zulässige Ausfälle und Nachweiserfolg vorab bewerten.</w:t>
      </w:r>
    </w:p>
    <w:p>
      <w:pPr>
        <w:pStyle w:val="ListBullet"/>
      </w:pPr>
      <w:r>
        <w:t>Beschleunigung nur mit einem passenden Mechanismus und validierter Übertragung verwenden.</w:t>
      </w:r>
    </w:p>
    <w:p>
      <w:pPr>
        <w:pStyle w:val="ListBullet"/>
      </w:pPr>
      <w:r>
        <w:t>Abbruchregeln, Zensierung, Rohdaten und Ursachenanalyse verbindlich planen.</w:t>
      </w:r>
    </w:p>
    <w:p>
      <w:pPr>
        <w:pStyle w:val="ListBullet"/>
      </w:pPr>
      <w:r>
        <w:t>Annahmezahl c vorab festlegen, Nachweiserfolgswahrscheinlichkeit für plausible wahre Werte berechnen und verwendete Weibull-Formparameter begründen.</w:t>
      </w:r>
    </w:p>
    <w:p>
      <w:r>
        <w:t>Das Ergebnis ist ein freigegebener Prüfplan. Null Ausfälle sind ein wertvoller Befund, aber niemals automatisch unendliche Lebensdauer oder eine Ausfallrate von exakt null.</w:t>
      </w:r>
    </w:p>
    <w:p>
      <w:pPr>
        <w:pStyle w:val="Heading2"/>
        <w:keepNext/>
      </w:pPr>
      <w:r>
        <w:t>Übung</w:t>
      </w:r>
    </w:p>
    <w:p>
      <w:r>
        <w:t>Du hast Geld für fünf Muster und brauchst einen Nachweis von 99 Prozent Zuverlässigkeit mit 95 Prozent Konfidenzniveau. Warum genügt ein bestandener kurzer Test nicht, und welche begründeten Alternativen zur Planüberarbeitung könntest du prüfen?</w:t>
      </w:r>
    </w:p>
    <w:p>
      <w:pPr>
        <w:pStyle w:val="Heading2"/>
        <w:keepNext/>
      </w:pPr>
      <w:r>
        <w:t>Vertiefungsübung</w:t>
      </w:r>
    </w:p>
    <w:p>
      <w:r>
        <w:t>Ein Plan prüft 46 unabhängige Muster und akzeptiert höchstens einen Ausfall. Wie wahrscheinlich ist ein bestandener Nachweis bei einer wahren Zuverlässigkeit von 0,95 beziehungsweise 0,98?</w:t>
      </w:r>
    </w:p>
    <w:p>
      <w:bookmarkStart w:id="26" w:name="chapter_16"/>
      <w:pPr>
        <w:pStyle w:val="Heading1"/>
        <w:pageBreakBefore/>
      </w:pPr>
      <w:r>
        <w:t>16 Integration und Systemfunktion prüfen</w:t>
      </w:r>
      <w:bookmarkEnd w:id="26"/>
    </w:p>
    <w:p>
      <w:pPr>
        <w:pStyle w:val="Caption"/>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 xml:space="preserve">Grundlagen </w:t>
      </w:r>
      <w:hyperlink w:anchor="source_Q07">
        <w:r>
          <w:rPr>
            <w:color w:val="18364A"/>
          </w:rPr>
          <w:t xml:space="preserve">[Q07]</w:t>
        </w:r>
      </w:hyperlink>
      <w:r>
        <w:t xml:space="preserve"> </w:t>
      </w:r>
      <w:hyperlink w:anchor="source_Q08">
        <w:r>
          <w:rPr>
            <w:color w:val="18364A"/>
          </w:rPr>
          <w:t xml:space="preserve">[Q08]</w:t>
        </w:r>
      </w:hyperlink>
      <w:r>
        <w:t xml:space="preserve"> </w:t>
      </w:r>
      <w:hyperlink w:anchor="source_N04">
        <w:r>
          <w:rPr>
            <w:color w:val="18364A"/>
          </w:rPr>
          <w:t xml:space="preserve">[N04]</w:t>
        </w:r>
      </w:hyperlink>
      <w:r>
        <w:t xml:space="preserve">  |  </w:t>
      </w:r>
      <w:hyperlink w:anchor="contents">
        <w:r>
          <w:rPr>
            <w:color w:val="18364A"/>
          </w:rPr>
          <w:t xml:space="preserve">Inhalt</w:t>
        </w:r>
      </w:hyperlink>
    </w:p>
    <w:p>
      <w:pPr>
        <w:pStyle w:val="Heading2"/>
      </w:pPr>
      <w:r>
        <w:t>Gute Teile ergeben nicht automatisch ein gutes System</w:t>
      </w:r>
    </w:p>
    <w:p>
      <w:r>
        <w:t>Ein Fahrrad besteht aus guten Bremsen, guten Felgen und einem guten Rahmen. Sind Bremsbelag und Felge ungeeignet kombiniert oder die Bremse falsch eingestellt, ist die Gesamtfunktion trotzdem nicht erfüllt. Die Komponentenqualität kann vorhanden sein, während die Integration falsch ist.</w:t>
      </w:r>
    </w:p>
    <w:p>
      <w:r>
        <w:t>Im Röntgensystem übernehmen wir akzeptierte Komponentennachweise und prüfen, ob Spezifikation, Einbau, Schnittstellen und reale Use Cases passen. Wir untersuchen das Zusammenspiel, ohne automatisch die komplette Bauteilqualifikation zu wiederholen. Systemintegration kann aber eine bisher übersehene Komponentenbelastung aufdecken. Dann entsteht eine neue, gezielt zu schließende Nachweislücke.</w:t>
      </w:r>
    </w:p>
    <w:p>
      <w:pPr>
        <w:pStyle w:val="Heading2"/>
      </w:pPr>
      <w:r>
        <w:t>Testebenen nach ihrer Aussage wählen</w:t>
      </w:r>
    </w:p>
    <w:p>
      <w:r>
        <w:t>Lokale Softwaretests prüfen einzelne Funktionen. Softwareintegration prüft Zusammenspiel und gemeinsame Zustände. Virtuelle Systemtests ermöglichen frühe Varianten, Timing- und Fehlerfälle innerhalb des Modells. Ein realer Teilkettenprüfstand untersucht ausgewählte elektrische und physikalische Beziehungen. Ein Gesamtsystemtest prüft die durchgängige Funktion im vorgesehenen Kontext.</w:t>
      </w:r>
    </w:p>
    <w:p>
      <w:r>
        <w:t>Die internen Namen und Freigabeprozesse dieser Ebenen werden im Projekt vereinbart. Eine Testmatrix ordnet jeder Anforderung die geeignete Ebene zu und hält verbleibende Lücken fest. Mehr Ebenen erweitern die Abdeckung nur, wenn sie zusätzliche relevante Bedingungen oder Beziehungen prüfen.</w:t>
      </w:r>
    </w:p>
    <w:p>
      <w:pPr>
        <w:pStyle w:val="Heading2"/>
      </w:pPr>
      <w:r>
        <w:t>Betriebsfälle und Grenzsuche unterscheiden</w:t>
      </w:r>
    </w:p>
    <w:p>
      <w:r>
        <w:t>Im Normalfall prüfen wir die erwartete Funktion bei repräsentativer Nutzung. Der ungünstige zulässige Fall kombiniert relevante Belastungen innerhalb des definierten Einsatzbereichs. Grenztests untersuchen darüber hinaus kontrolliert, wo Leistung oder Fehlerreaktion sich verändern. Auch Fälle unterhalb eines Nominalwerts können ungünstig sein, etwa zu kleine Versorgung oder zu kurze Pausen.</w:t>
      </w:r>
    </w:p>
    <w:p>
      <w:r>
        <w:t>Alltagsbeispiel: Ein Heimnetzwerk lädt eine Webseite mit einem Gerät schnell. Bei mehreren parallelen Videos steigt die Latenz. Für die Anwendung ist entscheidend, ob die vereinbarte Leistung bei zulässiger Last noch erfüllt ist. Ein Test mit maximaler, gar nicht vorgesehener Last kann zusätzlich Grenzen zeigen, ist aber ein anderer Nachweis.</w:t>
      </w:r>
    </w:p>
    <w:p>
      <w:pPr>
        <w:pStyle w:val="Heading2"/>
      </w:pPr>
      <w:r>
        <w:t>Integration gezielt stören</w:t>
      </w:r>
    </w:p>
    <w:p>
      <w:r>
        <w:t>Wir leiten Prüfungen aus Interface-FMEA, Zustandsmodell und Fehlerbaum ab. Zu den Störungen können verspätete, doppelte, verlorene oder veraltete Nachrichten, instabile Versorgung, unvollständige Daten und Wiederanlauf gehören. Der erwartete Output und die erlaubte Fehlerreaktion werden vorab festgelegt. Wir prüfen auch, ob eine lokale Schutzreaktion andere Elemente in einem widersprüchlichen Zustand zurücklässt.</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Prüffrage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Gezielte Variation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Erwartete Beobachtung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Ist Bereitschaft gültig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Nachricht verzögern oder aus altem Auftrag senden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Keine ungeprüfte Verwendung veralteter Information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Bleibt Bildzuordnung korrekt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Übertragung unterbrechen und neu starten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Konsistente Zuordnung und definierte Reaktion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Passt der Einbau</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Relevante thermische Lastkombination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innerhalb der belegten Bedingungen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Ist Recovery vollständig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Neustart in verschiedenen Zuständen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Kein alter Auftrag wird unbeabsichtigt fortgesetzt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groß ist die Reserve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Last und Timing kontrolliert variieren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Messbarer Abstand zu definierten Grenzen</w:t>
            </w:r>
          </w:p>
        </w:tc>
      </w:tr>
    </w:tbl>
    <w:p>
      <w:pPr>
        <w:spacing w:after="40" w:before="40"/>
      </w:pPr>
    </w:p>
    <w:p>
      <w:r>
        <w:t>Die Erwartungen in dieser Tabelle sind allgemeine Lehrziele; konkrete Produktschutzfunktionen und Akzeptanzwerte werden im freigegebenen Projektprozess definiert. Eine Fehlerinjektion darf keine klinisch genutzte Anwendung gefährden oder Schutzfunktionen unkontrolliert umgehen.</w:t>
      </w:r>
    </w:p>
    <w:p>
      <w:pPr>
        <w:pStyle w:val="Heading2"/>
      </w:pPr>
      <w:r>
        <w:t>Den gesamten Ablauf und seine Rückfallebenen prüfen</w:t>
      </w:r>
    </w:p>
    <w:p>
      <w:r>
        <w:t>Ein Test beginnt mit dem definierten Auftrag und endet am vereinbarten Erfolgspunkt. Wir prüfen dabei Identität, Reihenfolge, Zustand und Zeit an den Übergaben. Simulatoren können ungewöhnliche Antworten oder Verzögerungen gezielt erzeugen; reale Gegenstellen prüfen zusätzlich tatsächliche Interoperabilität und Implementierungsdetails.</w:t>
      </w:r>
    </w:p>
    <w:p>
      <w:r>
        <w:t>Am Archivanschluss injizieren wir beispielsweise eine unterbrochene Verbindung, eine verspätete Bestätigung und eine doppelte Antwort. Das Testorakel unterscheidet erfolgreiche Archivierung, zulässige lokale Pufferung, offene Übertragung und eindeutigen Fehler. Eine sichtbare Bilddatei allein ist noch keine Bestätigung des vollständigen Ablaufs.</w:t>
      </w:r>
    </w:p>
    <w:p>
      <w:r>
        <w:t>Der Test der Rückkehr in den Normalbetrieb gehört dazu. Nach einer Unterbrechung müssen offene Aufträge richtig zugeordnet und genau gemäß der vereinbarten Übertragungslogik abgeschlossen werden. Rückfallebenen dürfen weder unbemerkten Datenverlust noch eine unzulässige Aufnahmefolge erzeugen. Welche Wiederholung technisch und klinisch zulässig ist, wird im Produktprozess festgelegt.</w:t>
      </w:r>
    </w:p>
    <w:p>
      <w:r>
        <w:t xml:space="preserve">Bei elektromagnetischen Störungen beobachten wir die betroffene Funktion und Fehlerreaktion im relevanten Betriebszustand. Der Komponentenbericht und die Systemprüfung erhalten denselben Bezug zu Einbau und wesentlichen Leistungsmerkmalen. </w:t>
      </w:r>
      <w:hyperlink w:anchor="source_N28">
        <w:r>
          <w:rPr>
            <w:color w:val="18364A"/>
          </w:rPr>
          <w:t xml:space="preserve">[N28]</w:t>
        </w:r>
      </w:hyperlink>
    </w:p>
    <w:p>
      <w:pPr>
        <w:pStyle w:val="Heading2"/>
      </w:pPr>
      <w:r>
        <w:t>Ergebnisse interpretierbar machen</w:t>
      </w:r>
    </w:p>
    <w:p>
      <w:r>
        <w:t>Wir erfassen Testkonfiguration, Versionen, Startzustand, Stimuli, Zeitverlauf und Ergebnis. Zeitstempel über mehrere Elemente benötigen eine geeignete gemeinsame Basis oder eine dokumentierte Unsicherheit. Andernfalls kann eine scheinbar frühe Meldung tatsächlich später eingetroffen sein.</w:t>
      </w:r>
    </w:p>
    <w:p>
      <w:r>
        <w:t>Ein Erfolgskriterium ist mehr als kein Absturz. Bei einer Aufnahme können Vollständigkeit, Zuordnung, Bildqualität, Timing und Status relevant sein. Ein Fehler im Testorakel kann viele falsche Erfolge erzeugen. Die Messkette wird deshalb ebenfalls geprüft. Beobachtbarkeit und Logging werden früh gestaltet, nicht erst nach einem schwer reproduzierbaren Feldfehler.</w:t>
      </w:r>
    </w:p>
    <w:p>
      <w:pPr>
        <w:pStyle w:val="Heading2"/>
      </w:pPr>
      <w:r>
        <w:t>So gehen wir vor</w:t>
      </w:r>
    </w:p>
    <w:p>
      <w:pPr>
        <w:pStyle w:val="ListBullet"/>
      </w:pPr>
      <w:r>
        <w:t>Akzeptierte Komponentenstände und Einsatzgrenzen prüfen.</w:t>
      </w:r>
    </w:p>
    <w:p>
      <w:pPr>
        <w:pStyle w:val="ListBullet"/>
      </w:pPr>
      <w:r>
        <w:t>Integrationsrisiken aus Architektur, I/O und FMEA priorisieren.</w:t>
      </w:r>
    </w:p>
    <w:p>
      <w:pPr>
        <w:pStyle w:val="ListBullet"/>
      </w:pPr>
      <w:r>
        <w:t>Normalfälle, ungünstige zulässige Kombinationen und Recovery auswählen.</w:t>
      </w:r>
    </w:p>
    <w:p>
      <w:pPr>
        <w:pStyle w:val="ListBullet"/>
      </w:pPr>
      <w:r>
        <w:t>Physikalische und virtuelle Ebenen nach ihrer Aussage kombinieren.</w:t>
      </w:r>
    </w:p>
    <w:p>
      <w:pPr>
        <w:pStyle w:val="ListBullet"/>
      </w:pPr>
      <w:r>
        <w:t>Fehlerreaktion, Leistungsreserven und verbleibende Unsicherheit dokumentieren.</w:t>
      </w:r>
    </w:p>
    <w:p>
      <w:pPr>
        <w:pStyle w:val="ListBullet"/>
      </w:pPr>
      <w:r>
        <w:t>Den gesamten Ablauf einschließlich Rückkehr aus einer Rückfallebene prüfen.</w:t>
      </w:r>
    </w:p>
    <w:p>
      <w:r>
        <w:t>Das Ergebnis ist ein versionsbezogener Nachweis der Systemfunktion. Ein bestandenes Systemtestskript beantwortet nur die tatsächlich beobachteten Anforderungen und Bedingungen.</w:t>
      </w:r>
    </w:p>
    <w:p>
      <w:pPr>
        <w:pStyle w:val="Heading2"/>
        <w:keepNext/>
      </w:pPr>
      <w:r>
        <w:t>Übung</w:t>
      </w:r>
    </w:p>
    <w:p>
      <w:r>
        <w:t>Zwei Smartphones funktionieren einzeln, aber eine Videoübertragung zwischen ihnen bricht unter Last ab. Welche Integrationsfragen bleiben offen, obwohl beide Geräte ihre Einzeltests bestanden haben?</w:t>
      </w:r>
    </w:p>
    <w:p>
      <w:bookmarkStart w:id="27" w:name="chapter_17"/>
      <w:pPr>
        <w:pStyle w:val="Heading1"/>
        <w:pageBreakBefore/>
      </w:pPr>
      <w:r>
        <w:t>17 Freigabe und Änderungen begründet bewerten</w:t>
      </w:r>
      <w:bookmarkEnd w:id="27"/>
    </w:p>
    <w:p>
      <w:pPr>
        <w:pStyle w:val="Caption"/>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7">
        <w:r>
          <w:rPr>
            <w:color w:val="18364A"/>
          </w:rPr>
          <w:t xml:space="preserve">[Q07]</w:t>
        </w:r>
      </w:hyperlink>
      <w:r>
        <w:t xml:space="preserve"> </w:t>
      </w:r>
      <w:hyperlink w:anchor="source_N03">
        <w:r>
          <w:rPr>
            <w:color w:val="18364A"/>
          </w:rPr>
          <w:t xml:space="preserve">[N03]</w:t>
        </w:r>
      </w:hyperlink>
      <w:r>
        <w:t xml:space="preserve"> </w:t>
      </w:r>
      <w:hyperlink w:anchor="source_N04">
        <w:r>
          <w:rPr>
            <w:color w:val="18364A"/>
          </w:rPr>
          <w:t xml:space="preserve">[N04]</w:t>
        </w:r>
      </w:hyperlink>
      <w:r>
        <w:t xml:space="preserve"> </w:t>
      </w:r>
      <w:hyperlink w:anchor="source_N18">
        <w:r>
          <w:rPr>
            <w:color w:val="18364A"/>
          </w:rPr>
          <w:t xml:space="preserve">[N18]</w:t>
        </w:r>
      </w:hyperlink>
      <w:r>
        <w:t xml:space="preserve"> </w:t>
      </w:r>
      <w:hyperlink w:anchor="source_N19">
        <w:r>
          <w:rPr>
            <w:color w:val="18364A"/>
          </w:rPr>
          <w:t xml:space="preserve">[N19]</w:t>
        </w:r>
      </w:hyperlink>
      <w:r>
        <w:t xml:space="preserve">  |  </w:t>
      </w:r>
      <w:hyperlink w:anchor="contents">
        <w:r>
          <w:rPr>
            <w:color w:val="18364A"/>
          </w:rPr>
          <w:t xml:space="preserve">Inhalt</w:t>
        </w:r>
      </w:hyperlink>
    </w:p>
    <w:p>
      <w:pPr>
        <w:pStyle w:val="Heading2"/>
      </w:pPr>
      <w:r>
        <w:t>Drei Nachweisfragen unterscheiden</w:t>
      </w:r>
    </w:p>
    <w:p>
      <w:r>
        <w:t>Verifikation fragt, ob die Umsetzung die festgelegten Anforderungen erfüllt. Validierung fragt, ob das resultierende Produkt im vorgesehenen Kontext die benötigte Anwendung erfüllt. Qualifikation bezeichnet hier die begründete Eignungsbewertung einer Ausführung für festgelegte Bedingungen und Nutzung. Die Begriffe werden mit den unternehmensweit gültigen Prozessdefinitionen abgestimmt.</w:t>
      </w:r>
    </w:p>
    <w:p>
      <w:r>
        <w:t>Alltagsbeispiel: Ein Bücherregal wird nach Zeichnung gebaut. Maße und Tragfähigkeit entsprechen den Anforderungen: Das kann verifiziert werden. Ob es für die tatsächlich großen und schweren Bücher des Nutzers geeignet ist, gehört zur Validierung des Bedarfs. Wird eine bestimmte Ausführung unter einem festgelegten Belastungsprofil untersucht, unterstützt das ihre Qualifikation für diesen Einsatz.</w:t>
      </w:r>
    </w:p>
    <w:p>
      <w:pPr>
        <w:pStyle w:val="Heading2"/>
      </w:pPr>
      <w:r>
        <w:t>Freigabe ist eine begründete Entscheidung</w:t>
      </w:r>
    </w:p>
    <w:p>
      <w:r>
        <w:t>Eine Freigabe bündelt Anforderungen, Analysen, Supplier-Nachweise, Tests, Abweichungen und relevante Felderfahrung. Sie sagt, für welche Konfiguration und welchen Einsatz die Evidenz ausreichend ist. Sie verspricht keine absolute Ausfallfreiheit. Offene Punkte werden nicht allein dadurch erledigt, dass genügend andere Tests grün sind.</w:t>
      </w:r>
    </w:p>
    <w:p>
      <w:r>
        <w:t>Eine Nachweismatrix (Evidence Matrix) macht die Beziehungen prüfbar. Jede relevante Anforderung verweist auf einen Nachweis, dessen Ergebnis und Geltungsbereich. Eine Zeile wie „thermischer Test bestanden“ ohne Musteridentität und Profil ist wenig hilfreich. Ein zulässiger Übernahmenachweis wird als solcher kenntlich gemacht, damit seine Bedingungen später überprüft werden können.</w:t>
      </w:r>
    </w:p>
    <w:tbl>
      <w:tblPr>
        <w:tblW w:type="dxa" w:w="9792"/>
        <w:jc w:val="center"/>
        <w:tblLayout w:type="fixed"/>
        <w:tblLook w:firstColumn="1" w:firstRow="1" w:lastColumn="0" w:lastRow="0" w:noHBand="0" w:noVBand="1" w:val="04A0"/>
      </w:tblPr>
      <w:tblGrid>
        <w:gridCol w:w="2304"/>
        <w:gridCol w:w="2448"/>
        <w:gridCol w:w="2376"/>
        <w:gridCol w:w="2664"/>
      </w:tblGrid>
      <w:tr>
        <w:trPr>
          <w:cantSplit/>
          <w:tblHeader/>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Anforderung im Lehrbeispiel</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Evidenz</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Geltungsbereich</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Entscheidung</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Kabel übersteht Zielbewegung</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Supplier-Prüfung mit passender Statistik</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Definierter Kabel- und Einbaustand</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Übernahme nach Eignungsreview</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Status gehört zum aktuellen Auftrag</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Integrationstest mit veralteten Nachrichten</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Definierter Softwarestand</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Erfüllt oder gezielte Maßnahme</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 bleibt im belegten Bereich</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Thermischer Systemnachweis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Profil und Einbaukonfiguration</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Anwendung bestätigt oder eingeschränkt</w:t>
            </w:r>
          </w:p>
        </w:tc>
      </w:tr>
    </w:tbl>
    <w:p>
      <w:pPr>
        <w:spacing w:after="40" w:before="40"/>
      </w:pPr>
    </w:p>
    <w:p>
      <w:pPr>
        <w:pStyle w:val="Heading2"/>
      </w:pPr>
      <w:r>
        <w:t>Änderungen entlang ihrer Wirkung bewerten</w:t>
      </w:r>
    </w:p>
    <w:p>
      <w:r>
        <w:t>Eine neue Farbe des Gehäuses kann je nach Material und Prozess nur kosmetisch oder technisch relevant sein. Ein neues Kabelmaterial kann Flexibilität und Alterung ändern. Ein scheinbar kleiner Timeout kann viele Zustandsübergänge beeinflussen. Der Änderungsname klein sagt deshalb nichts über die notwendige Nachweistiefe.</w:t>
      </w:r>
    </w:p>
    <w:p>
      <w:r>
        <w:t>Wir verfolgen die Änderung über Funktion, Architektur, Mechanismus und Nutzung bis zur betroffenen Evidenz. Unbetroffene Nachweise bleiben nutzbar, wenn ihre Unbetroffenheit begründet ist. Betroffene Nachweise werden ergänzt oder wiederholt. Diese Entscheidung wird dokumentiert, statt entweder alles neu zu prüfen oder jeden früheren Bericht unverändert zu übernehmen.</w:t>
      </w:r>
    </w:p>
    <w:p>
      <w:pPr>
        <w:pStyle w:val="Heading2"/>
      </w:pPr>
      <w:r>
        <w:t>Anwendung am Röntgensystem</w:t>
      </w:r>
    </w:p>
    <w:p>
      <w:r>
        <w:t>Eine neue Detektor-Firmware kann Bildauslesetiming und Bereitschaft beeinflussen. Die mechanische Ausführung ist gleich geblieben. Das legt zunächst eine Bewertung der Zustands- und Schnittstellennachweise nahe. Wenn die neue Firmware zusätzlich andere Verlustleistung erzeugt, kann auch die thermische Evidenz betroffen sein. Die Wirkung wird geprüft, nicht aus dem Versionsnamen abgeleitet.</w:t>
      </w:r>
    </w:p>
    <w:p>
      <w:r>
        <w:t>Eine neue Nutzung mit höherer Expositionsfolge kann bestehende Grenzen berühren, obwohl sich kein Bauteil geändert hat. Auch ein Use-Case-Wechsel ist deshalb eine mögliche technische Änderung. Medizinisches Risikomanagement und regulatorische Freigaben werden nach den geltenden Unternehmensprozessen separat einbezogen; die Nachweismatrix ersetzt diese nicht.</w:t>
      </w:r>
    </w:p>
    <w:p>
      <w:pPr>
        <w:pStyle w:val="Heading2"/>
      </w:pPr>
      <w:r>
        <w:t>Änderungen fremder Systeme berücksichtigen</w:t>
      </w:r>
    </w:p>
    <w:p>
      <w:r>
        <w:t>Unsere Freigabe benennt die geprüften und zulässigen Gegenstellen, Versionen, Funktionen und Randbedingungen. Meldet ein Betreiber ein Archiv-Upgrade, prüfen wir die Wirkung auf diese Basis. Ein fremdes Update ist kein Grund, alle Komponenten neu zu qualifizieren, kann aber einen gezielten Kompatibilitätsnachweis benötigen.</w:t>
      </w:r>
    </w:p>
    <w:p>
      <w:r>
        <w:t>Die Entscheidung lautet beispielsweise: unverändert gültig, gültig unter einer dokumentierten Bedingung oder zusätzliche Evidenz erforderlich. Offene Kombinationen werden nicht wie freigegebene behandelt. Bei einer zeitweisen Nutzung unter Bedingungen werden Verantwortliche, Grenzen und Folgeaktivitäten dokumentiert.</w:t>
      </w:r>
    </w:p>
    <w:p>
      <w:pPr>
        <w:pStyle w:val="Heading2"/>
      </w:pPr>
      <w:r>
        <w:t>So gehen wir vor</w:t>
      </w:r>
    </w:p>
    <w:p>
      <w:pPr>
        <w:pStyle w:val="ListBullet"/>
      </w:pPr>
      <w:r>
        <w:t>Freizugebende Konfiguration und Einsatzbereich eindeutig festlegen.</w:t>
      </w:r>
    </w:p>
    <w:p>
      <w:pPr>
        <w:pStyle w:val="ListBullet"/>
      </w:pPr>
      <w:r>
        <w:t>Anforderungen und Nachweismatrix auf Vollständigkeit und Eignung prüfen.</w:t>
      </w:r>
    </w:p>
    <w:p>
      <w:pPr>
        <w:pStyle w:val="ListBullet"/>
      </w:pPr>
      <w:r>
        <w:t>Abweichungen, Grenzen und verbleibende Unsicherheit bewerten.</w:t>
      </w:r>
    </w:p>
    <w:p>
      <w:pPr>
        <w:pStyle w:val="ListBullet"/>
      </w:pPr>
      <w:r>
        <w:t>Änderungen über ihre tatsächliche Wirkung analysieren.</w:t>
      </w:r>
    </w:p>
    <w:p>
      <w:pPr>
        <w:pStyle w:val="ListBullet"/>
      </w:pPr>
      <w:r>
        <w:t>Entscheidung mit Bedingungen, Verantwortlichen und Folgeaktivitäten dokumentieren.</w:t>
      </w:r>
    </w:p>
    <w:p>
      <w:pPr>
        <w:pStyle w:val="ListBullet"/>
      </w:pPr>
      <w:r>
        <w:t>Geprüfte Gegenstellen und Versionen in der Freigabe nennen; offene Kombinationen kennzeichnen.</w:t>
      </w:r>
    </w:p>
    <w:p>
      <w:pPr>
        <w:pStyle w:val="Heading2"/>
        <w:keepNext/>
      </w:pPr>
      <w:r>
        <w:t>Übung</w:t>
      </w:r>
    </w:p>
    <w:p>
      <w:r>
        <w:t>Ein Hersteller verändert nur die Software eines Thermostats. Warum kann das trotzdem den Nachweis einer mechanischen oder thermischen Komponente beeinflussen?</w:t>
      </w:r>
    </w:p>
    <w:p>
      <w:bookmarkStart w:id="28" w:name="chapter_18"/>
      <w:pPr>
        <w:pStyle w:val="Heading1"/>
        <w:pageBreakBefore/>
      </w:pPr>
      <w:r>
        <w:t>18 Qualität und Zuverlässigkeit im Feld überwachen</w:t>
      </w:r>
      <w:bookmarkEnd w:id="28"/>
    </w:p>
    <w:p>
      <w:pPr>
        <w:pStyle w:val="Caption"/>
        <w:spacing w:after="70" w:line="250" w:lineRule="auto"/>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1">
        <w:r>
          <w:rPr>
            <w:color w:val="18364A"/>
          </w:rPr>
          <w:t xml:space="preserve">[Q01]</w:t>
        </w:r>
      </w:hyperlink>
      <w:r>
        <w:t xml:space="preserve"> </w:t>
      </w:r>
      <w:hyperlink w:anchor="source_Q03">
        <w:r>
          <w:rPr>
            <w:color w:val="18364A"/>
          </w:rPr>
          <w:t xml:space="preserve">[Q03]</w:t>
        </w:r>
      </w:hyperlink>
      <w:r>
        <w:t xml:space="preserve"> </w:t>
      </w:r>
      <w:hyperlink w:anchor="source_N02">
        <w:r>
          <w:rPr>
            <w:color w:val="18364A"/>
          </w:rPr>
          <w:t xml:space="preserve">[N02]</w:t>
        </w:r>
      </w:hyperlink>
      <w:r>
        <w:t xml:space="preserve">  |  </w:t>
      </w:r>
      <w:hyperlink w:anchor="contents">
        <w:r>
          <w:rPr>
            <w:color w:val="18364A"/>
          </w:rPr>
          <w:t xml:space="preserve">Inhalt</w:t>
        </w:r>
      </w:hyperlink>
    </w:p>
    <w:p>
      <w:pPr>
        <w:pStyle w:val="Heading2"/>
        <w:spacing w:before="160" w:after="80"/>
      </w:pPr>
      <w:r>
        <w:t>Ohne Nenner führt eine Ausfallzahl leicht in die Irre</w:t>
      </w:r>
    </w:p>
    <w:p>
      <w:pPr>
        <w:spacing w:after="70" w:line="250" w:lineRule="auto"/>
      </w:pPr>
      <w:r>
        <w:t>Eine Fahrradwerkstatt repariert in einem Monat zehn E-Bikes und fünf normale Fahrräder. Daraus lässt sich nicht ableiten, dass E-Bikes doppelt so unzuverlässig sind. Vielleicht wurden zehnmal so viele E-Bikes verkauft oder sie werden viel intensiver genutzt. Wir benötigen Population, Beobachtungsdauer und Nutzung.</w:t>
      </w:r>
    </w:p>
    <w:p>
      <w:pPr>
        <w:spacing w:after="70" w:line="250" w:lineRule="auto"/>
      </w:pPr>
      <w:r>
        <w:t>Im Feld unterscheiden wir Ereignisse pro Aufnahme, pro Betriebsstunde, pro Gerätejahr oder pro anderer passender Exposition. Der Nenner muss zur Funktion und zum Mechanismus passen. Ein mechanischer Bewegungsfehler wird nicht allein durch die Zahl der Bildaufnahmen erklärt. Kalenderalter, Betriebsalter und Version helfen, Populationen vergleichbar zu machen.</w:t>
      </w:r>
    </w:p>
    <w:p>
      <w:pPr>
        <w:pStyle w:val="Heading2"/>
        <w:spacing w:before="160" w:after="80"/>
      </w:pPr>
      <w:r>
        <w:t>Ereignisse sauber definieren</w:t>
      </w:r>
    </w:p>
    <w:p>
      <w:pPr>
        <w:spacing w:after="70" w:line="250" w:lineRule="auto"/>
      </w:pPr>
      <w:r>
        <w:t>Aufnahmeabbruch, Systemneustart, bestätigter Komponentenfehler, Serviceaustausch und No Fault Found sind verschiedene Ereignisse. Ein Austausch kann eine diagnostische Maßnahme sein, ohne dass das entfernte Teil defekt ist. Umgekehrt kann ein relevanter Funktionsverlust ohne Austausch auftreten. Wir dokumentieren den Befund und seine Sicherheit, nicht nur den Ersatzteilverbrauch.</w:t>
      </w:r>
    </w:p>
    <w:p>
      <w:pPr>
        <w:spacing w:after="70" w:line="250" w:lineRule="auto"/>
      </w:pPr>
      <w:r>
        <w:t>Eine erste Meldung darf als Signal erfasst werden, auch wenn ihre Ursache offen ist. Für quantitative Aussagen wird der Status nachvollziehbar gepflegt. Mehrfache Tickets zum selben Ereignis werden nicht ungeprüft mehrfach gezählt. Mehrere unterschiedliche Ereignisse am selben Gerät können dagegen relevant sein und benötigen ein passendes Modell für Abhängigkeit und Wiederherstellung.</w:t>
      </w:r>
    </w:p>
    <w:p>
      <w:pPr>
        <w:pStyle w:val="Heading2"/>
        <w:spacing w:before="160" w:after="80"/>
      </w:pPr>
      <w:r>
        <w:t>Ein Zahlenbeispiel</w:t>
      </w:r>
    </w:p>
    <w:p>
      <w:pPr>
        <w:spacing w:after="70" w:line="250" w:lineRule="auto"/>
      </w:pPr>
      <w:r>
        <w:t>Im fiktiven Datensatz treten vor einer Maßnahme 40 Ereignisse bei zwei Millionen Aufnahmen auf. Das entspricht 20 Ereignissen pro Million Aufnahmen. Danach treten 25 Ereignisse bei zweieinhalb Millionen Aufnahmen auf, entsprechend zehn pro Million. Der Punktschätzer der Rate hat sich halbiert. Die rohe Zahl ist nur um 15 Ereignisse gesunken.</w:t>
      </w:r>
    </w:p>
    <w:p>
      <w:pPr>
        <w:spacing w:after="70" w:line="250" w:lineRule="auto"/>
      </w:pPr>
      <w:r>
        <w:t>Ob die Maßnahme die Ursache für diese Veränderung ist, bleibt zunächst offen. Nutzung, Alter, Gerätevarianten, Meldeverhalten und andere Änderungen können sich unterscheiden. Auch die statistische Unsicherheit wird berücksichtigt. Die Rechnung illustriert den passenden Nenner und beweist noch keine Wirksamkeit oder statistische Signifikanz.</w:t>
      </w:r>
    </w:p>
    <w:p>
      <w:pPr>
        <w:pStyle w:val="Heading2"/>
        <w:spacing w:before="160" w:after="80"/>
      </w:pPr>
      <w:r>
        <w:t>Kohorten und Datenqualität</w:t>
      </w:r>
    </w:p>
    <w:p>
      <w:pPr>
        <w:spacing w:after="70" w:line="250" w:lineRule="auto"/>
      </w:pPr>
      <w:r>
        <w:t>Wir bilden geeignete Gruppen nach Inbetriebnahme, Alter, Nutzung, Hardwarestand, Softwarestand und relevanten Einsatzbedingungen. Neue Geräte mit kurzer Beobachtung dürfen nicht ohne Weiteres mit alten Geräten über viele Jahre verglichen werden. Rechtszensierte Beobachtung und unterschiedliche Meldetiefe werden sichtbar gemacht.</w:t>
      </w:r>
    </w:p>
    <w:p>
      <w:pPr>
        <w:spacing w:after="70" w:line="250" w:lineRule="auto"/>
      </w:pPr>
      <w:r>
        <w:t>Ein Softwareupdate kann zugleich die Fehlererkennung verbessern. Wenn danach mehr Ereignisse im Log erscheinen, ist zuerst zu prüfen, ob sich die Funktion oder nur ihre Erkennung verändert hat. Umgekehrt kann ein seltener Servicebesuch bedeuten, dass Ausfälle nicht gemeldet wurden. Datenqualität ist eine Voraussetzung der Statistik, kein nachträglicher Kommentar.</w:t>
      </w:r>
    </w:p>
    <w:p>
      <w:pPr>
        <w:pStyle w:val="Heading2"/>
        <w:spacing w:before="160" w:after="80"/>
      </w:pPr>
      <w:r>
        <w:t>Logs mit einem Zweck gestalten</w:t>
      </w:r>
    </w:p>
    <w:p>
      <w:pPr>
        <w:spacing w:after="70" w:line="250" w:lineRule="auto"/>
      </w:pPr>
      <w:r>
        <w:t>Ein brauchbarer Ereignisdatensatz enthält Zeit, Ereignisdefinition, Geräte- und Konfigurationsbezug, Betriebszustand, Nutzung, relevante Messwerte und den anschließenden Befund. Kausal wichtige Meldungen über mehrere Elemente werden zeitlich zuordenbar. Patientendaten werden für technische Analysen nicht unnötig erfasst; Datenschutz, Zugriff und Aufbewahrung folgen den geltenden Prozessen.</w:t>
      </w:r>
    </w:p>
    <w:p>
      <w:pPr>
        <w:spacing w:after="70" w:line="250" w:lineRule="auto"/>
      </w:pPr>
      <w:r>
        <w:t>Alltagsbeispiel: Wenn ein Auto nicht anspringt, hilft die Meldung Fehler wenig. Batteriezustand, Außentemperatur und Startversuch helfen, Hypothesen zu unterscheiden. Am Röntgensystem sind passende Zustände und Lastdaten ähnlich wertvoll, solange sie gezielt und interpretierbar aufgezeichnet werden.</w:t>
      </w:r>
    </w:p>
    <w:p>
      <w:pPr>
        <w:pStyle w:val="Heading2"/>
        <w:spacing w:before="160" w:after="80"/>
      </w:pPr>
      <w:r>
        <w:t>Reparierte Systeme mit wiederkehrenden Ereignissen auswerten</w:t>
      </w:r>
    </w:p>
    <w:p>
      <w:pPr>
        <w:spacing w:after="70" w:line="250" w:lineRule="auto"/>
      </w:pPr>
      <w:r>
        <w:t xml:space="preserve">Bei einem reparierbaren System kann dieselbe Einheit mehrfach ausfallen. Eine Kurve der Zeit bis zum ersten Ausfall verliert dann einen Teil der Geschichte. Die mittlere kumulierte Ereigniszahl, englisch Mean Cumulative Function oder MCF, beschreibt, wie viele definierte Ereignisse eine Einheit im Mittel bis zur Nutzung t erlebt. Sie ist keine Ausfallwahrscheinlichkeit und kann größer als eins werden. </w:t>
      </w:r>
      <w:hyperlink w:anchor="source_Q27">
        <w:r>
          <w:rPr>
            <w:color w:val="18364A"/>
          </w:rPr>
          <w:t xml:space="preserve">[Q27]</w:t>
        </w:r>
      </w:hyperlink>
    </w:p>
    <w:p>
      <w:pPr>
        <w:spacing w:after="70" w:line="250" w:lineRule="auto"/>
      </w:pPr>
      <w:r>
        <w:t>Für exakte Ereigniszeiten, gemeinsame Nutzungsachse und geeignete unabhängige Rechtszensierung addiert eine nichtparametrische Schätzung an jedem Ereigniszeitpunkt den Quotienten aus Ereigniszahl d und beobachteten Einheiten Y. Reparierte Einheiten können weiter zur Beobachtung beitragen. Y zählt hier beobachtete Einheiten, nicht nur Einheiten ohne früheren Ausfall.</w:t>
      </w:r>
    </w:p>
    <w:p>
      <w:pPr>
        <w:spacing w:before="80" w:after="70" w:line="250" w:lineRule="auto"/>
        <w:jc w:val="center"/>
      </w:pPr>
      <m:oMathPara>
        <m:oMath>
          <m:r>
            <m:t>M̂(t) = Σ </m:t>
          </m:r>
          <m:f>
            <m:num>
              <m:sSub>
                <m:e>
                  <m:r>
                    <m:t>d</m:t>
                  </m:r>
                </m:e>
                <m:sub>
                  <m:r>
                    <m:t>j</m:t>
                  </m:r>
                </m:sub>
              </m:sSub>
            </m:num>
            <m:den>
              <m:sSub>
                <m:e>
                  <m:r>
                    <m:t>Y</m:t>
                  </m:r>
                </m:e>
                <m:sub>
                  <m:r>
                    <m:t>j</m:t>
                  </m:r>
                </m:sub>
              </m:sSub>
            </m:den>
          </m:f>
          <m:r>
            <m:t>     für Ereigniszeiten bis t</m:t>
          </m:r>
        </m:oMath>
      </m:oMathPara>
    </w:p>
    <w:p>
      <w:pPr>
        <w:spacing w:after="70" w:line="250" w:lineRule="auto"/>
      </w:pPr>
      <w:r>
        <w:t>Im kleinen Lehrbeispiel werden vier Systeme beobachtet. Bei 100 Stunden tritt ein Ereignis auf, bei 200 Stunden zwei weitere. Alle vier sind noch in Beobachtung. Die Schätzung steigt zunächst auf 0,25 und dann auf 0,75 Ereignisse pro System. Nach einer Zensierung werden noch drei Systeme beobachtet. Ein weiteres Ereignis bei 300 Stunden erhöht den Wert um ein Drittel auf ungefähr 1,083. Er ist kein Anteil von 108,3 Prozent defekter Systeme.</w:t>
      </w:r>
    </w:p>
    <w:p>
      <w:bookmarkStart w:id="29" w:name="diagram_F"/>
      <w:pPr>
        <w:keepNext/>
        <w:spacing w:after="70" w:line="250" w:lineRule="auto"/>
        <w:jc w:val="center"/>
      </w:pPr>
      <w:r>
        <w:drawing>
          <wp:inline xmlns:a="http://schemas.openxmlformats.org/drawingml/2006/main" xmlns:pic="http://schemas.openxmlformats.org/drawingml/2006/picture">
            <wp:extent cx="5943600" cy="3103880"/>
            <wp:docPr id="9" name="Picture 9" descr="Schaubild F Wiederkehrende Ereignisse im MCF Lehrbeispiel"/>
            <wp:cNvGraphicFramePr>
              <a:graphicFrameLocks noChangeAspect="1"/>
            </wp:cNvGraphicFramePr>
            <a:graphic>
              <a:graphicData uri="http://schemas.openxmlformats.org/drawingml/2006/picture">
                <pic:pic>
                  <pic:nvPicPr>
                    <pic:cNvPr id="0" name="F.png"/>
                    <pic:cNvPicPr/>
                  </pic:nvPicPr>
                  <pic:blipFill>
                    <a:blip r:embed="rId19"/>
                    <a:stretch>
                      <a:fillRect/>
                    </a:stretch>
                  </pic:blipFill>
                  <pic:spPr>
                    <a:xfrm>
                      <a:off x="0" y="0"/>
                      <a:ext cx="5943600" cy="3103880"/>
                    </a:xfrm>
                    <a:prstGeom prst="rect"/>
                  </pic:spPr>
                </pic:pic>
              </a:graphicData>
            </a:graphic>
          </wp:inline>
        </w:drawing>
      </w:r>
      <w:bookmarkEnd w:id="29"/>
    </w:p>
    <w:p>
      <w:pPr>
        <w:pStyle w:val="Caption"/>
        <w:spacing w:after="70" w:line="250" w:lineRule="auto"/>
      </w:pPr>
      <w:r>
        <w:t>Schaubild F Wiederkehrende Ereignisse im MCF Lehrbeispiel  Eigene Darstellung für den beschriebenen Lehrfall.</w:t>
      </w:r>
    </w:p>
    <w:p>
      <w:pPr>
        <w:spacing w:after="70" w:line="250" w:lineRule="auto"/>
      </w:pPr>
      <w:r>
        <w:t>Kohorten vergleichen wir auf derselben Nutzungsachse mit gleichen Ereignisdefinitionen. Unsicherheitsbereiche müssen die wiederholten Beobachtungen je System berücksichtigen. Andere Nutzungsprofile, wechselnde Versionen und informative Beobachtungsabbrüche können einen Vergleich verzerren. Das Lehrdiagramm erklärt die Schätzung und ist kein statistischer Wirksamkeitsnachweis.</w:t>
      </w:r>
    </w:p>
    <w:p>
      <w:pPr>
        <w:pStyle w:val="Heading2"/>
        <w:spacing w:before="160" w:after="80"/>
      </w:pPr>
      <w:r>
        <w:t>Betriebsverfügbarkeit gesondert erfassen</w:t>
      </w:r>
    </w:p>
    <w:p>
      <w:pPr>
        <w:spacing w:after="70" w:line="250" w:lineRule="auto"/>
      </w:pPr>
      <w:r>
        <w:t>Die operative Verfügbarkeit ist der Anteil der vorher definierten benötigten Betriebszeit, in dem die vereinbarte Fähigkeit nutzbar ist. Wartezeiten auf Ersatzteile oder Service können dazugehören. Geplante Wartung wird ausdrücklich ein- oder ausgeschlossen. Sie darf nicht beiläufig aus dem Nenner verschwinden. Die einfache Formel aus Kapitel 9 beschreibt dagegen eine idealisierte Verfügbarkeit unter engeren Modellannahmen.</w:t>
      </w:r>
    </w:p>
    <w:p>
      <w:pPr>
        <w:spacing w:after="70" w:line="250" w:lineRule="auto"/>
      </w:pPr>
      <w:r>
        <w:t>Bei zehn benötigten Betriebsstunden und zwei Stunden ungeplanter Nichtverfügbarkeit beträgt der Anteil acht von zehn, also 80 Prozent. Ein kurzer Aufnahmeabbruch kann die Missionszuverlässigkeit beeinflussen, ohne den Tagesanteil stark zu ändern. Beide Kennzahlen liefern unterschiedliche, nützliche Informationen.</w:t>
      </w:r>
    </w:p>
    <w:p>
      <w:pPr>
        <w:pStyle w:val="Heading2"/>
        <w:spacing w:before="160" w:after="80"/>
      </w:pPr>
      <w:r>
        <w:t>Feldbeobachtung mit der Produktüberwachung verbinden</w:t>
      </w:r>
    </w:p>
    <w:p>
      <w:pPr>
        <w:spacing w:after="70" w:line="250" w:lineRule="auto"/>
      </w:pPr>
      <w:r>
        <w:t xml:space="preserve">Für Medizinprodukte verbindet die Überwachung nach dem Inverkehrbringen Feldinformationen mit der fortlaufenden Produktbewertung. Die MDR enthält hierzu insbesondere die Artikel 83 bis 86. Welche Berichte und Pflichten anwendbar sind, hängt vom konkreten Produkt und seiner Einordnung ab. Zuverlässigkeitsdaten sind ein Beitrag zu diesem Prozess; sie ersetzen die übrigen erforderlichen Informationen nicht. </w:t>
      </w:r>
      <w:hyperlink w:anchor="source_N26">
        <w:r>
          <w:rPr>
            <w:color w:val="18364A"/>
          </w:rPr>
          <w:t xml:space="preserve">[N26]</w:t>
        </w:r>
      </w:hyperlink>
    </w:p>
    <w:p>
      <w:pPr>
        <w:pStyle w:val="Heading2"/>
        <w:spacing w:before="160" w:after="80"/>
      </w:pPr>
      <w:r>
        <w:t>Signale in Entscheidungen überführen</w:t>
      </w:r>
    </w:p>
    <w:p>
      <w:pPr>
        <w:spacing w:after="70" w:line="250" w:lineRule="auto"/>
      </w:pPr>
      <w:r>
        <w:t>Ein Monitoringplan beschreibt Messgrößen, Datenquellen, Aktualisierung, Vergleichsgruppen und verantwortliche Bewertung. Kritische Einzelereignisse können unabhängig von einem Trend eine Untersuchung und Eskalation verlangen. Schwellen für Häufungen werden projektspezifisch definiert. Das Feldmonitoring wird mit den geltenden Qualitäts- und Sicherheitsprozessen verbunden.</w:t>
      </w:r>
    </w:p>
    <w:p>
      <w:pPr>
        <w:pStyle w:val="Heading2"/>
        <w:spacing w:before="160" w:after="80"/>
      </w:pPr>
      <w:r>
        <w:t>So gehen wir vor</w:t>
      </w:r>
    </w:p>
    <w:p>
      <w:pPr>
        <w:pStyle w:val="ListBullet"/>
        <w:spacing w:after="70" w:line="250" w:lineRule="auto"/>
      </w:pPr>
      <w:r>
        <w:t>Ereignisdefinitionen mit Entwicklung und Service vereinbaren.</w:t>
      </w:r>
    </w:p>
    <w:p>
      <w:pPr>
        <w:pStyle w:val="ListBullet"/>
        <w:spacing w:after="70" w:line="250" w:lineRule="auto"/>
      </w:pPr>
      <w:r>
        <w:t>Nutzung, Population, Version und Alter als Nenner und Kontext sichern.</w:t>
      </w:r>
    </w:p>
    <w:p>
      <w:pPr>
        <w:pStyle w:val="ListBullet"/>
        <w:spacing w:after="70" w:line="250" w:lineRule="auto"/>
      </w:pPr>
      <w:r>
        <w:t>Datenqualität, Mehrfachzählung und offene Befunde prüfen.</w:t>
      </w:r>
    </w:p>
    <w:p>
      <w:pPr>
        <w:pStyle w:val="ListBullet"/>
        <w:spacing w:after="70" w:line="250" w:lineRule="auto"/>
      </w:pPr>
      <w:r>
        <w:t>Vergleichbare Kohorten und geeignete Unsicherheitsbereiche auswerten.</w:t>
      </w:r>
    </w:p>
    <w:p>
      <w:pPr>
        <w:pStyle w:val="ListBullet"/>
        <w:spacing w:after="70" w:line="250" w:lineRule="auto"/>
      </w:pPr>
      <w:r>
        <w:t>Signale an Ursachenanalyse, Supplier und Systementwicklung übergeben.</w:t>
      </w:r>
    </w:p>
    <w:p>
      <w:pPr>
        <w:pStyle w:val="ListBullet"/>
        <w:spacing w:after="70" w:line="250" w:lineRule="auto"/>
      </w:pPr>
      <w:r>
        <w:t>Wiederkehrende Ereignisse mit einer geeigneten MCF auswerten, operative Verfügbarkeit mit definiertem Nenner erfassen und die Produktüberwachung einbeziehen.</w:t>
      </w:r>
    </w:p>
    <w:p>
      <w:pPr>
        <w:pStyle w:val="Heading2"/>
        <w:keepNext/>
        <w:spacing w:before="160" w:after="80"/>
      </w:pPr>
      <w:r>
        <w:t>Übung</w:t>
      </w:r>
    </w:p>
    <w:p>
      <w:pPr>
        <w:spacing w:after="70" w:line="250" w:lineRule="auto"/>
      </w:pPr>
      <w:r>
        <w:t>Nach Einführung eines besseren Fehlerlogs verdoppelt sich die Zahl erfasster Router-Neustarts. Welche Erklärungen prüfst du, bevor du eine verschlechterte Zuverlässigkeit meldest?</w:t>
      </w:r>
    </w:p>
    <w:p>
      <w:pPr>
        <w:pStyle w:val="Heading2"/>
        <w:keepNext/>
        <w:spacing w:before="160" w:after="80"/>
      </w:pPr>
      <w:r>
        <w:t>Vertiefungsübung</w:t>
      </w:r>
    </w:p>
    <w:p>
      <w:pPr>
        <w:spacing w:after="70" w:line="250" w:lineRule="auto"/>
      </w:pPr>
      <w:r>
        <w:t>Zwei reparierbare Systeme werden 200 Stunden beobachtet. System 1 hat Ereignisse bei 50 und 150 Stunden, System 2 bei 150 Stunden. Wie verläuft die MCF, wenn beide durchgehend beobachtet werden?</w:t>
      </w:r>
    </w:p>
    <w:p>
      <w:bookmarkStart w:id="30" w:name="chapter_19"/>
      <w:pPr>
        <w:pStyle w:val="Heading1"/>
        <w:pageBreakBefore/>
      </w:pPr>
      <w:r>
        <w:t>19 Fehlerursachen beseitigen und Verbesserungen nachweisen</w:t>
      </w:r>
      <w:bookmarkEnd w:id="30"/>
    </w:p>
    <w:p>
      <w:pPr>
        <w:pStyle w:val="Caption"/>
        <w:spacing w:after="70" w:line="250" w:lineRule="auto"/>
      </w:pPr>
      <w:r>
        <w:t xml:space="preserve">Navigation </w:t>
      </w:r>
      <w:hyperlink w:anchor="diagram_A">
        <w:r>
          <w:rPr>
            <w:color w:val="18364A"/>
          </w:rPr>
          <w:t xml:space="preserve">Schaubild A  </w:t>
        </w:r>
      </w:hyperlink>
      <w:hyperlink w:anchor="diagram_C">
        <w:r>
          <w:rPr>
            <w:color w:val="18364A"/>
          </w:rPr>
          <w:t xml:space="preserve">Schaubild C  </w:t>
        </w:r>
      </w:hyperlink>
      <w:r>
        <w:t xml:space="preserve">|  </w:t>
      </w:r>
      <w:r>
        <w:t xml:space="preserve">Grundlagen </w:t>
      </w:r>
      <w:hyperlink w:anchor="source_Q01">
        <w:r>
          <w:rPr>
            <w:color w:val="18364A"/>
          </w:rPr>
          <w:t xml:space="preserve">[Q01]</w:t>
        </w:r>
      </w:hyperlink>
      <w:r>
        <w:t xml:space="preserve"> </w:t>
      </w:r>
      <w:hyperlink w:anchor="source_Q08">
        <w:r>
          <w:rPr>
            <w:color w:val="18364A"/>
          </w:rPr>
          <w:t xml:space="preserve">[Q08]</w:t>
        </w:r>
      </w:hyperlink>
      <w:r>
        <w:t xml:space="preserve"> </w:t>
      </w:r>
      <w:hyperlink w:anchor="source_N02">
        <w:r>
          <w:rPr>
            <w:color w:val="18364A"/>
          </w:rPr>
          <w:t xml:space="preserve">[N02]</w:t>
        </w:r>
      </w:hyperlink>
      <w:r>
        <w:t xml:space="preserve"> </w:t>
      </w:r>
      <w:hyperlink w:anchor="source_N05">
        <w:r>
          <w:rPr>
            <w:color w:val="18364A"/>
          </w:rPr>
          <w:t xml:space="preserve">[N05]</w:t>
        </w:r>
      </w:hyperlink>
      <w:r>
        <w:t xml:space="preserve">  |  </w:t>
      </w:r>
      <w:hyperlink w:anchor="contents">
        <w:r>
          <w:rPr>
            <w:color w:val="18364A"/>
          </w:rPr>
          <w:t xml:space="preserve">Inhalt</w:t>
        </w:r>
      </w:hyperlink>
    </w:p>
    <w:p>
      <w:pPr>
        <w:pStyle w:val="Heading2"/>
      </w:pPr>
      <w:r>
        <w:t>Ein Ersatzteilwechsel ist noch keine Ursachenanalyse</w:t>
      </w:r>
    </w:p>
    <w:p>
      <w:pPr>
        <w:spacing w:after="70" w:line="250" w:lineRule="auto"/>
      </w:pPr>
      <w:r>
        <w:t>Ein Fernseher setzt aus. Nach dem Austausch eines Kabels funktioniert er wieder. Vielleicht war das Kabel defekt; vielleicht wurde beim Austausch nur ein lockerer Stecker neu gesteckt. Das Ergebnis ist wichtig, aber es beweist die Ursache noch nicht. Wir unterscheiden Fehlerbild, Hypothese, Befund und bestätigten Mechanismus.</w:t>
      </w:r>
    </w:p>
    <w:p>
      <w:pPr>
        <w:spacing w:after="70" w:line="250" w:lineRule="auto"/>
      </w:pPr>
      <w:r>
        <w:t>Root Cause Analysis, kurz RCA, untersucht die Ursache mit Evidenz. FRACAS bedeutet Failure Reporting, Analysis and Corrective Action System. Es verbindet Fehlermeldung, Untersuchung, Korrektur und Wirksamkeitsprüfung. Ziel ist ein geschlossener Lernprozess, nicht nur eine vollständig ausgefüllte Fehlerliste.</w:t>
      </w:r>
    </w:p>
    <w:p>
      <w:pPr>
        <w:pStyle w:val="Heading2"/>
      </w:pPr>
      <w:r>
        <w:t>Hypothesen gezielt unterscheiden</w:t>
      </w:r>
    </w:p>
    <w:p>
      <w:pPr>
        <w:spacing w:after="70" w:line="250" w:lineRule="auto"/>
      </w:pPr>
      <w:r>
        <w:t>Wir sichern zuerst den Zustand und relevante Daten. Danach formulieren wir konkurrierende Erklärungen und wählen Untersuchungen, die sie voneinander trennen. Ein Messwert wird nicht deshalb zum Beweis, weil er zu unserer bevorzugten Erklärung passt. Wenn ein Fehler nicht reproduzierbar ist, dokumentieren wir die verbleibende Unsicherheit.</w:t>
      </w:r>
    </w:p>
    <w:p>
      <w:pPr>
        <w:spacing w:after="70" w:line="250" w:lineRule="auto"/>
      </w:pPr>
      <w:r>
        <w:t>Ishikawa-Diagramme helfen, mögliche Einflussgruppen zu sammeln. 5 Why kann zu tieferen Fragen führen. Beide Methoden ersetzen keine Messung und keinen belastbaren Befund. Die Kette endet nicht bei „Bedienfehler“ oder „Supplier schuld“, wenn Spezifikation, Bedienbarkeit oder Integrationsannahmen weiterhin ungeklärt sind.</w:t>
      </w:r>
    </w:p>
    <w:p>
      <w:pPr>
        <w:spacing w:after="70" w:line="250" w:lineRule="auto"/>
      </w:pPr>
      <w:r>
        <w:t xml:space="preserve">Eine vermutete Fehlbedienung wird auf Anzeige, Zuordnung, Rückmeldung und Nutzungskontext zurückverfolgt. Erkenntnisse zu sicherheitsrelevanten Bedienhandlungen gehen in die Gebrauchstauglichkeitsbewertung ein. </w:t>
      </w:r>
      <w:hyperlink w:anchor="source_N29">
        <w:r>
          <w:rPr>
            <w:color w:val="18364A"/>
          </w:rPr>
          <w:t xml:space="preserve">[N29]</w:t>
        </w:r>
      </w:hyperlink>
    </w:p>
    <w:p>
      <w:pPr>
        <w:pStyle w:val="Heading2"/>
      </w:pPr>
      <w:r>
        <w:t>Ursache und Verantwortungsbereich trennen</w:t>
      </w:r>
    </w:p>
    <w:p>
      <w:pPr>
        <w:spacing w:after="70" w:line="250" w:lineRule="auto"/>
      </w:pPr>
      <w:r>
        <w:t>Ein Röntgen-Aufnahmeabbruch kann aus einer fehlerhaften Komponente, falscher Systemanforderung, Integrationslücke, Testlücke oder nicht ausreichend beschriebenen Nutzung entstehen. Mehrere Bereiche können gemeinsam beitragen. Ein thermisch auffälliger Detektor kann eine Materialschwäche haben und gleichzeitig außerhalb seines freigegebenen Einsatzbereichs betrieben worden sein.</w:t>
      </w:r>
    </w:p>
    <w:p>
      <w:pPr>
        <w:spacing w:after="70" w:line="250" w:lineRule="auto"/>
      </w:pPr>
      <w:r>
        <w:t>Die technische Ursache wird unabhängig von einer frühen organisatorischen Schuldzuweisung untersucht. Anschließend werden Maßnahmen gemeinsam zugeordnet. Eine Supplier-Korrektur kann etwa mit einer Änderung der Einbaubedingung und eines Integrationstests kombiniert werden.</w:t>
      </w:r>
    </w:p>
    <w:p>
      <w:pPr>
        <w:pStyle w:val="Heading2"/>
      </w:pPr>
      <w:r>
        <w:t>Korrektur und Korrekturmaßnahme</w:t>
      </w:r>
    </w:p>
    <w:p>
      <w:pPr>
        <w:spacing w:after="70" w:line="250" w:lineRule="auto"/>
      </w:pPr>
      <w:r>
        <w:t>Eine unmittelbare Korrektur stellt den aktuellen Zustand wieder her, etwa durch Austausch oder Wiederanlauf. Eine Korrekturmaßnahme beseitigt die relevante Ursache, beispielsweise durch verbesserte Zugentlastung oder Zustandsprüfung. Ein Neustart kann die Funktion wiederherstellen, während die aktivierende Sequenz unverändert bleibt.</w:t>
      </w:r>
    </w:p>
    <w:p>
      <w:pPr>
        <w:spacing w:after="70" w:line="250" w:lineRule="auto"/>
      </w:pPr>
      <w:r>
        <w:t>Jede Maßnahme erhält einen Wirkmechanismus: Warum sollte gerade diese Änderung den Fehler verhindern? Dazu definieren wir einen Reproduktions- beziehungsweise Verifikationstest und einen Regressionstest gegen unerwünschte Nebenwirkungen. Bei Varianten prüfen wir, welche davon betroffen sind.</w:t>
      </w:r>
    </w:p>
    <w:p>
      <w:pPr>
        <w:pStyle w:val="Heading2"/>
      </w:pPr>
      <w:r>
        <w:t>Wirksamkeit nachweisen</w:t>
      </w:r>
    </w:p>
    <w:p>
      <w:pPr>
        <w:spacing w:after="70" w:line="250" w:lineRule="auto"/>
      </w:pPr>
      <w:r>
        <w:t>Alltagsbeispiel: Eine tropfende Dichtung wird ersetzt. Ein kurzer Blick zeigt zunächst kein Wasser. Wenn die Undichtigkeit nur nach Erwärmung entsteht, muss die Wirksamkeit unter diesem Zustand geprüft werden. Am Röntgensystem wird die Maßnahme entsprechend gegen die fehlerauslösende Kombination und weitere relevante Use Cases getestet.</w:t>
      </w:r>
    </w:p>
    <w:p>
      <w:pPr>
        <w:spacing w:after="70" w:line="250" w:lineRule="auto"/>
      </w:pPr>
      <w:r>
        <w:t>Im Feld vergleichen wir nach Möglichkeit geeignete Kohorten, Nutzung und Ereignisdefinitionen. Bei einem seltenen Fehler braucht auch ein Monat ohne Meldung genügend Nutzung und eine passende statistische Bewertung. Auch die Anlaufzeit einer neuen Population und das Meldeverhalten zählen. Unsicherheit und unbestätigte Fälle bleiben sichtbar.</w:t>
      </w:r>
    </w:p>
    <w:p>
      <w:pPr>
        <w:pStyle w:val="Heading2"/>
      </w:pPr>
      <w:r>
        <w:t>Wachstum von Zuverlässigkeit als überprüfbare Entwicklung</w:t>
      </w:r>
    </w:p>
    <w:p>
      <w:pPr>
        <w:spacing w:after="70" w:line="250" w:lineRule="auto"/>
      </w:pPr>
      <w:r>
        <w:t>Ein Verbesserungsprogramm verbindet Fehlerentdeckung, Ursachenanalyse, Änderung und erneuten Nachweis. Ein fester Softwarestand altert nicht dadurch zu weniger Fehlern, dass die Zeit vergeht. Eine Verbesserung benötigt eine wirksame Maßnahme oder eine andere sachlich erklärte Entwicklung.</w:t>
      </w:r>
    </w:p>
    <w:p>
      <w:pPr>
        <w:spacing w:after="70" w:line="250" w:lineRule="auto"/>
      </w:pPr>
      <w:r>
        <w:t xml:space="preserve">Für wiederkehrende Ereignisse kann ein nicht homogener Poissonprozess, kurz NHPP, mit Potenzgesetz geeignet sein. Wir verwenden a als Skalenparameter und b als Exponent, damit die Zeichen nicht mit dem Weibull-Formparameter β verwechselt werden. Die erwartete kumulierte Zahl und die Ereignisintensität lauten: </w:t>
      </w:r>
      <w:hyperlink w:anchor="source_Q28">
        <w:r>
          <w:rPr>
            <w:color w:val="18364A"/>
          </w:rPr>
          <w:t xml:space="preserve">[Q28]</w:t>
        </w:r>
      </w:hyperlink>
    </w:p>
    <w:p>
      <w:pPr>
        <w:spacing w:before="80" w:after="70" w:line="250" w:lineRule="auto"/>
        <w:jc w:val="center"/>
      </w:pPr>
      <m:oMathPara>
        <m:oMath>
          <m:r>
            <m:t>M(t) = a </m:t>
          </m:r>
          <m:sSup>
            <m:e>
              <m:r>
                <m:t>t</m:t>
              </m:r>
            </m:e>
            <m:sup>
              <m:r>
                <m:t>b</m:t>
              </m:r>
            </m:sup>
          </m:sSup>
          <m:r>
            <m:t>;   m(t) = ab </m:t>
          </m:r>
          <m:sSup>
            <m:e>
              <m:r>
                <m:t>t</m:t>
              </m:r>
            </m:e>
            <m:sup>
              <m:r>
                <m:t>b − 1</m:t>
              </m:r>
            </m:sup>
          </m:sSup>
        </m:oMath>
      </m:oMathPara>
    </w:p>
    <w:p>
      <w:pPr>
        <w:spacing w:after="70" w:line="250" w:lineRule="auto"/>
      </w:pPr>
      <w:r>
        <w:t>Bei 0 kleiner b kleiner 1 nimmt die modellierte Intensität ab, bei b gleich 1 bleibt sie konstant und bei b größer 1 steigt sie. Die kumulierte Zahl nimmt trotzdem weiter zu. Manche Quellen definieren eine Wachstumsexponente als 1 minus b; deshalb muss vor dem Vergleich von Zahlen die verwendete Parametrisierung geklärt werden.</w:t>
      </w:r>
    </w:p>
    <w:p>
      <w:pPr>
        <w:spacing w:after="70" w:line="250" w:lineRule="auto"/>
      </w:pPr>
      <w:r>
        <w:t>Ein sinkender Trend beweist keine Wirkung einer einzelnen Maßnahme. Weniger Nutzung, andere Meldewege oder eine veränderte Kohorte können ebenfalls wirken. Vor und nach einem Release vergleichen wir definierte Ereignisse, Exposition und Konfiguration. Trendtests und Modellanpassung ergänzen den technischen Befund. Ein Test mit laufenden Änderungen und eine Feldschätzung für einen festen freigegebenen Stand beantworten verschiedene Fragen.</w:t>
      </w:r>
    </w:p>
    <w:p>
      <w:bookmarkStart w:id="31" w:name="diagram_J"/>
      <w:pPr>
        <w:keepNext/>
        <w:spacing w:after="70" w:line="250" w:lineRule="auto"/>
        <w:jc w:val="center"/>
      </w:pPr>
      <w:r>
        <w:drawing>
          <wp:inline xmlns:a="http://schemas.openxmlformats.org/drawingml/2006/main" xmlns:pic="http://schemas.openxmlformats.org/drawingml/2006/picture">
            <wp:extent cx="5943600" cy="2909998"/>
            <wp:docPr id="10" name="Picture 10" descr="Schaubild J Potenzgesetzmodelle vor und nach einer Maßnahme"/>
            <wp:cNvGraphicFramePr>
              <a:graphicFrameLocks noChangeAspect="1"/>
            </wp:cNvGraphicFramePr>
            <a:graphic>
              <a:graphicData uri="http://schemas.openxmlformats.org/drawingml/2006/picture">
                <pic:pic>
                  <pic:nvPicPr>
                    <pic:cNvPr id="0" name="J.png"/>
                    <pic:cNvPicPr/>
                  </pic:nvPicPr>
                  <pic:blipFill>
                    <a:blip r:embed="rId20"/>
                    <a:stretch>
                      <a:fillRect/>
                    </a:stretch>
                  </pic:blipFill>
                  <pic:spPr>
                    <a:xfrm>
                      <a:off x="0" y="0"/>
                      <a:ext cx="5943600" cy="2909998"/>
                    </a:xfrm>
                    <a:prstGeom prst="rect"/>
                  </pic:spPr>
                </pic:pic>
              </a:graphicData>
            </a:graphic>
          </wp:inline>
        </w:drawing>
      </w:r>
      <w:bookmarkEnd w:id="31"/>
    </w:p>
    <w:p>
      <w:pPr>
        <w:pStyle w:val="Caption"/>
        <w:spacing w:after="70" w:line="250" w:lineRule="auto"/>
      </w:pPr>
      <w:r>
        <w:t>Schaubild J Potenzgesetzmodelle vor und nach einer Maßnahme  Eigene Darstellung für den beschriebenen Lehrfall.</w:t>
      </w:r>
    </w:p>
    <w:p>
      <w:pPr>
        <w:spacing w:after="70" w:line="250" w:lineRule="auto"/>
      </w:pPr>
      <w:r>
        <w:t>Die beiden logarithmischen Darstellungen trennen die Beobachtung vor und nach einer Maßnahme. Jede Phase beginnt mit eigener lokaler Nutzungszeit bei null; bereits gezählte Ereignisse werden nicht nachträglich gelöscht. Gezeigt sind synthetische Ereigniszeiten und ausdrücklich angenommene Modellkurven M(t) = a t^b, keine angepassten Feldergebnisse. Vor der Maßnahme ist b gleich 1,2, danach b gleich 0,8. Die Steigung der Modellgeraden im Log-Log-Plot entspricht b.</w:t>
      </w:r>
    </w:p>
    <w:p>
      <w:pPr>
        <w:spacing w:after="70" w:line="250" w:lineRule="auto"/>
      </w:pPr>
      <w:r>
        <w:t xml:space="preserve">Die unterschiedlichen Steigungen illustrieren die Methode von Crow-AMSAA beziehungsweise dem Potenzgesetz-NHPP. Für einen Wirksamkeitsnachweis braucht es vergleichbare Ereignisdefinitionen und Nutzung, eine sachgerechte Modellanpassung mit Unsicherheit sowie den technischen Nachweis der Maßnahme. Ein Knick allein beweist keine Ursache. Phasen mit verändertem Produktstand werden kenntlich gemacht; ein einziges unverändertes Modell wird nicht ungeprüft über die Änderung hinweg angepasst. </w:t>
      </w:r>
      <w:hyperlink w:anchor="source_Q28">
        <w:r>
          <w:rPr>
            <w:color w:val="18364A"/>
          </w:rPr>
          <w:t xml:space="preserve">[Q28]</w:t>
        </w:r>
      </w:hyperlink>
    </w:p>
    <w:p>
      <w:pPr>
        <w:pStyle w:val="Heading2"/>
      </w:pPr>
      <w:r>
        <w:t>Das Wissen zurückführen</w:t>
      </w:r>
    </w:p>
    <w:p>
      <w:pPr>
        <w:spacing w:after="70" w:line="250" w:lineRule="auto"/>
      </w:pPr>
      <w:r>
        <w:t>Ein geschlossener Fall verändert bei Bedarf die FMEA, das Systemmodell, Supplier-Anforderungen, Prüfprofile oder Logs. Sonst bleibt die Ursache im Bericht und kann im nächsten Projekt erneut auftreten. Eine Verbesserung ist erst aktiv gelebt, wenn die neue Erkenntnis die nächste Entscheidung beeinflusst.</w:t>
      </w:r>
    </w:p>
    <w:p>
      <w:pPr>
        <w:pStyle w:val="Heading2"/>
      </w:pPr>
      <w:r>
        <w:t>So gehen wir vor</w:t>
      </w:r>
    </w:p>
    <w:p>
      <w:pPr>
        <w:pStyle w:val="ListBullet"/>
        <w:spacing w:after="70" w:line="250" w:lineRule="auto"/>
      </w:pPr>
      <w:r>
        <w:t>Ereignis, Zustand, Nutzung und Version sichern.</w:t>
      </w:r>
    </w:p>
    <w:p>
      <w:pPr>
        <w:pStyle w:val="ListBullet"/>
        <w:spacing w:after="70" w:line="250" w:lineRule="auto"/>
      </w:pPr>
      <w:r>
        <w:t>Mehrere Hypothesen formulieren und mit geeigneten Befunden prüfen.</w:t>
      </w:r>
    </w:p>
    <w:p>
      <w:pPr>
        <w:pStyle w:val="ListBullet"/>
        <w:spacing w:after="70" w:line="250" w:lineRule="auto"/>
      </w:pPr>
      <w:r>
        <w:t>Ursache, Mechanismus und Fehlerwirkung dokumentieren.</w:t>
      </w:r>
    </w:p>
    <w:p>
      <w:pPr>
        <w:pStyle w:val="ListBullet"/>
        <w:spacing w:after="70" w:line="250" w:lineRule="auto"/>
      </w:pPr>
      <w:r>
        <w:t>Sofortkorrektur und nachhaltige Maßnahme mit Wirkmechanismus trennen.</w:t>
      </w:r>
    </w:p>
    <w:p>
      <w:pPr>
        <w:pStyle w:val="ListBullet"/>
        <w:spacing w:after="70" w:line="250" w:lineRule="auto"/>
      </w:pPr>
      <w:r>
        <w:t>Reproduktion, Regression und Feldwirksamkeit nachweisen.</w:t>
      </w:r>
    </w:p>
    <w:p>
      <w:pPr>
        <w:pStyle w:val="ListBullet"/>
        <w:spacing w:after="70" w:line="250" w:lineRule="auto"/>
      </w:pPr>
      <w:r>
        <w:t>Modelle, Anforderungen und Nachweise aktualisieren und den Fall begründet schließen.</w:t>
      </w:r>
    </w:p>
    <w:p>
      <w:pPr>
        <w:pStyle w:val="ListBullet"/>
        <w:spacing w:after="70" w:line="250" w:lineRule="auto"/>
      </w:pPr>
      <w:r>
        <w:t>Die Parametrisierung eines verwendeten Wachstumsmodells ausdrücklich angeben.</w:t>
      </w:r>
    </w:p>
    <w:p>
      <w:pPr>
        <w:pStyle w:val="Heading2"/>
        <w:keepNext/>
      </w:pPr>
      <w:r>
        <w:t>Übung</w:t>
      </w:r>
    </w:p>
    <w:p>
      <w:pPr>
        <w:spacing w:after="70" w:line="250" w:lineRule="auto"/>
      </w:pPr>
      <w:r>
        <w:t>Ein WLAN-Problem verschwindet nach einem Router-Neustart. Welche Daten und Prüfungen benötigst du, bevor du den Fehlerfall als nachhaltig gelöst schließen kannst?</w:t>
      </w:r>
    </w:p>
    <w:p>
      <w:bookmarkStart w:id="32" w:name="chapter_20"/>
      <w:pPr>
        <w:pStyle w:val="Heading1"/>
        <w:pageBreakBefore/>
      </w:pPr>
      <w:r>
        <w:t>20 Fallstudien und Arbeitsvorlagen anwenden</w:t>
      </w:r>
      <w:bookmarkEnd w:id="32"/>
    </w:p>
    <w:p>
      <w:pPr>
        <w:pStyle w:val="Caption"/>
        <w:spacing w:after="56" w:line="250" w:lineRule="auto"/>
      </w:pPr>
      <w:r>
        <w:t xml:space="preserve">Navigation </w:t>
      </w:r>
      <w:hyperlink w:anchor="diagram_A">
        <w:r>
          <w:rPr>
            <w:color w:val="18364A"/>
          </w:rPr>
          <w:t xml:space="preserve">Schaubild A  </w:t>
        </w:r>
      </w:hyperlink>
      <w:hyperlink w:anchor="diagram_B">
        <w:r>
          <w:rPr>
            <w:color w:val="18364A"/>
          </w:rPr>
          <w:t xml:space="preserve">Schaubild B  </w:t>
        </w:r>
      </w:hyperlink>
      <w:hyperlink w:anchor="diagram_C">
        <w:r>
          <w:rPr>
            <w:color w:val="18364A"/>
          </w:rPr>
          <w:t xml:space="preserve">Schaubild C  </w:t>
        </w:r>
      </w:hyperlink>
      <w:r>
        <w:t xml:space="preserve">|  </w:t>
      </w:r>
      <w:r>
        <w:t>Eigene Lehrfälle mit methodischem Bezug zu den vorherigen Kapiteln</w:t>
      </w:r>
      <w:r>
        <w:t xml:space="preserve">  |  </w:t>
      </w:r>
      <w:hyperlink w:anchor="contents">
        <w:r>
          <w:rPr>
            <w:color w:val="18364A"/>
          </w:rPr>
          <w:t xml:space="preserve">Inhalt</w:t>
        </w:r>
      </w:hyperlink>
    </w:p>
    <w:p>
      <w:pPr>
        <w:pStyle w:val="Heading2"/>
        <w:spacing w:before="200"/>
      </w:pPr>
      <w:r>
        <w:t>Sechs Fehlerpfade durch denselben Untersuchungsablauf</w:t>
      </w:r>
    </w:p>
    <w:p>
      <w:pPr>
        <w:spacing w:after="56" w:line="250" w:lineRule="auto"/>
      </w:pPr>
      <w:r>
        <w:t>Die folgenden Lehrfälle sind erfunden. Sie zeigen, wie dieselbe Aufgabe unterschiedliche Analysewege auslösen kann. Die Kapitelnummern beziehen sich auf diese Fassung.</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Pfad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Ausgangsproblem</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Geeigneter Einstieg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T1 Bereitschaft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 alter Status löst eine ungeeignete Freigabe aus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5 8 9 16</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T2 Zuordnung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Ein mobiler Detektor ist dem falschen Auftrag zugeordnet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3 5 8 16</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T3 Archiv</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Die Verbindung zum Archiv ist unterbrochen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6 16 18</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T4 Update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Eine fremde Version verändert das Zeitverhalten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6 13 17</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T5 Spitzenlast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Eine ungewohnte Aufnahmefolge erhöht die Temperatur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4 10 11 12 15</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T6 Feldtrend</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Wiederkehrende Ereignisse nehmen nach einem Release zu</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18 19</w:t>
            </w:r>
          </w:p>
        </w:tc>
      </w:tr>
    </w:tbl>
    <w:p>
      <w:pPr>
        <w:spacing w:after="56" w:before="40" w:line="250" w:lineRule="auto"/>
      </w:pPr>
    </w:p>
    <w:p>
      <w:pPr>
        <w:spacing w:after="56" w:line="250" w:lineRule="auto"/>
      </w:pPr>
      <w:r>
        <w:t>T1 führt durch die ausführliche Fallstudie dieses Kapitels. Zusätzlich zur Schnittstellen-FMEA betrachten wir in der Steuerungsanalyse, wann Freigabe und Rückmeldung zulässig sind. Der Nachweis reproduziert die auslösende Reihenfolge und prüft, ob die Maßnahme eine veraltete Meldung zuverlässig erkennt.</w:t>
      </w:r>
    </w:p>
    <w:p>
      <w:pPr>
        <w:spacing w:after="56" w:line="250" w:lineRule="auto"/>
      </w:pPr>
      <w:r>
        <w:t>Bei T2 fragen wir zuerst, wo die Zuordnung entsteht und wann sie gültig wird. Logs mit bloßer Gerätekennung reichen nicht: Auftrag, Detektor, Zustand und Zeitpunkt müssen verknüpft sein. Der Integrationstest wechselt die Zuordnung auch während eines offenen Vorgangs. Das Erfolgskriterium umfasst die richtige Identität des Ergebnisses, nicht nur die Existenz eines Bildes.</w:t>
      </w:r>
    </w:p>
    <w:p>
      <w:pPr>
        <w:spacing w:after="56" w:line="250" w:lineRule="auto"/>
      </w:pPr>
      <w:r>
        <w:t>Bei T3 untersuchen wir Verbindung, Bestätigung und Rückfallebene. Eine lokale Pufferung wird nur verwendet, wenn sie für die Anwendung spezifiziert und abgesichert ist. Der Test unterbricht die Verbindung vor und nach einer bestätigten Übergabe und prüft anschließend Vollständigkeit, Zuordnung und Wiederanlauf. Im Feld erfassen wir Dauer der Einschränkung und betroffene Vorgänge getrennt.</w:t>
      </w:r>
    </w:p>
    <w:p>
      <w:pPr>
        <w:spacing w:after="56" w:line="250" w:lineRule="auto"/>
      </w:pPr>
      <w:r>
        <w:t>Bei T4 sichern wir zunächst die gesamte Versionskombination. Dann vergleichen wir den Schnittstellenvertrag vor und nach dem Update. Ein gezielt verzögerter Status kann die Zeitabhängigkeit prüfen. Die Freigabe wird für die betroffene Kombination ergänzt; unberührte mechanische Nachweise bleiben nutzbar, sofern die Änderung ihre Annahmen nicht beeinflusst.</w:t>
      </w:r>
    </w:p>
    <w:p>
      <w:pPr>
        <w:spacing w:after="56" w:line="250" w:lineRule="auto"/>
      </w:pPr>
      <w:r>
        <w:t>Bei T5 vergleichen wir die tatsächliche Lastfolge mit dem qualifizierten Profil. Temperatur am relevanten Ort, Verlustleistung, Kühlung und Pausenzeiten bilden die technische Hypothese. Die Zulieferevidenz zeigt, welche Belastungen bereits abgedeckt sind. Eine gezielte Integrationsmessung und gegebenenfalls eine mechanismengerechte Lebensdauerprüfung schließen die Lücke. Damit bleiben Physik und Komponentennachweise im übergreifenden Ablauf sichtbar.</w:t>
      </w:r>
    </w:p>
    <w:p>
      <w:pPr>
        <w:spacing w:after="56" w:line="250" w:lineRule="auto"/>
      </w:pPr>
      <w:r>
        <w:t>Bei T6 beginnen wir mit Ereignisdefinition, Kohorte und Nenner. Eine MCF kann wiederholte Ereignisse zeigen; ein geeignetes Trendmodell unterstützt die Bewertung. Anschließend unterscheiden wir technische Hypothesen anhand reproduzierbarer Tests. Erst ein Zusammenhang zwischen Befund, Maßnahme und belastbarer Wirksamkeitsprüfung rechtfertigt die Verbesserungsentscheidung.</w:t>
      </w:r>
    </w:p>
    <w:p>
      <w:pPr>
        <w:pStyle w:val="Heading2"/>
        <w:spacing w:before="200"/>
      </w:pPr>
      <w:r>
        <w:t>T1 Ein Auftrag muss zum richtigen Bild führen</w:t>
      </w:r>
    </w:p>
    <w:p>
      <w:pPr>
        <w:spacing w:after="56" w:line="250" w:lineRule="auto"/>
      </w:pPr>
      <w:r>
        <w:t>Die folgende Fallstudie ist frei erfunden. Sie verbindet die Methoden und ist kein Bericht über einen Kundenfehler oder ein tatsächlich eingesetztes Produkt. Unter hoher Last tritt ein sporadischer Aufnahmeabbruch auf. Ein Detektoraustausch scheint zunächst zu helfen, der Fehler kommt aber zurück.</w:t>
      </w:r>
    </w:p>
    <w:p>
      <w:pPr>
        <w:spacing w:after="56" w:line="250" w:lineRule="auto"/>
      </w:pPr>
      <w:r>
        <w:t>Ein einfaches Alltagsbild ist die Abholung einer Pizza: Die Nachricht „fertig“ gilt nur für eine konkrete Bestellung. Eine alte Benachrichtigung darf nicht für die nächste Bestellung verwendet werden. Wenn mehrere Bestellungen gleichzeitig bearbeitet werden, brauchen Auftrag, Status und Ausgabe eine konsistente Zuordnung. Am Röntgensystem ist der Zusammenhang technisch und sicherheitsrelevant, aber das Zuordnungsproblem lässt sich so leicht verstehen.</w:t>
      </w:r>
    </w:p>
    <w:p>
      <w:pPr>
        <w:pStyle w:val="Heading2"/>
        <w:spacing w:before="200"/>
      </w:pPr>
      <w:r>
        <w:t>Schritt 1 Das Ereignis und die Grenze festlegen</w:t>
      </w:r>
    </w:p>
    <w:p>
      <w:pPr>
        <w:spacing w:after="56" w:line="250" w:lineRule="auto"/>
      </w:pPr>
      <w:r>
        <w:t>Wir definieren zunächst die Systemfunktion: Für einen gültigen Auftrag soll ein entsprechend zugeordnetes, verwendbares Bild bereitgestellt werden. Ein Abbruch wird mit Zustand, Zeit und Ergebnis dokumentiert. Wir unterscheiden fehlendes Bild, Bild mit unzulässiger Qualität, Schutzunterbrechung und einen erfolgreichen Wiederanlauf.</w:t>
      </w:r>
    </w:p>
    <w:p>
      <w:pPr>
        <w:spacing w:after="56" w:line="250" w:lineRule="auto"/>
      </w:pPr>
      <w:r>
        <w:t>Die erste Grenze umfasst das Gesamtsystem. Anschließend betrachten wir den Detektor und seine Kommunikation gesondert. Die Systemsteuerung, Expositionskoordination, Versorgung und Kühlung gehören bei dieser zweiten Betrachtung zu seiner Umgebung. Schaubild B verhindert, dass wir alle Ursachen in den austauschbaren Detektor hineininterpretieren.</w:t>
      </w:r>
    </w:p>
    <w:p>
      <w:pPr>
        <w:pStyle w:val="Heading2"/>
        <w:spacing w:before="200"/>
      </w:pPr>
      <w:r>
        <w:t>Schritt 2 Nutzung und Ketten modellieren</w:t>
      </w:r>
    </w:p>
    <w:p>
      <w:pPr>
        <w:spacing w:after="56" w:line="250" w:lineRule="auto"/>
      </w:pPr>
      <w:r>
        <w:t>Wir erfassen Expositionsfolge, Pausen, Kommunikation, Temperatur, Hardware- und Softwarestände. Der Normalablauf enthält Auftrag, Konfiguration, Bereitschaft, Freigabe, Exposition und Bildbereitstellung. Zu jedem Signal gehören Auftragsbezug, Gültigkeit und erwarteter Zustand.</w:t>
      </w:r>
    </w:p>
    <w:p>
      <w:pPr>
        <w:spacing w:after="56" w:line="250" w:lineRule="auto"/>
      </w:pPr>
      <w:r>
        <w:t>Das Nutzungsprofil enthält sowohl verteilte Einzelaufnahmen als auch eine zulässige hoch ausgelastete Sequenz. Wir prüfen, welche Belastungen gemeinsam auftreten können. Eine höhere Temperatur und eine spätere Nachricht werden nicht ohne Begründung als unabhängig betrachtet.</w:t>
      </w:r>
    </w:p>
    <w:p>
      <w:pPr>
        <w:pStyle w:val="Heading2"/>
        <w:spacing w:before="200"/>
      </w:pPr>
      <w:r>
        <w:t>Schritt 3 Hypothesen und Fehleranalysen verbinden</w:t>
      </w:r>
    </w:p>
    <w:p>
      <w:pPr>
        <w:spacing w:after="56" w:line="250" w:lineRule="auto"/>
      </w:pPr>
      <w:r>
        <w:t>Wir untersuchen vier Lehrhypothesen: eine temperaturabhängige Detektorfunktion, ein Versorgungseinbruch, eine unterbrochene Bildübertragung und eine veraltete Bereitschaft. Die Interface-FMEA verfolgt lokale Abweichungen zur Systemwirkung. Der Fehlerbaum verbindet alternative Pfade zum Top Event kein verwendbares Bild.</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Hypothese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Unterscheidender Befund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Gezielte Untersuchung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Temperaturabhängige Funktion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Fehler folgt der lokalen Temperatur</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Last und Kühlung kontrolliert variieren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Versorgungseinbruch</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Zeitlich passender elektrischer Einbruch</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Relevante Versorgung während Ablauf messen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Übertragungsfehler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Daten oder Kennungen fehlen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Übertragung gezielt unterbrechen und beobachten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Veralteter Status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Status gehört nicht zum aktuellen Zustand</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Alte und verspätete Meldung kontrolliert einspeisen</w:t>
            </w:r>
          </w:p>
        </w:tc>
      </w:tr>
    </w:tbl>
    <w:p>
      <w:pPr>
        <w:spacing w:after="56" w:before="40" w:line="250" w:lineRule="auto"/>
      </w:pPr>
    </w:p>
    <w:p>
      <w:pPr>
        <w:pStyle w:val="Heading2"/>
        <w:spacing w:before="200"/>
      </w:pPr>
      <w:r>
        <w:t>Schritt 4 Nachweise des Zulieferers abgleichen</w:t>
      </w:r>
    </w:p>
    <w:p>
      <w:pPr>
        <w:spacing w:after="56" w:line="250" w:lineRule="auto"/>
      </w:pPr>
      <w:r>
        <w:t>Der Supplier hat seine definierte Ausführung und Belastung qualifiziert. Wir prüfen den tatsächlichen Stand, das Temperaturprofil, die beobachteten Funktionen und die Randbedingungen. Passt der Nachweis, übernehmen wir ihn. Bleibt eine relevante Lücke, definieren wir eine Ergänzung. Wir wiederholen nicht pauschal alle Klima- und Mechaniktests, nur weil im System ein Abbruch auftritt.</w:t>
      </w:r>
    </w:p>
    <w:p>
      <w:pPr>
        <w:spacing w:after="56" w:line="250" w:lineRule="auto"/>
      </w:pPr>
      <w:r>
        <w:t>In diesem Lehrfall ist das normale Komponentenverhalten zunächst innerhalb der belegten Bedingungen. Der Befund allein schließt trotzdem nicht jede Komponentenursache aus. Wir halten den Status bestätigt, widerlegt oder noch offen je Hypothese fest und suchen gezielt weiter.</w:t>
      </w:r>
    </w:p>
    <w:p>
      <w:pPr>
        <w:pStyle w:val="Heading2"/>
        <w:spacing w:before="200"/>
      </w:pPr>
      <w:r>
        <w:t>Schritt 5 Einen unterscheidenden Test durchführen</w:t>
      </w:r>
    </w:p>
    <w:p>
      <w:pPr>
        <w:spacing w:after="56" w:line="250" w:lineRule="auto"/>
      </w:pPr>
      <w:r>
        <w:t>Wir erzeugen unter kontrollierten Bedingungen eine verspätete Bereitschaftsmeldung aus einem vorherigen Auftrag. Gleichzeitig prüfen wir den Zustand des Detektors und die Entscheidungen der Systemsteuerung mit konsistenten Zeitstempeln. Im Lehrfall zeigt sich: Der Empfänger verwendet den gespeicherten Wert ohne ausreichenden aktuellen Auftrags- und Gültigkeitsbezug.</w:t>
      </w:r>
    </w:p>
    <w:p>
      <w:pPr>
        <w:spacing w:after="56" w:line="250" w:lineRule="auto"/>
      </w:pPr>
      <w:r>
        <w:t>Die Ursache liegt damit in der Integration beziehungsweise dem Schnittstellenvertrag. Der Austausch der Komponente hat möglicherweise nur den Ablauf neu gestartet und deshalb kurzfristig geholfen. Eine zusätzliche lange mechanische Prüfung hätte diesen Fehlerpfad nicht adressiert.</w:t>
      </w:r>
    </w:p>
    <w:p>
      <w:pPr>
        <w:pStyle w:val="Heading2"/>
        <w:spacing w:before="200"/>
      </w:pPr>
      <w:r>
        <w:t>Schritt 6 Anforderungen und Maßnahmen ableiten</w:t>
      </w:r>
    </w:p>
    <w:p>
      <w:pPr>
        <w:spacing w:after="56" w:line="250" w:lineRule="auto"/>
      </w:pPr>
      <w:r>
        <w:t>Eine aktualisierte Anforderung beschreibt, wie Statusmeldung, Auftragskennung, Gültigkeit und Freigabe zusammenhängen. Sender und Empfänger erhalten einen abgestimmten Vertrag. Die konkrete technische Lösung wird im Produktprozess entworfen und geprüft; der Lehrfall schreibt keinen universellen Schutzalgorithmus vor.</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Modellbezug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Nachweisfrage</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Nachweise im Lehrfall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Bild bereitstellen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Bleibt Auftrag und Output konsistent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Durchgängiger Aufnahmeablauf</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Schnittstelle Bereitschaft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Werden veraltete Informationen erkannt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Integrationstest mit alten Kennungen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Zustand Wiederanlauf</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Werden frühere Aufträge korrekt behandelt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Recovery-Sequenzen an mehreren Punkten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Profil hohe Last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Funktioniert die Zuordnung unter relevanter Last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Stress- und Timingvariationen</w:t>
            </w:r>
          </w:p>
        </w:tc>
      </w:tr>
    </w:tbl>
    <w:p>
      <w:pPr>
        <w:spacing w:after="56" w:before="40" w:line="250" w:lineRule="auto"/>
      </w:pPr>
    </w:p>
    <w:p>
      <w:pPr>
        <w:pStyle w:val="Heading2"/>
        <w:spacing w:before="200"/>
      </w:pPr>
      <w:r>
        <w:t>Schritt 7 Regression und Freigabe</w:t>
      </w:r>
    </w:p>
    <w:p>
      <w:pPr>
        <w:spacing w:after="56" w:line="250" w:lineRule="auto"/>
      </w:pPr>
      <w:r>
        <w:t>Wir wiederholen den auslösenden Fall und prüfen angrenzende Sequenzen: Normalbetrieb, Start, Wiederanlauf, doppelte Meldung, Verbindungsverlust und relevante Varianten. Virtuelle Tests erweitern die Sequenzabdeckung; reale Prüfungen untersuchen die physikalisch relevanten Effekte. Die Nachweismatrix nennt die geprüfte Konfiguration und verbleibende Grenzen.</w:t>
      </w:r>
    </w:p>
    <w:p>
      <w:pPr>
        <w:spacing w:after="56" w:line="250" w:lineRule="auto"/>
      </w:pPr>
      <w:r>
        <w:t>Die Freigabe basiert nicht nur auf dem verschwundenen Abbruch. Wir prüfen auch, ob die Maßnahme keine falschen Sperren, unzulässigen Wartezeiten oder neue Inkonsistenzen erzeugt. In Schaubild A geht die Arbeit anschließend in die Feldauswertung über.</w:t>
      </w:r>
    </w:p>
    <w:p>
      <w:pPr>
        <w:pStyle w:val="Heading2"/>
        <w:spacing w:before="200"/>
      </w:pPr>
      <w:r>
        <w:t>Schritt 8 Wirksamkeit und Lernen</w:t>
      </w:r>
    </w:p>
    <w:p>
      <w:pPr>
        <w:spacing w:after="56" w:line="250" w:lineRule="auto"/>
      </w:pPr>
      <w:r>
        <w:t>Wir beobachten vergleichbare Versionen und Nutzungsgruppen. Logs unterscheiden den alten Fehlerpfad von anderen Aufnahmeabbrüchen. Ein sinkender Gesamtaustausch ohne passende Ereignisdaten wäre kein ausreichender Wirksamkeitsnachweis. Bei neuen Befunden wird die Ursachenhypothese erneut bewertet.</w:t>
      </w:r>
    </w:p>
    <w:p>
      <w:pPr>
        <w:spacing w:after="56" w:line="250" w:lineRule="auto"/>
      </w:pPr>
      <w:r>
        <w:t>Der geschlossene Fall aktualisiert FMEA, Schnittstellenmodell, Anforderungen und Testfälle. Schaubild C zeigt den Weg: Feldfehler führt zu K18 und K19, die Ursache weiter zu K8 und K16. Neue Nachweisfragen können K11 oder K15 hinzunehmen. Ein Fall benötigt oft mehrere Wege.</w:t>
      </w:r>
    </w:p>
    <w:p>
      <w:pPr>
        <w:pStyle w:val="Heading2"/>
        <w:spacing w:before="200"/>
      </w:pPr>
      <w:r>
        <w:t>Weitere kurze Lehrfälle</w:t>
      </w:r>
    </w:p>
    <w:p>
      <w:pPr>
        <w:spacing w:after="56" w:line="250" w:lineRule="auto"/>
      </w:pPr>
      <w:r>
        <w:t>Ein Röhrenproblem tritt nur bei einer bestimmten Lastfolge auf. Wir beginnen mit Nutzungsprofil und physikalischem Mechanismus, prüfen Supplier-Evidenz und planen bei Bedarf eine passende quantitative Absicherung. Ein reiner Standard-Funktionstest reicht nicht für eine verschleißbezogene Aussage.</w:t>
      </w:r>
    </w:p>
    <w:p>
      <w:pPr>
        <w:spacing w:after="56" w:line="250" w:lineRule="auto"/>
      </w:pPr>
      <w:r>
        <w:t>Eine Halterung bekommt nach vielen Bewegungen Spiel. Lastpfad, Verbindung und zyklisches Profil werden geprüft. Ein statischer FEM-Nachweis beantwortet die Ermüdungsfrage nicht.</w:t>
      </w:r>
    </w:p>
    <w:p>
      <w:pPr>
        <w:spacing w:after="56" w:line="250" w:lineRule="auto"/>
      </w:pPr>
      <w:r>
        <w:t>Eine Softwarefunktion benötigt nach langer Laufzeit zunehmend Speicher. Wir verwenden Langlauf- und Ressourcenbeobachtung, prüfen Wiederanlauf und operationales Profil und führen den Befund in Architektur und Regression zurück. Ein Austausch der Elektronik wäre ohne entsprechenden Befund keine nachhaltige Lösung.</w:t>
      </w:r>
    </w:p>
    <w:p>
      <w:pPr>
        <w:pStyle w:val="Heading2"/>
        <w:spacing w:before="200"/>
      </w:pPr>
      <w:r>
        <w:t>So gehen wir vor</w:t>
      </w:r>
    </w:p>
    <w:p>
      <w:pPr>
        <w:pStyle w:val="ListBullet"/>
        <w:spacing w:after="56" w:line="250" w:lineRule="auto"/>
      </w:pPr>
      <w:r>
        <w:t>Den passenden Fehlerpfad T1 bis T6 als Einstieg wählen und den Weg bis zum Wirksamkeitsnachweis verfolgen.</w:t>
      </w:r>
    </w:p>
    <w:p>
      <w:pPr>
        <w:pStyle w:val="ListBullet"/>
        <w:spacing w:after="56" w:line="250" w:lineRule="auto"/>
      </w:pPr>
      <w:r>
        <w:t>Bewertungsgrenze, Nutzung und Hypothesen festhalten.</w:t>
      </w:r>
    </w:p>
    <w:p>
      <w:pPr>
        <w:pStyle w:val="ListBullet"/>
        <w:spacing w:after="56" w:line="250" w:lineRule="auto"/>
      </w:pPr>
      <w:r>
        <w:t>Nachweise auswählen und Ergebnisse mit den Anforderungen vergleichen.</w:t>
      </w:r>
    </w:p>
    <w:p>
      <w:pPr>
        <w:pStyle w:val="ListBullet"/>
        <w:spacing w:after="56" w:line="250" w:lineRule="auto"/>
      </w:pPr>
      <w:r>
        <w:t>Maßnahmen prüfen und Erkenntnisse in Modelle und Feldmonitoring zurückführen.</w:t>
      </w:r>
    </w:p>
    <w:p>
      <w:pPr>
        <w:pStyle w:val="Heading2"/>
        <w:keepNext/>
        <w:spacing w:before="200"/>
      </w:pPr>
      <w:r>
        <w:t>Übung</w:t>
      </w:r>
    </w:p>
    <w:p>
      <w:pPr>
        <w:spacing w:after="56" w:line="250" w:lineRule="auto"/>
      </w:pPr>
      <w:r>
        <w:t>Wähle einen bekannten Alltagsfehler, etwa ausbleibendes Warmwasser oder einen aussetzenden Kopfhörer. Bearbeite ihn mit Systemsteckbrief, drei Hypothesen, geeignetem Nachweis und Wirksamkeitsprüfung. Nutze danach dieselben Schritte für eine technische Röntgenfunktion.</w:t>
      </w:r>
    </w:p>
    <w:p>
      <w:bookmarkStart w:id="33" w:name="appendix_A"/>
      <w:pPr>
        <w:pStyle w:val="Heading1"/>
        <w:pageBreakBefore/>
      </w:pPr>
      <w:r>
        <w:t>Anhang A Musterantworten</w:t>
      </w:r>
      <w:bookmarkEnd w:id="33"/>
    </w:p>
    <w:p>
      <w:pPr>
        <w:pStyle w:val="Heading2"/>
      </w:pPr>
      <w:r>
        <w:t>Kapitel 1 bis 5</w:t>
      </w:r>
    </w:p>
    <w:p>
      <w:r>
        <w:t>Zu Kapitel 1: Für kontinuierliche Verbindung ist jeder ungeplante Neustart ein möglicher Funktionsausfall, obwohl der Router schnell wieder verfügbar wird. Ein automatischer Neustart kann eine gute Wiederherstellbarkeit zeigen, aber die Missionszuverlässigkeit bleibt davon getrennt. Geplante Unterbrechungen werden vorher definiert.</w:t>
      </w:r>
    </w:p>
    <w:p>
      <w:r>
        <w:t>Zu Kapitel 2: Der Hersteller weist die Waschmaschinenfunktion und seine spezifizierten Aufstellbedingungen nach. Die Einbaubewertung prüft, ob Platz, Untergrund, Befestigung und Belüftung dazu passen. Ein begründeter Integrationsnachweis kann erforderlich sein, ohne die gesamte Gerätequalifikation zu wiederholen.</w:t>
      </w:r>
    </w:p>
    <w:p>
      <w:r>
        <w:t>Zu Kapitel 3: Am Gesamtkühlschrank liegen Stromversorgung, Raum und Nutzer außerhalb. Beim Kompressor gehören Steuerung, Kühlkreislauf, Befestigung und Teile des Geräts zusätzlich zur Umgebung. Wärme- und Energieflüsse bleiben an beiden Grenzen relevant.</w:t>
      </w:r>
    </w:p>
    <w:p>
      <w:r>
        <w:t>Zur Vertiefungsübung in Kapitel 3: Der Raumwechsel allein reicht nicht. Für ein eigenständiges System müssten insbesondere ein eigener operativer Zweck und eigenständige Führung begründet sein. Im beschriebenen Produkt bleibt der Detektor ein Subsystem. Beim Wechsel prüfen wir Zuordnung, Konfiguration und Zustand.</w:t>
      </w:r>
    </w:p>
    <w:p>
      <w:r>
        <w:t>Zu Kapitel 4: Benötigt werden unter anderem Betätigungskraft, Schlüssel- und Schlossausführung, Feuchte, Temperatur, Wartung, Verschmutzung und zulässiger Verschleiß. Zehn Kalenderjahre mit zehn gegenüber hundert Betätigungen täglich erzeugen unterschiedliche Zykluszahlen. Sie können trotzdem gemeinsame kalenderzeitabhängige Mechanismen enthalten.</w:t>
      </w:r>
    </w:p>
    <w:p>
      <w:r>
        <w:t>Zu Kapitel 5: Stromversorgung bereitstellen, Kommunikation aushandeln, Ladestrom regeln und Energie im Akku speichern sind Teilfunktionen. Mechanische Verbindung, Daten und Energie sind unterschiedliche Flüsse. Ein angeschlossenes Kabel kann unpassend, beschädigt oder nicht ausreichend leistungsfähig sein.</w:t>
      </w:r>
    </w:p>
    <w:p>
      <w:pPr>
        <w:pStyle w:val="Heading2"/>
      </w:pPr>
      <w:r>
        <w:t>Kapitel 6 bis 10</w:t>
      </w:r>
    </w:p>
    <w:p>
      <w:r>
        <w:t>Zu Kapitel 6: Ein zweiter Repeater kann bestimmte lokale Ausfälle oder Abdeckungsprobleme abfangen. Gemeinsamer Router, Stromkreis, Konfiguration und Funkstörung bleiben mögliche gemeinsame Ursachen. Auch die Nutzung des alternativen Wegs muss funktionieren.</w:t>
      </w:r>
    </w:p>
    <w:p>
      <w:r>
        <w:t>Zur Vertiefungsübung in Kapitel 6: Offen bedeutet ungeprüft. Die Kombination ist damit nicht freigegeben. Wir prüfen die Änderungswirkung und führen einen gezielten Kompatibilitätsnachweis. Eine begrenzte Nutzung unter Bedingungen benötigt eine ausdrücklich begründete und zulässige Entscheidung im Produktprozess; zusätzliche Feldbeobachtung allein ersetzt keine Freigabe. Eine Neuqualifikation aller Komponenten ist aus dem Archiv-Upgrade nicht abzuleiten.</w:t>
      </w:r>
    </w:p>
    <w:p>
      <w:r>
        <w:t>Zu Kapitel 7: Laufzeit pro Ladung wird für ein definiertes Leistungsprofil festgelegt. Zyklenlebensdauer und Kalenderalter beschreiben Kapazität beziehungsweise Funktion über unterschiedliche Beanspruchungen. Ein Populationsziel ergänzt die Zahl der geeigneten Einheiten und das Nachweisniveau. Die Zielwerte werden aus der Anwendung abgeleitet, nicht aus der Übung übernommen.</w:t>
      </w:r>
    </w:p>
    <w:p>
      <w:r>
        <w:t>Zu Kapitel 8: Die Funktion lautet, einen Tastendruck innerhalb einer definierten Zeit akustisch anzuzeigen. Die Fehlermöglichkeit ist verspätete Ausgabe. Ursachen können verzögerte Funkübertragung oder ein falscher Softwarezustand sein. Der Besucher erhält keine rechtzeitige Rückmeldung; „Klingel defekt“ benennt weder die Abweichung noch ihren Zeitbezug.</w:t>
      </w:r>
    </w:p>
    <w:p>
      <w:r>
        <w:t>Zu Kapitel 9: Feuchte Lagerung kann beide Lampen beziehungsweise Kontakte gemeinsam schädigen. Unabhängige Batterien beseitigen diese gemeinsame Ursache nicht. Herkunft und Lagerung müssen in die Redundanzbewertung eingehen.</w:t>
      </w:r>
    </w:p>
    <w:p>
      <w:r>
        <w:t>Zur Vertiefungsübung in Kapitel 9: Die Aufteilung ergibt 20 FIT für den gemeinsamen und 180 FIT für den unabhängigen Anteil. Das ist noch keine Ausfallwahrscheinlichkeit des redundanten Systems. Nur begründet unabhängige Ereignisse dürfen in eine Parallelrechnung eingehen; gemeinsame Ursachen werden zusätzlich im Architekturmodell berücksichtigt.</w:t>
      </w:r>
    </w:p>
    <w:p>
      <w:r>
        <w:t>Zu Kapitel 10: Alterung, Korrosion und Gelenkspiel können die Beanspruchbarkeit verändern. Zu prüfen sind relevante Kombinationen aus Zustand, Windlast, Benutzung und vorheriger Lagerung. Ein Neumuster-Grenztest allein begründet keine Reserve für den gealterten Zustand.</w:t>
      </w:r>
    </w:p>
    <w:p>
      <w:pPr>
        <w:pStyle w:val="Heading2"/>
      </w:pPr>
      <w:r>
        <w:t>Kapitel 11 bis 15</w:t>
      </w:r>
    </w:p>
    <w:p>
      <w:r>
        <w:t>Zu Kapitel 11: Zuerst wird der tatsächliche Temperatur- und Einbaubereich mit den Herstellergrenzen verglichen. Dann wird geprüft, welche Ausführung und Funktion der vorhandene Nachweis abdeckt. Eine gezielte thermische Ergänzung kann sinnvoll sein; eine erneute Regenprüfung schließt eine thermische Lücke ohne entsprechende Temperaturbewertung nicht.</w:t>
      </w:r>
    </w:p>
    <w:p>
      <w:r>
        <w:t>Zu Kapitel 12: Die Abschlussprüfung zeigt, dass die gemessene Funktion danach vorhanden war. Unbeobachtete Unterbrechungen während der Vibration bleiben offen. Der Nachweis benötigt eine passende Beobachtung während der Beanspruchung, wenn solche Fehler relevant sind.</w:t>
      </w:r>
    </w:p>
    <w:p>
      <w:r>
        <w:t>Zu Kapitel 13: Andere Dateien, Grenzgrößen, beschädigte Inhalte, Verbindungsverlust, parallele Nutzung, Unterbrechung und Wiederanlauf sind mögliche zusätzliche Fälle. Welche benötigt werden, bestimmen Funktion, Profil und Fehleranalyse. Beliebig viele Zufallsdateien ohne Testorakel sind ebenfalls unzureichend.</w:t>
      </w:r>
    </w:p>
    <w:p>
      <w:r>
        <w:t>Zu Kapitel 14: Die acht noch funktionsfähigen Geräte enthalten Überlebensinformation. Werden nur die zwei Ausfälle gemittelt, wird diese Information ignoriert und eine andere, selektierte Gruppe beschrieben. Ein zensierungsgerechtes Verfahren und passende Modellannahmen sind erforderlich.</w:t>
      </w:r>
    </w:p>
    <w:p>
      <w:r>
        <w:t>Zu Kapitel 15: Fünf Erfolge bis zur Zielnutzung erlauben keinen binomialen Nullausfallnachweis von 99 Prozent Zuverlässigkeit bei 95 Prozent Konfidenzniveau. Zu prüfen sind eine größere Stichprobe, eine angepasste Forderung, geeignete zusätzliche Evidenz oder ein begründetes anderes Modell. Eine längere Prüfung kann unter einem begründeten Weibullmodell mit bekanntem Formparameter eine andere Nachweisbasis liefern. Bei β gleich 2 benötigen fünf Muster rund 7,72-mal die Zielnutzung. Die Modellannahme und ihre Unsicherheit sind entscheidend. Höhere Belastung ohne validierte Übertragung löst den Mangel nicht.</w:t>
      </w:r>
    </w:p>
    <w:p>
      <w:r>
        <w:t>Zur Vertiefungsübung in Kapitel 15: P(X ≤ 1) mit X binomial verteilt und Ausfallwahrscheinlichkeit 1 − R ergibt rund 32,3 Prozent bei R gleich 0,95 und 76,5 Prozent bei R gleich 0,98. Der Plan prüft R mindestens 0,90 bei 95 Prozent einseitigem Konfidenzniveau. Bei R gleich 0,95 scheitert er dennoch in etwa zwei von drei Versuchen. Konfidenzniveau und Chance auf einen bestandenen Nachweis beantworten verschiedene Fragen.</w:t>
      </w:r>
    </w:p>
    <w:p>
      <w:pPr>
        <w:pStyle w:val="Heading2"/>
      </w:pPr>
      <w:r>
        <w:t>Kapitel 16 bis 20</w:t>
      </w:r>
    </w:p>
    <w:p>
      <w:r>
        <w:t>Zu Kapitel 16: Zu prüfen sind Protokoll, Datenrate, Timing, Netzwerk, Version, Ressourcen und gemeinsame Fehlerreaktion. Einzeltests der Geräte sagen nicht, ob ihre Schnittstellen unter dem tatsächlichen Übertragungsprofil zusammenpassen.</w:t>
      </w:r>
    </w:p>
    <w:p>
      <w:r>
        <w:t>Zu Kapitel 17: Die Software kann andere Schalthäufigkeit, Temperaturen oder Lastfolgen erzeugen. Damit ändern sich mögliche Beanspruchungen der Hardware. Die tatsächliche Wirkung bestimmt die betroffenen Nachweise, nicht der Umstand, dass nur Software geändert wurde.</w:t>
      </w:r>
    </w:p>
    <w:p>
      <w:r>
        <w:t>Zu Kapitel 18: Eine erhöhte Erkennungsrate, andere Ereignisdefinitionen, längere Beobachtung, höhere Nutzung oder ein echter Anstieg kommen infrage. Zuerst werden Nenner, Kohorten und Messverfahren vergleichbar gemacht.</w:t>
      </w:r>
    </w:p>
    <w:p>
      <w:r>
        <w:t>Zur Vertiefungsübung in Kapitel 18: Bei 50 Stunden steigt die MCF um 1/2 auf 0,5. Bei 150 Stunden steigt sie um 2/2 auf 1,5. Bis 200 Stunden bleibt sie dort. Das ist die mittlere kumulierte Ereigniszahl je System und kein Anteil defekter Systeme; wiederholte Ereignisse derselben Einheit bleiben enthalten.</w:t>
      </w:r>
    </w:p>
    <w:p>
      <w:r>
        <w:t>Zu Kapitel 19: Vor und nach dem Neustart werden Zustand, Last, Konfiguration und relevante Logs gesichert. Konkurrierende Hypothesen werden geprüft, die auslösende Sequenz reproduziert und eine Maßnahme gegen die Ursache nachgewiesen. Ein Neustart allein ist meist nur eine Wiederherstellung.</w:t>
      </w:r>
    </w:p>
    <w:p>
      <w:r>
        <w:t>Zu Kapitel 20: Eine gute Bearbeitung enthält einen klaren Funktionsverlust, eine passende Grenze, mehrere unterscheidbare Hypothesen und eine Prüfung mit Entscheidungskriterium. Die Maßnahme wird unter den auslösenden Bedingungen und gegen Nebenwirkungen geprüft. Die Arbeitsvorlagen in Anhang B helfen bei der Dokumentation.</w:t>
      </w:r>
    </w:p>
    <w:p>
      <w:bookmarkStart w:id="34" w:name="appendix_B"/>
      <w:pPr>
        <w:pStyle w:val="Heading1"/>
        <w:pageBreakBefore/>
      </w:pPr>
      <w:r>
        <w:t>Anhang B Arbeitsvorlagen</w:t>
      </w:r>
      <w:bookmarkEnd w:id="34"/>
    </w:p>
    <w:p>
      <w:pPr>
        <w:pStyle w:val="Heading2"/>
      </w:pPr>
      <w:r>
        <w:t>Systemsteckbrief mit Schnittstellenanalyse</w:t>
      </w:r>
    </w:p>
    <w:p>
      <w:r>
        <w:t>Diese Vorlage wird für jede neu gewählte Systemgrenze verwendet. Sie wird nicht nur beim Gesamtgerät ausgefüllt. Ein kurzer ausgefüllter Beispielwert steht jeweils hinter der Feldbeschreibung; für das Projekt wird er ersetzt.</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Eintrag im Projekt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Bewertungsfrage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Beispielsweise sporadischen Verlust der Bildbereitstellung untersuchen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Systemgrenze und Version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Produktgrenze oder Ablaufgrenze nennen; Hardware, Software und Einbau festhalten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Eigener Zweck</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Zweck außerhalb des betrachteten Ablaufs angeben; beim Subsystem gegebenenfalls nicht eigenständig belegt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Änderungsbefugnis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Wer über das Element entscheidet und Änderungen durchsetzen kann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Änderungsweg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Wer wen informiert und wie betroffene Nachweise neu bewertet werden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 und Erfolg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Erwarteten Output und zulässige Degradation definieren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Inputs und Outputs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Richtung, Einheit, Toleranz, Timing und Auftragsbezug festhalten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Weitere Einwirkungen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Temperatur, Versorgung, Strahlung, Mechanik und andere relevante Größen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Rückwirkungen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Wärme, Kräfte, Emissionen und Fehlerfortpflanzung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Zustände und Übergänge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Start, bereit, aktiv, Wiederanlauf und Fehler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Nutzung und Annahmen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Profile, Quellen und noch offene Annahmen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Ergebnis und Übergabe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Verknüpfung zu Architektur, Anforderungen und FMEA</w:t>
            </w:r>
          </w:p>
        </w:tc>
      </w:tr>
    </w:tbl>
    <w:p>
      <w:pPr>
        <w:spacing w:after="40" w:before="40"/>
      </w:pPr>
    </w:p>
    <w:p>
      <w:r>
        <w:t>Zum Ausfüllen: Thema und ID ____________________  Verantwortliche Rolle ____________________  Stand ____________________.</w:t>
      </w:r>
    </w:p>
    <w:p>
      <w:r>
        <w:t>Für jede relevante Schnittstelle wird eine Zeile oder ein eigenes Blatt angelegt: Sender, Empfänger, Signal oder physikalischer Fluss, Gültigkeitszustand, Fehlerabweichungen, erwartete Reaktion und Nachweis. Ein Review prüft insbesondere fehlende Rückwirkungen und ungeklärte Zustandsannahmen.</w:t>
      </w:r>
    </w:p>
    <w:p>
      <w:pPr>
        <w:pStyle w:val="Heading2"/>
      </w:pPr>
      <w:r>
        <w:t>Nachweise des Zulieferers bewerten</w:t>
      </w:r>
    </w:p>
    <w:p>
      <w:r>
        <w:t>Diese Vorlage dokumentiert die technische Übernahmeentscheidung. Ein vorhandener Prüfbericht wird referenziert und nicht lediglich in ein neues Formular abgeschrieben.</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Auszufüllende Bewertung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Komponente und Lieferstand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Teilenummer, Revision, Firmware und relevante Prozessmerkmale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Benötigter Einsatz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Funktion, Einbau, Profil und Zielnutzung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Vorliegende Evidenz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Bericht, Muster, Datum, Profil, Ausfälle und Rohdaten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Vergleich</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Welche Bedingungen passen und welche weichen ab</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Repräsentativität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Warum decken die Muster die gelieferte Ausführung ab</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Statistik</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Modell, Unabhängigkeit, Zensierung, Konfidenzniveau und Grenzen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Restlücken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Benötigte Ergänzung mit technischer Begründung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Entscheidung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Akzeptiert, eingeschränkt akzeptiert oder ergänzende Evidenz nötig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Rückmeldung und Änderungen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Supplier-Kontakt, Information und Neubewertungsweg</w:t>
            </w:r>
          </w:p>
        </w:tc>
      </w:tr>
    </w:tbl>
    <w:p>
      <w:pPr>
        <w:spacing w:after="40" w:before="40"/>
      </w:pPr>
    </w:p>
    <w:p>
      <w:r>
        <w:t>Zum Ausfüllen: Evidenz-ID ____________________  Entscheider ____________________  Bedingungen der Übernahme ____________________.</w:t>
      </w:r>
    </w:p>
    <w:p>
      <w:r>
        <w:t>Reviewfragen: Werden Abweichungen und Ausfälle sichtbar? Sind die verwendeten Messorte und Funktionen passend? Kann die Integration die dokumentierten Einsatzgrenzen einhalten? Ist geregelt, wie Änderungen und bestätigte Feldfehler zurückgemeldet werden?</w:t>
      </w:r>
    </w:p>
    <w:p>
      <w:pPr>
        <w:pStyle w:val="Heading2"/>
      </w:pPr>
      <w:r>
        <w:t>Arbeitsblatt für die FMEA</w:t>
      </w:r>
    </w:p>
    <w:p>
      <w:r>
        <w:t>Der FMEA-Bogen wird mit Struktur, Funktion und Schnittstelle vorbereitet. Die folgende Feldfolge kann als Vorlage in das freigegebene Unternehmenswerkzeug übertragen werden.</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Feldgruppe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Erforderlicher Inhalt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Bezug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ID, Grenze, Ebene, Funktion, Zustand und Version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Fehlermöglichkeit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Konkrete Abweichung einschließlich Zeit und Kontext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Ursache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Mögliche Ursache und physikalischer oder logischer Mechanismus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Wirkungen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Lokal, nächsthöhere Ebene und Systemfunktion getrennt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Vorhandene Kontrollen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Prävention und Erkennung mit Evidenz</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Bewertung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Gültige Skalen, Annahmen und relevante Risikoverknüpfung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Maßnahme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Wirkmechanismus, verantwortliche Rolle und Termin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Wirksamkeit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Test oder anderer geeigneter Nachweis und Ergebnis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Restzustand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Aktualisierte Bewertung und noch offene Punkte</w:t>
            </w:r>
          </w:p>
        </w:tc>
      </w:tr>
    </w:tbl>
    <w:p>
      <w:pPr>
        <w:spacing w:after="40" w:before="40"/>
      </w:pPr>
    </w:p>
    <w:p>
      <w:r>
        <w:t>Zum Ausfüllen: FMEA-ID ____________________  Schnittstellenbezug ____________________  Verknüpfter Nachweis ____________________.</w:t>
      </w:r>
    </w:p>
    <w:p>
      <w:r>
        <w:t>Reviewfragen: Ist die Fehlerwirkung wirklich über alle Ebenen verfolgt? Ist ein veralteter korrekter Wert von einem falschen Wert unterschieden? Sind gemeinsame Ressourcen und Fehlerkombinationen an ergänzende Analysen übergeben? Ist eine Maßnahme erst nach ihrer Wirksamkeitsprüfung geschlossen?</w:t>
      </w:r>
    </w:p>
    <w:p>
      <w:pPr>
        <w:pStyle w:val="Heading2"/>
      </w:pPr>
      <w:r>
        <w:t>Statistischer Prüfplan</w:t>
      </w:r>
    </w:p>
    <w:p>
      <w:r>
        <w:t>Die Entscheidung wird vor Testbeginn vereinbart. Alle Beispielzahlen aus den Kapiteln werden durch begründete Projektwerte ersetzt.</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Eintrag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Ziel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Funktion, Ausfall, Population und Zielnutzung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Anforderung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Zuverlässigkeit oder Rate, Konfidenzniveau und Richtung der Grenze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Binomial, konstante Rate, Lebensdauer oder anderes begründetes Modell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Annahmen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Unabhängigkeit, Repräsentativität und Zensierung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Muster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Zahl, Serienbezug, Varianten und Zuteilung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Beanspruchung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Profil, Messort, Betriebszustand und Testfolge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Entscheidung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Zulässige Ausfälle, Auswertung und Akzeptanzregel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Beschleunigung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Mechanismus, Modellparameter, Validierung und Unsicherheit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Abbruch</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Sicherheits-, Funktions- und organisatorische Abbruchregeln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Daten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Rohdaten, Ereigniszeiten, Zensierungen und Ausschlüsse</w:t>
            </w:r>
          </w:p>
        </w:tc>
      </w:tr>
    </w:tbl>
    <w:p>
      <w:pPr>
        <w:spacing w:after="40" w:before="40"/>
      </w:pPr>
    </w:p>
    <w:p>
      <w:r>
        <w:t>Zum Ausfüllen: Prüfplan-ID ____________________  Freigabe vor Testbeginn ____________________  Auswertungsverantwortlicher ____________________.</w:t>
      </w:r>
    </w:p>
    <w:p>
      <w:r>
        <w:t>Reviewfragen: Welches Ergebnis kann dieser Plan überhaupt liefern? Wie wahrscheinlich ist sein Erfolg bei einer angenommenen tatsächlich guten Population? Werden kurze Wiederholungen desselben Geräts fälschlich als unabhängige Einheiten gezählt? Ist eine mechanistische Hochrechnung ausreichend begründet?</w:t>
      </w:r>
    </w:p>
    <w:p>
      <w:pPr>
        <w:pStyle w:val="Heading2"/>
      </w:pPr>
      <w:r>
        <w:t>Integrationsmatrix und Freigabeevidenz</w:t>
      </w:r>
    </w:p>
    <w:p>
      <w:r>
        <w:t>Die Integrationsmatrix verknüpft Anforderungen, Fehlerpfade, Testebenen und konkrete Ergebnisse. Für jede Zeile wird ein vorhandener Nachweis referenziert oder eine offene Aktivität definiert.</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Feldgruppe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Inhalt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Bezug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Anforderung, Funktion, Schnittstelle und FMEA- oder Fehlerbaum-ID</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Szenario</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Startzustand, normale beziehungsweise ungünstige Nutzung und Fehlervariation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Testebene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Software, virtuell, reale Teilkette oder Gesamtsystem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Orakel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Erwartete Funktion, erlaubte Schutzreaktion und unzulässiges Verhalten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Messung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Stimuli, Zeitbasis, Messunsicherheit und Beobachtung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Ergebnis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Konfiguration, bestanden, nicht bestanden oder Aussage eingeschränkt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Freigabe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Übernommene Evidenz, Lücke, Bedingung und Entscheidung</w:t>
            </w:r>
          </w:p>
        </w:tc>
      </w:tr>
    </w:tbl>
    <w:p>
      <w:pPr>
        <w:spacing w:after="40" w:before="40"/>
      </w:pPr>
    </w:p>
    <w:p>
      <w:r>
        <w:t>Zum Ausfüllen: Matrix-ID ____________________  Konfiguration ____________________  Freigabeentscheidung ____________________.</w:t>
      </w:r>
    </w:p>
    <w:p>
      <w:r>
        <w:t>Reviewfragen: Ist der Komponentenbereich tatsächlich eingehalten? Welche Wirkung ist nur modelliert und welche real geprüft? Sind Recovery und Varianten enthalten? Welche Reserve wurde gemessen und unter welchen Kombinationen gilt sie?</w:t>
      </w:r>
    </w:p>
    <w:p>
      <w:pPr>
        <w:pStyle w:val="Heading2"/>
      </w:pPr>
      <w:r>
        <w:t>Fallblatt für FRACAS</w:t>
      </w:r>
    </w:p>
    <w:p>
      <w:r>
        <w:t>Der Fehlerfall wird von der ersten Meldung bis zur Wirksamkeitsentscheidung verfolgt. Neue Erkenntnisse können eine frühere Hypothese verändern; der Status bleibt nachvollziehbar.</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Inhalt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Ereignis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wann, welches Gerät, welche Funktion und welche 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Konfiguration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Hardware, Software, Einbau und relevante Änderungen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Daten und Befund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Logs, Messungen, Teileanalyse und Sicherheit des Befunds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Hypothesen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Konkurrierende Erklärungen und unterscheidende Prüfungen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Bestätigte Ursache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Mechanismus, Fehlerpfad und noch offene Fragen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Sofortkorrektur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Wiederherstellung mit Grenzen und Verantwortlichem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Nachhaltige Maßnahme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Wirkmechanismus, Umsetzung und Regression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Wirksamkeit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Reproduktion, geeignete Felddaten und Unsicherheit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Rückführung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Modelle, FMEA, Supplier, Anforderungen und Prüfprofile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Abschluss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Entscheidung, Voraussetzungen und Wiedereröffnungskriterium</w:t>
            </w:r>
          </w:p>
        </w:tc>
      </w:tr>
    </w:tbl>
    <w:p>
      <w:pPr>
        <w:spacing w:after="40" w:before="40"/>
      </w:pPr>
    </w:p>
    <w:p>
      <w:r>
        <w:t>Zum Ausfüllen: Fall-ID ____________________  Verantwortlicher ____________________  Abschlussentscheidung ____________________.</w:t>
      </w:r>
    </w:p>
    <w:p>
      <w:r>
        <w:t>Reviewfragen: Ist ein Serviceaustausch mit einem bestätigten Fehler verwechselt worden? Ist die Maßnahme gegen die Ursache gerichtet? Sind Vorher und Nachher vergleichbar? Kann ein seltenes Ereignis bei der bisherigen Beobachtung überhaupt mit ausreichender Aussage beurteilt werden?</w:t>
      </w:r>
    </w:p>
    <w:p>
      <w:pPr>
        <w:pStyle w:val="Heading2"/>
      </w:pPr>
      <w:r>
        <w:t>Einsatzvertrag und Versionsmatrix</w:t>
      </w:r>
    </w:p>
    <w:p>
      <w:r>
        <w:t>Der Einsatzvertrag ergänzt das Zulieferreview oder den Vertrag einer externen Gegenstelle. Er beschreibt die technische Gültigkeit der übernommenen Evidenz.</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Feld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Eintrag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Gegenstand und Version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Komponente oder eigenständiges System mit eindeutigem Stand</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Zugesicherte Leistung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Output, Qualität, Timing und gültige Zustände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Annahmen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Inputs, Umwelt, Nutzungsprofil und gemeinsame Ressourcen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Verletzte Annahme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Erkennung, zulässige Reaktion und Wiederanlauf</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Evidenz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Bericht, geprüfte Muster, Aussage und verbleibende Lücken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Änderungen und Monitoring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Verantwortlicher Meldeweg, Konfiguration und Feldbeobachtung</w:t>
            </w:r>
          </w:p>
        </w:tc>
      </w:tr>
    </w:tbl>
    <w:p>
      <w:pPr>
        <w:spacing w:after="40" w:before="40"/>
      </w:pPr>
    </w:p>
    <w:p>
      <w:r>
        <w:t>Die Versionsmatrix nennt pro erlaubter Kombination Hardware, Firmware, Steuerung und relevante Gegenstelle. Dazu werden Funktionsumfang, Profil, Nachweis-ID und Freigabestatus festgehalten. Ein Versionsname allein ersetzt keinen Nachweis. Ungeprüfte und gesperrte Kombinationen werden unterschiedlich gekennzeichnet.</w:t>
      </w:r>
    </w:p>
    <w:p>
      <w:bookmarkStart w:id="35" w:name="appendix_C"/>
      <w:pPr>
        <w:pStyle w:val="Heading1"/>
        <w:pageBreakBefore/>
      </w:pPr>
      <w:r>
        <w:t>Anhang C Glossar</w:t>
      </w:r>
      <w:bookmarkEnd w:id="35"/>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Begriff</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Bedeutung in diesem Handbuch</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Akzeptanzkriterium</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Vorab festgelegte Regel für die Entscheidung über ein Ergebnis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B10</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Nutzung bis zum modellierten Ausfall von zehn Prozent der Population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Beschleunigungsfaktor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Modellierte Relation der Lebensdauern bei zwei Belastungen für einen Mechanismus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Konfidenzniveau</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Überdeckungseigenschaft eines frequentistischen Verfahrens unter seinen Annahmen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Credible Interval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Bayesscher Parameterbereich auf Grundlage von Prior und Daten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Derating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Begrenzung einer relevanten Belastung unter Berücksichtigung der Beanspruchbarkeit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DoE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Design of Experiments, geplante Untersuchung von Faktoren und Wechselwirkungen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Nachweismatrix</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Zuordnung von Anforderungen zu geeigneten Nachweisen und deren Grenzen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FEM</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Finite-Elemente-Methode zur modellbasierten Berechnung physikalischer Größen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FMEA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Failure Modes and Effects Analysis, Analyse von Fehlermöglichkeiten und Wirkungen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FMECA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FMEA mit einer zusätzlichen Kritikalitätsbewertung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FRACAS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Failure Reporting, Analysis and Corrective Action System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FTA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Fault Tree Analysis, Analyse von einem Top Event zu Ursachen und Kombinationen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HALT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Explorative beschleunigte Suche nach Schwachstellen und Grenzen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HASS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Geeignet abgesichertes beschleunigtes Screening auf Fertigungsfehler</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Hazard Rate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Momentane bedingte Ausfallrate der noch überlebenden Einheiten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I/O</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Inputs und Outputs über eine definierte Systemgrenze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Life Cycle Profile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Belastungen und Zustände über die gesamte Lebensgeschichte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MBSE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Modellbasiertes Systems Engineering mit verknüpften Sichten und Nachweisen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Mission Profile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Zustände und Belastungen einer definierten 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MTBF</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Mittlerer Abstand betrachteter Ausfälle in einem geeigneten reparierbaren Modell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MTTF</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Mittlere Nutzung bis zum betrachteten Ausfall</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MTTR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Mittlere Reparaturzeit gemäß festgelegter Zeitdefinition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No Fault Found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Fehlerursache am untersuchten Teil nicht bestätigt, der Befund lässt einen Systemfehler weiterhin offen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Operationales Profil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Relevante Häufigkeiten und Folgen von Softwareeingaben und Zuständen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Power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Wahrscheinlichkeit einer statistischen Entscheidung bei einer angegebenen Alternative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RBD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Reliability Block Diagram, Erfolgsstruktur einer definierten Funktion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RCA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Root Cause Analysis, Ursachenuntersuchung mit Evidenz</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Zuverlässigkeit (Reliability)</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Zuverlässigkeit der definierten Funktion unter Bedingungen über Nutzung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RPZ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Risikoprioritätszahl als Hilfsgröße einer definierten Bewertungsmethode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Screening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Prüfung zum Erkennen bestimmter Fehler in gefertigten Einheiten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System of Interest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Das für die jeweilige Frage abgegrenzte betrachtete System</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Testorakel</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Regel oder Referenz zur Bewertung des beobachteten Testoutputs</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Zensierung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Lebensdauer nur teilweise bekannt, etwa Überleben bis zum Testende</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Fähigkeit (Capability)</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Übergreifende Leistung, die durch Zusammenwirken entsteht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System of Systems (SoS)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Verbund eigenständiger Systeme mit übergreifender Fähigkeit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Einsatzvertrag</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Technische Zusage mit Annahmen, Nachweisen und Änderungsweg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Aussagewahrscheinlichkeit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Weitere Bezeichnung für das Konfidenzniveau; Interpretation ausdrücklich festlegen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Nachweiserfolgswahrscheinlichkeit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Chance, die vorab festgelegte Annahmeregel bei einem wahren Niveau zu erfüllen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Mittlere kumulierte Ereigniszahl (MCF)</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Mittlere kumulierte Zahl wiederkehrender Ereignisse pro Einheit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NHPP</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Poissonprozess mit zeitabhängiger Ereignisintensität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Resilienz</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Fähigkeit, Störungen zu bewältigen und Leistung aufrechtzuerhalten oder wiederherzustellen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STPA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Systemtheoretische Gefährdungsanalyse von Steuerung und Rückmeldung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Verfügbarkeit (Availability)</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Anteil der definierten Zeit, in der die benötigte Funktion nutzbar ist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Robustheit (Robustness)</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Geringe Empfindlichkeit der Funktion gegenüber relevanten Abweichungen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Gemeinsame Ursache (Common Cause)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Ursache, die mehrere Elemente oder Funktionen zugleich beeinflusst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Verifikation (Verification)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Prüfung der Erfüllung spezifizierter Anforderungen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Validierung (Validation)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Prüfung der Eignung für den vorgesehenen Einsatz</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Qualifikation (Qualification)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Nachweis der Eignung für einen definierten Anforderungs- und Einsatzbereich</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Kaplan-Meier-Schätzer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Nichtparametrische Schätzung einer Überlebensfunktion mit geeigneter Zensierung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Maximum Likelihood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Parameterschätzung anhand der Wahrscheinlichkeit der beobachteten Daten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Digitaler Zwilling (Digital Twin)</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Modell einer konkreten Einheit mit definiertem Daten- und Zustandsbezug</w:t>
            </w:r>
          </w:p>
        </w:tc>
      </w:tr>
    </w:tbl>
    <w:p>
      <w:pPr>
        <w:spacing w:after="40" w:before="40"/>
      </w:pPr>
    </w:p>
    <w:p>
      <w:bookmarkStart w:id="36" w:name="appendix_D"/>
      <w:pPr>
        <w:pStyle w:val="Heading1"/>
        <w:pageBreakBefore/>
      </w:pPr>
      <w:r>
        <w:t>Anhang D Formeln und Entscheidungsregeln</w:t>
      </w:r>
      <w:bookmarkEnd w:id="36"/>
    </w:p>
    <w:p>
      <w:pPr>
        <w:pStyle w:val="Heading2"/>
      </w:pPr>
      <w:r>
        <w:t>Welche Formel zu welcher Frage passt</w:t>
      </w:r>
    </w:p>
    <w:tbl>
      <w:tblPr>
        <w:tblW w:type="dxa" w:w="9792"/>
        <w:jc w:val="center"/>
        <w:tblLayout w:type="fixed"/>
        <w:tblLook w:firstColumn="1" w:firstRow="1" w:lastColumn="0" w:lastRow="0" w:noHBand="0" w:noVBand="1" w:val="04A0"/>
      </w:tblPr>
      <w:tblGrid>
        <w:gridCol w:w="2880"/>
        <w:gridCol w:w="3600"/>
        <w:gridCol w:w="3312"/>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Frage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Ansatz</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Wichtige Voraussetzung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Welche Einheiten überleben die Nutzung 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R und F einer Lebensdauerverteilung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Einheitliche Ausfalldefinition und geeignete Population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werden unabhängige Erfolgswege kombiniert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Serien- oder idealisiertes Parallelmodell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Passende Struktur und begründete Unabhängigkeit</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groß muss eine Nullausfallstichprobe sein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Binomialer Success Run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Jede unabhängige Einheit absolviert die definierte Zielnutzung</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Was bedeuten addierte Prüfstunden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Konstante Rate mit Exponential- oder Poissonmodell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Die Modellannahme passt tatsächlich zu den Daten und Mechanismen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wird eine Belastung beschleunigt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Mechanistisches Beschleunigungsmodell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Gleicher relevanter Mechanismus und begründete Modellparameter</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werden zulässige Ausfälle im Nachweis behandelt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Einseitige Clopper-Pearson-Grenze und vorab festgelegte Annahmezahl</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Unabhängige repräsentative Einheiten mit gleichem Zielprofil</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Wie werden wiederkehrende Ereignisse beschrieben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Mittlere kumulierte Ereigniszahl MCF</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Gleiche Nutzungsachse und Ereignisdefinition; Wiederholungen und Beobachtungsenden erfassen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Wie wird ein Ereignistrend modelliert</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Potenzgesetz-NHPP mit eindeutiger Parametrisierung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Modellpassung, vergleichbare Nutzung und Änderungen des Produktstands beachten</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Was bedeutet eine gemessene Verbesserung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Vergleich geeigneter Kohorten und Unsicherheit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Gleiche Definition, passende Nutzung und vergleichbare Beobachtung</w:t>
            </w:r>
          </w:p>
        </w:tc>
      </w:tr>
    </w:tbl>
    <w:p>
      <w:pPr>
        <w:spacing w:after="40" w:before="40"/>
      </w:pPr>
    </w:p>
    <w:p>
      <w:pPr>
        <w:pStyle w:val="Heading2"/>
      </w:pPr>
      <w:r>
        <w:t>Die Reihenfolge vor jeder Rechnung</w:t>
      </w:r>
    </w:p>
    <w:p>
      <w:r>
        <w:t>Zuerst klären wir Entscheidung, Population, Funktion, Profil und Mechanismus. Danach wählen wir das Modell und prüfen die Daten. Schätzung und Unsicherheit werden mit ihren Bedingungen berichtet. Fehlende Voraussetzungen bleiben offene Aufgaben.</w:t>
      </w:r>
    </w:p>
    <w:p>
      <w:pPr>
        <w:pStyle w:val="Heading2"/>
      </w:pPr>
      <w:r>
        <w:t>Beispielzahlen richtig verwenden</w:t>
      </w:r>
    </w:p>
    <w:p>
      <w:r>
        <w:t>Die geprüften Rechenbeispiele erklären die Methoden. Projektziele, Belastungsprofile, Schutzgrenzen und Freigabekriterien folgen aus der tatsächlichen Anwendung und den freigegebenen Anforderungen. Beispielzahlen sind keine Produktempfehlungen.</w:t>
      </w:r>
    </w:p>
    <w:p>
      <w:bookmarkStart w:id="37" w:name="appendix_E"/>
      <w:pPr>
        <w:pStyle w:val="Heading1"/>
        <w:pageBreakBefore/>
      </w:pPr>
      <w:r>
        <w:t>Anhang E Änderungen und Reviewentscheidungen</w:t>
      </w:r>
      <w:bookmarkEnd w:id="37"/>
    </w:p>
    <w:p>
      <w:pPr>
        <w:pStyle w:val="Heading2"/>
      </w:pPr>
      <w:r>
        <w:t>Änderungen gegenüber ChatGPT XYZ2</w:t>
      </w:r>
    </w:p>
    <w:p>
      <w:r>
        <w:t>Diese finale Fassung V03 basiert auf ChatGPT XYZ2 und dem Review Claudexyz V02 vom 9. Oktober 2026. Die Kapitelnummern 1 bis 20 bleiben erhalten. Die folgende Liste benennt die geänderten Abschnitte je Kapitel; die anschließende Tabelle ergänzt die Änderungen außerhalb der Kapitel.</w:t>
      </w:r>
    </w:p>
    <w:tbl>
      <w:tblPr>
        <w:tblW w:type="dxa" w:w="9792"/>
        <w:jc w:val="center"/>
        <w:tblLayout w:type="fixed"/>
        <w:tblLook w:firstColumn="1" w:firstRow="1" w:lastColumn="0" w:lastRow="0" w:noHBand="0" w:noVBand="1" w:val="04A0"/>
      </w:tblPr>
      <w:tblGrid>
        <w:gridCol w:w="936"/>
        <w:gridCol w:w="2016"/>
        <w:gridCol w:w="6840"/>
      </w:tblGrid>
      <w:tr>
        <w:trPr>
          <w:cantSplit/>
          <w:tblHeader/>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Kapitel</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Status</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Geänderte Stellen und Inhalte</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Verweis auf zwei Grenzen; Bewertungsendpunkt im Arbeitsablauf</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2</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EMV und Gebrauchstauglichkeit ergänzt; N21 zitiert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3</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SoS früher erklärt; Steckbrieffelder und Vertiefungsübung ergänzt; Schaubild D neu</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4</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Untersuchungsablauf vor das Lastbeispiel gestellt; Zählregel in den Arbeitsablauf integriert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5</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Schnittstellenvertrag vor die Gegenprüfungen gestellt; Arbeitsschritt ergänzt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6</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Versionsmatrix an Architekturbeispiel angebunden; neue Übung</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7</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Kennzahlendpunkt früher erklärt; Grammatik zum Konfidenzniveau korrigiert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8</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Übergaben vor Auswahl der FMEA eingeordnet; Bedienhandlungen mit Gebrauchstauglichkeit verknüpft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9</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Gemeinsame Ursachen vor Parallelrechnung; FTA und RBD visualisiert; STPA und neue Übung eingebunden</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10</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Vorhersagen und Beschleunigungsmodelle vor die Anwendung gestellt; ungeeigneten Beleg entfernt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11</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Einsatzvertrag vor Nachweisreview gestellt; Arbeitsschritt ergänzt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12</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Allgemeine Prüfmethoden erhalten; Beobachtung im Arbeitsablauf und EMV-Bezug ergänzt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13</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Updates und KI im Arbeitsablauf ergänzt; sprachlich vereinheitlicht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14</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Vorwissen an Konfidenz angeschlossen; Badewannenmodell und zensierter Weibullplot ergänzt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15</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Statistische Nachweiswege zusammengeführt; Begriffe und Tabelle korrigiert; Vertiefungsübung ergänzt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16</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Gesamtablauf vor Ergebnisbewertung gestellt; Rückkehr und EMV im Nachweis verankert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17</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Nachweismatrix vereinheitlicht; Versionen und offene Kombinationen im Arbeitsablauf</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18</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MCF und Verfügbarkeit vor Entscheidungsweg gestellt; neue Übung mit Musterantwort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19</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Wachstumsmodell vor Rückführung eingeordnet; Crow-AMSAA-Grafik und Bedienanalyse ergänzt</w:t>
            </w:r>
          </w:p>
        </w:tc>
      </w:tr>
      <w:tr>
        <w:trPr>
          <w:cantSplit/>
        </w:trPr>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20</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Überarbeitet</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Sechs Fehlerpfade vor die ausführliche T1-Fallstudie gestellt; Vorgehensliste ergänzt</w:t>
            </w:r>
          </w:p>
        </w:tc>
      </w:tr>
    </w:tbl>
    <w:p>
      <w:pPr>
        <w:spacing w:after="40" w:before="40"/>
      </w:pPr>
    </w:p>
    <w:p>
      <w:pPr>
        <w:pStyle w:val="Heading2"/>
      </w:pPr>
      <w:r>
        <w:t>Änderungen an Navigation und Arbeitsmitteln</w:t>
      </w:r>
    </w:p>
    <w:tbl>
      <w:tblPr>
        <w:tblW w:type="dxa" w:w="9792"/>
        <w:jc w:val="center"/>
        <w:tblLayout w:type="fixed"/>
        <w:tblLook w:firstColumn="1" w:firstRow="1" w:lastColumn="0" w:lastRow="0" w:noHBand="0" w:noVBand="1" w:val="04A0"/>
      </w:tblPr>
      <w:tblGrid>
        <w:gridCol w:w="3240"/>
        <w:gridCol w:w="6552"/>
      </w:tblGrid>
      <w:tr>
        <w:trPr>
          <w:cantSplit/>
          <w:tblHeader/>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Stelle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E7EFF3"/>
          </w:tcPr>
          <w:p>
            <w:pPr>
              <w:keepNext w:val="0"/>
              <w:spacing w:line="252" w:lineRule="auto" w:after="40"/>
            </w:pPr>
            <w:r>
              <w:rPr>
                <w:b/>
                <w:sz w:val="21"/>
              </w:rPr>
              <w:t>Änderung</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Lesepfade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Untersuchungsablauf und Betreiberschnittstellen als Einstieg ergänzt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Schaubild 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Lebensdauer und Konfidenzniveau sprachlich vereinheitlicht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Schaubild C</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Navigator um Grenzen, Versionen, STPA, Vorhersage, Einsatzvertrag, MCF und Wachstum erweitert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Schaubild 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Detektor und Generator getrennt; Bereitschaft, Archivbestätigung und Ressourceneinwirkungen dargestellt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Schaubild 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Singular Ausfall in der Legende korrigiert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Schaubilder G bis J</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Badewannenmodell, zensierter Weibullplot, FTA mit RBD und Crow-AMSAA-Darstellung ergänzt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Anhang A</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Musterantworten zu den fünf neuen Vertiefungsübungen ergänzt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Anhang B</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Eigener Zweck, Änderungsbefugnis und Änderungsweg in den Systemsteckbrief aufgenommen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Anhang C</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Deutsche und englische Begriffe sowie Satzbau vereinheitlicht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Anhang D</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Zusätzliche Nachweiswege mit Ausfällen, MCF und Wachstum in die Methodenauswahl aufgenommen</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Anhang E</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Frühere Darstellung des Dissenses korrigiert; Änderungen für V03 dokumentiert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Literatur</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7F8F9"/>
          </w:tcPr>
          <w:p>
            <w:pPr>
              <w:keepNext w:val="0"/>
              <w:spacing w:line="252" w:lineRule="auto" w:after="40"/>
            </w:pPr>
            <w:r>
              <w:rPr>
                <w:b w:val="0"/>
                <w:sz w:val="21"/>
              </w:rPr>
              <w:t>N28 und N29 ergänzt; ungenutzte Q02 und Q05 sowie ungeeigneter Beleg Q26 entfernt</w:t>
            </w:r>
          </w:p>
        </w:tc>
      </w:tr>
      <w:tr>
        <w:trPr>
          <w:cantSplit/>
        </w:trPr>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Gesamtes Dokument</w:t>
            </w:r>
          </w:p>
        </w:tc>
        <w:tc>
          <w:tcPr>
            <w:tcW w:type="dxa" w:w="6552"/>
            <w:vAlign w:val="center"/>
            <w:tcBorders>
              <w:top w:val="single" w:sz="4" w:color="D9D9D9"/>
              <w:left w:val="single" w:sz="4" w:color="D9D9D9"/>
              <w:bottom w:val="single" w:sz="4" w:color="D9D9D9"/>
              <w:right w:val="single" w:sz="4" w:color="D9D9D9"/>
              <w:insideH w:val="single" w:sz="4" w:color="D9D9D9"/>
              <w:insideV w:val="single" w:sz="4" w:color="D9D9D9"/>
            </w:tcBorders>
            <w:tcMar>
              <w:top w:w="95" w:type="dxa"/>
              <w:bottom w:w="95" w:type="dxa"/>
              <w:left w:w="95" w:type="dxa"/>
              <w:right w:w="95" w:type="dxa"/>
            </w:tcMar>
            <w:shd w:fill="FFFFFF"/>
          </w:tcPr>
          <w:p>
            <w:pPr>
              <w:keepNext w:val="0"/>
              <w:spacing w:line="252" w:lineRule="auto" w:after="40"/>
            </w:pPr>
            <w:r>
              <w:rPr>
                <w:b w:val="0"/>
                <w:sz w:val="21"/>
              </w:rPr>
              <w:t>Nachweismatrix vereinheitlicht; zitierte Aussagen mit Anführungszeichen; verdichtete Überschriften umformuliert; Konfidenzniveau lektoriert</w:t>
            </w:r>
          </w:p>
        </w:tc>
      </w:tr>
    </w:tbl>
    <w:p>
      <w:pPr>
        <w:spacing w:after="40" w:before="40"/>
      </w:pPr>
    </w:p>
    <w:p>
      <w:pPr>
        <w:pStyle w:val="Heading2"/>
      </w:pPr>
      <w:r>
        <w:t>Fachliche Entscheidungen aus dem zweiten Review</w:t>
      </w:r>
    </w:p>
    <w:p>
      <w:r>
        <w:t>Claudes Hinweis auf isoliert angehängte Ergänzungen wurde übernommen. Die Ergänzungen stehen nun dort, wo sie für die nächste Erklärung oder Entscheidung benötigt werden. Die Listen „So gehen wir vor“ greifen sie ausdrücklich auf. Die Alltagsbeispiele bleiben erhalten; neue Aufgaben erlauben den Übergang zur fachlichen Anwendung.</w:t>
      </w:r>
    </w:p>
    <w:p>
      <w:r>
        <w:t>Die SoS-Sicht wird in diesem Handbuch an der Ablaufgrenze geprüft. Innerhalb der Produktgrenze bleibt die rekursive Systemzerlegung der Ausgangspunkt. Ein Raumwechsel eines Detektors reicht für die SoS-Einordnung nicht. Eigener Zweck und Änderungsbefugnis müssen tatsächlich belegt sein. Wir beschreiben diese Befugnisse, statt ohne Grundlage einen SoS-Typ zu vergeben.</w:t>
      </w:r>
    </w:p>
    <w:p>
      <w:r>
        <w:t>Komponentenspezifische Ausfallmechanismen einzelner Baugruppen werden nicht als eigener Katalog aufgenommen. Die allgemeinen Prüfmethoden für elektrische Belastung, Aufbau- und Verbindungstechnik, Temperatur, Feuchte, Strahlenfestigkeit, Lagerung und Mechanik bleiben in Kapitel 12 erhalten. Sie dienen der Bewertung von Zulieferevidenz und werden nicht pauschal als wiederholte Eigenprüfung verlangt.</w:t>
      </w:r>
    </w:p>
    <w:p>
      <w:r>
        <w:t>Die frühere Fassung hatte Claudes Vorschlag an dieser Stelle als Ausschluss allgemeiner Prüfmethoden wiedergegeben. Das war unzutreffend und ist hier korrigiert. Die Prüfmethodensammlung war zwischen den beiden Ansätzen kein fachlicher Dissens.</w:t>
      </w:r>
    </w:p>
    <w:p>
      <w:r>
        <w:t>Bei der Archiv-Übung wurde die vorgeschlagene bedingte Nutzung präzisiert: Feldbeobachtung allein macht eine ungeprüfte Kombination nicht zulässig. Eine Nutzung unter Bedingungen braucht eine begründete Entscheidung im geltenden Produktprozess. Bei STPA formulieren wir eine begründete Methodenauswahl; sie wird nicht für jeden beliebigen Ablauf verpflichtend gemacht.</w:t>
      </w:r>
    </w:p>
    <w:p>
      <w:r>
        <w:t>Der öffentliche Hinweis zu SN 29500 wird nicht als Normbeleg verwendet. Das Handbuch behauptet keine intern geprüfte Ausgabe. Nicht eingesehene Normvolltexte bleiben als solche erkennbar. Die neuen Grafiken unterscheiden Modellannahmen, synthetische Ereignisse und Schätzungen aus Lehrdaten. So wird eine Illustration nicht mit einem Wirksamkeitsnachweis verwechselt.</w:t>
      </w:r>
    </w:p>
    <w:p>
      <w:bookmarkStart w:id="38" w:name="sources"/>
      <w:pPr>
        <w:pStyle w:val="Heading1"/>
        <w:pageBreakBefore/>
      </w:pPr>
      <w:r>
        <w:t>Literatur und Standards</w:t>
      </w:r>
      <w:bookmarkEnd w:id="38"/>
    </w:p>
    <w:p>
      <w:r>
        <w:t>Die Quellenschlüssel verbinden Kapitel und Literatur. Lehrbücher und Handbücher dienen der methodischen Orientierung und Vertiefung; das Fachbuch enthält eigene Erklärungen und Beispiele. Die Normenliste ist eine methodische Auswahl, kein vollständiges Verzeichnis der für ein bestimmtes Produkt anwendbaren Anforderungen.</w:t>
      </w:r>
    </w:p>
    <w:p>
      <w:r>
        <w:t>Vor normativer Anwendung werden gültige Fassungen, Änderungen und nationale beziehungsweise europäische Übernahmen anhand des freigegebenen Normenprozesses geprüft. Die Detailanforderungen werden in den lizenzierten Normfassungen nachgeschlagen. Eine offizielle Katalogbeschreibung bestätigt nicht die vollständige Erfüllung einer Norm.</w:t>
      </w:r>
    </w:p>
    <w:p>
      <w:pPr>
        <w:pStyle w:val="Heading2"/>
      </w:pPr>
      <w:r>
        <w:t>Lehrbücher und wissenschaftliche Quellen</w:t>
      </w:r>
    </w:p>
    <w:p>
      <w:pPr>
        <w:keepNext/>
      </w:pPr>
      <w:bookmarkStart w:id="39" w:name="source_Q01"/>
      <w:bookmarkEnd w:id="39"/>
      <w:r>
        <w:rPr>
          <w:b/>
        </w:rPr>
        <w:t xml:space="preserve">[Q01] Rausand, M.; Barros, A.; Høyland, A. </w:t>
      </w:r>
      <w:r>
        <w:t>System Reliability Theory: Models, Statistical Methods, and Applications. 3. Auflage, Wiley, 2020; Hardcover-Katalog 2021.</w:t>
      </w:r>
    </w:p>
    <w:p>
      <w:pPr>
        <w:pStyle w:val="Caption"/>
        <w:keepNext/>
      </w:pPr>
      <w:r>
        <w:t>Öffentliches Inhaltsverzeichnis und Verlagsbeschreibung ausgewertet.</w:t>
      </w:r>
    </w:p>
    <w:p>
      <w:pPr>
        <w:spacing w:after="200"/>
      </w:pPr>
      <w:hyperlink r:id="rId21">
        <w:r>
          <w:rPr>
            <w:color w:val="18364A"/>
          </w:rPr>
          <w:t xml:space="preserve">Quelle öffnen</w:t>
        </w:r>
      </w:hyperlink>
    </w:p>
    <w:p>
      <w:pPr>
        <w:keepNext/>
      </w:pPr>
      <w:bookmarkStart w:id="40" w:name="source_Q03"/>
      <w:bookmarkEnd w:id="40"/>
      <w:r>
        <w:rPr>
          <w:b/>
        </w:rPr>
        <w:t xml:space="preserve">[Q03] Meeker, W. Q.; Escobar, L. A.; Pascual, F. G. </w:t>
      </w:r>
      <w:r>
        <w:t>Statistical Methods for Reliability Data. 2. Auflage, Wiley; erschienen Dezember 2021, Copyright 2022.</w:t>
      </w:r>
    </w:p>
    <w:p>
      <w:pPr>
        <w:pStyle w:val="Caption"/>
        <w:keepNext/>
      </w:pPr>
      <w:r>
        <w:t>Öffentliches Inhaltsverzeichnis und Verlagsbeschreibung ausgewertet.</w:t>
      </w:r>
    </w:p>
    <w:p>
      <w:pPr>
        <w:spacing w:after="200"/>
      </w:pPr>
      <w:hyperlink r:id="rId22">
        <w:r>
          <w:rPr>
            <w:color w:val="18364A"/>
          </w:rPr>
          <w:t xml:space="preserve">Quelle öffnen</w:t>
        </w:r>
      </w:hyperlink>
    </w:p>
    <w:p>
      <w:pPr>
        <w:keepNext/>
      </w:pPr>
      <w:bookmarkStart w:id="41" w:name="source_Q04"/>
      <w:bookmarkEnd w:id="41"/>
      <w:r>
        <w:rPr>
          <w:b/>
        </w:rPr>
        <w:t xml:space="preserve">[Q04] Dazer, M.; Grundler, A.; Lucan, K.; Bertsche, B. </w:t>
      </w:r>
      <w:r>
        <w:t>Zuverlässigkeitstests für eine effiziente und entwicklungsbegleitende Absicherung von Bauteilen und Systemen. Springer Vieweg, 2026; DOI 10.1007/978-3-662-72967-0.</w:t>
      </w:r>
    </w:p>
    <w:p>
      <w:pPr>
        <w:pStyle w:val="Caption"/>
        <w:keepNext/>
      </w:pPr>
      <w:r>
        <w:t>Öffentliches Inhaltsverzeichnis und Verlagsbeschreibung ausgewertet.</w:t>
      </w:r>
    </w:p>
    <w:p>
      <w:pPr>
        <w:spacing w:after="200"/>
      </w:pPr>
      <w:hyperlink r:id="rId23">
        <w:r>
          <w:rPr>
            <w:color w:val="18364A"/>
          </w:rPr>
          <w:t xml:space="preserve">Quelle öffnen</w:t>
        </w:r>
      </w:hyperlink>
    </w:p>
    <w:p>
      <w:pPr>
        <w:keepNext/>
      </w:pPr>
      <w:bookmarkStart w:id="42" w:name="source_Q06"/>
      <w:bookmarkEnd w:id="42"/>
      <w:r>
        <w:rPr>
          <w:b/>
        </w:rPr>
        <w:t xml:space="preserve">[Q06] Universität Stuttgart Institut für Maschinenelemente. </w:t>
      </w:r>
      <w:r>
        <w:t>Design for Reliability and Validation. Lehrveranstaltungsbeschreibung mit Eintrag Sommersemester 2026.</w:t>
      </w:r>
    </w:p>
    <w:p>
      <w:pPr>
        <w:pStyle w:val="Caption"/>
        <w:keepNext/>
      </w:pPr>
      <w:r>
        <w:t>Öffentliche Lehrinhalte ausgewertet.</w:t>
      </w:r>
    </w:p>
    <w:p>
      <w:pPr>
        <w:spacing w:after="200"/>
      </w:pPr>
      <w:hyperlink r:id="rId24">
        <w:r>
          <w:rPr>
            <w:color w:val="18364A"/>
          </w:rPr>
          <w:t xml:space="preserve">Quelle öffnen</w:t>
        </w:r>
      </w:hyperlink>
    </w:p>
    <w:p>
      <w:pPr>
        <w:keepNext/>
      </w:pPr>
      <w:bookmarkStart w:id="43" w:name="source_Q07"/>
      <w:bookmarkEnd w:id="43"/>
      <w:r>
        <w:rPr>
          <w:b/>
        </w:rPr>
        <w:t xml:space="preserve">[Q07] NASA. </w:t>
      </w:r>
      <w:r>
        <w:t>NASA Systems Engineering Handbook. NASA/SP-2016-6105 Rev 2, 2016.</w:t>
      </w:r>
    </w:p>
    <w:p>
      <w:pPr>
        <w:pStyle w:val="Caption"/>
        <w:keepNext/>
      </w:pPr>
      <w:r>
        <w:t>Öffentlicher Aufbau und Online-Handbuch ausgewertet.</w:t>
      </w:r>
    </w:p>
    <w:p>
      <w:pPr>
        <w:spacing w:after="200"/>
      </w:pPr>
      <w:hyperlink r:id="rId25">
        <w:r>
          <w:rPr>
            <w:color w:val="18364A"/>
          </w:rPr>
          <w:t xml:space="preserve">Quelle öffnen</w:t>
        </w:r>
      </w:hyperlink>
    </w:p>
    <w:p>
      <w:pPr>
        <w:keepNext/>
      </w:pPr>
      <w:bookmarkStart w:id="44" w:name="source_Q08"/>
      <w:bookmarkEnd w:id="44"/>
      <w:r>
        <w:rPr>
          <w:b/>
        </w:rPr>
        <w:t xml:space="preserve">[Q08] NASA Goddard Space Flight Center. </w:t>
      </w:r>
      <w:r>
        <w:t>Guideline for Failure Modes and Effects Analysis and Risk Assessment. GSFC-HDBK-8004, freigegeben 20.08.2024.</w:t>
      </w:r>
    </w:p>
    <w:p>
      <w:pPr>
        <w:pStyle w:val="Caption"/>
        <w:keepNext/>
      </w:pPr>
      <w:r>
        <w:t>Öffentliches Handbuch, insbesondere funktionale, Design- und Schnittstellen-FMECA.</w:t>
      </w:r>
    </w:p>
    <w:p>
      <w:pPr>
        <w:spacing w:after="200"/>
      </w:pPr>
      <w:hyperlink r:id="rId26">
        <w:r>
          <w:rPr>
            <w:color w:val="18364A"/>
          </w:rPr>
          <w:t xml:space="preserve">Quelle öffnen</w:t>
        </w:r>
      </w:hyperlink>
    </w:p>
    <w:p>
      <w:pPr>
        <w:keepNext/>
      </w:pPr>
      <w:bookmarkStart w:id="45" w:name="source_Q09"/>
      <w:bookmarkEnd w:id="45"/>
      <w:r>
        <w:rPr>
          <w:b/>
        </w:rPr>
        <w:t xml:space="preserve">[Q09] Wille, A. </w:t>
      </w:r>
      <w:r>
        <w:t>Contributions to Model-Based Safety Assessment. Dissertation, Technische Universität München, 2019.</w:t>
      </w:r>
    </w:p>
    <w:p>
      <w:pPr>
        <w:pStyle w:val="Caption"/>
        <w:keepNext/>
      </w:pPr>
      <w:r>
        <w:t>Repository-Metadaten und Abstract als Vertiefungshinweis.</w:t>
      </w:r>
    </w:p>
    <w:p>
      <w:pPr>
        <w:spacing w:after="200"/>
      </w:pPr>
      <w:hyperlink r:id="rId27">
        <w:r>
          <w:rPr>
            <w:color w:val="18364A"/>
          </w:rPr>
          <w:t xml:space="preserve">Quelle öffnen</w:t>
        </w:r>
      </w:hyperlink>
    </w:p>
    <w:p>
      <w:pPr>
        <w:keepNext/>
      </w:pPr>
      <w:bookmarkStart w:id="46" w:name="source_Q10"/>
      <w:bookmarkEnd w:id="46"/>
      <w:r>
        <w:rPr>
          <w:b/>
        </w:rPr>
        <w:t xml:space="preserve">[Q10] Grundler, A.; Dazer, M.; Herzig, T. </w:t>
      </w:r>
      <w:r>
        <w:t>Statistical Power Analysis in Reliability Demonstration Testing The Probability of Test Success. Applied Sciences 12, 6190, 2022; DOI 10.3390/app12126190.</w:t>
      </w:r>
    </w:p>
    <w:p>
      <w:pPr>
        <w:pStyle w:val="Caption"/>
        <w:keepNext/>
      </w:pPr>
      <w:r>
        <w:t>Autorenvolltext in der Deutschen Nationalbibliothek, Abstract und Methodenüberblick ausgewertet.</w:t>
      </w:r>
    </w:p>
    <w:p>
      <w:pPr>
        <w:spacing w:after="200"/>
      </w:pPr>
      <w:hyperlink r:id="rId28">
        <w:r>
          <w:rPr>
            <w:color w:val="18364A"/>
          </w:rPr>
          <w:t xml:space="preserve">Quelle öffnen</w:t>
        </w:r>
      </w:hyperlink>
    </w:p>
    <w:p>
      <w:pPr>
        <w:keepNext/>
      </w:pPr>
      <w:bookmarkStart w:id="47" w:name="source_Q11"/>
      <w:bookmarkEnd w:id="47"/>
      <w:r>
        <w:rPr>
          <w:b/>
        </w:rPr>
        <w:t xml:space="preserve">[Q11] Meeker, W. Q.; Escobar, L. A.; Pascual, F. G.; Hong, Y.; Liu, P.; Falk, W. M.; Ananthasayanam, B. </w:t>
      </w:r>
      <w:r>
        <w:t>Modern Statistical Models and Methods for Estimating Fatigue-Life and Fatigue-Strength Distributions from Experimental Data. Autorenfassung arXiv:2212.04550, Version 3, 2024; Zeitschriftennachweis Statistical Science 41(1), 1–27, 2026, DOI 10.1214/24-STS933.</w:t>
      </w:r>
    </w:p>
    <w:p>
      <w:pPr>
        <w:pStyle w:val="Caption"/>
        <w:keepNext/>
      </w:pPr>
      <w:r>
        <w:t>Autorenfassung und Abstract ausgewertet; keine eigenständige Norm.</w:t>
      </w:r>
    </w:p>
    <w:p>
      <w:pPr>
        <w:spacing w:after="200"/>
      </w:pPr>
      <w:hyperlink r:id="rId29">
        <w:r>
          <w:rPr>
            <w:color w:val="18364A"/>
          </w:rPr>
          <w:t xml:space="preserve">Quelle öffnen</w:t>
        </w:r>
      </w:hyperlink>
    </w:p>
    <w:p>
      <w:pPr>
        <w:keepNext/>
      </w:pPr>
      <w:bookmarkStart w:id="48" w:name="source_Q12"/>
      <w:bookmarkEnd w:id="48"/>
      <w:r>
        <w:rPr>
          <w:b/>
        </w:rPr>
        <w:t xml:space="preserve">[Q12] NIST SEMATECH. </w:t>
      </w:r>
      <w:r>
        <w:t>e Handbook of Statistical Methods Assessing Product Reliability. Abschnitt 8, öffentliches Online-Handbuch.</w:t>
      </w:r>
    </w:p>
    <w:p>
      <w:pPr>
        <w:pStyle w:val="Caption"/>
        <w:keepNext/>
      </w:pPr>
      <w:r>
        <w:t>Testplanung; ergänzend https://www.itl.nist.gov/div898/handbook/apr/section3/apr312.htm zu Weibull- und Lognormaltests.</w:t>
      </w:r>
    </w:p>
    <w:p>
      <w:pPr>
        <w:spacing w:after="200"/>
      </w:pPr>
      <w:hyperlink r:id="rId30">
        <w:r>
          <w:rPr>
            <w:color w:val="18364A"/>
          </w:rPr>
          <w:t xml:space="preserve">Quelle öffnen</w:t>
        </w:r>
      </w:hyperlink>
    </w:p>
    <w:p>
      <w:pPr>
        <w:pStyle w:val="Heading2"/>
      </w:pPr>
      <w:r>
        <w:t>Öffentliche statistische Methodenabschnitte</w:t>
      </w:r>
    </w:p>
    <w:p>
      <w:pPr>
        <w:keepNext/>
      </w:pPr>
      <w:bookmarkStart w:id="49" w:name="source_Q13"/>
      <w:bookmarkEnd w:id="49"/>
      <w:r>
        <w:rPr>
          <w:b/>
        </w:rPr>
        <w:t xml:space="preserve">[Q13] NIST/SEMATECH. </w:t>
      </w:r>
      <w:r>
        <w:t>Failure or hazard rate. e-Handbook of Statistical Methods, Abschnitt 8.</w:t>
      </w:r>
    </w:p>
    <w:p>
      <w:pPr>
        <w:pStyle w:val="Caption"/>
        <w:keepNext/>
      </w:pPr>
      <w:r>
        <w:t>Öffentlicher Methodenabschnitt; Recherche 08.10.2026.</w:t>
      </w:r>
    </w:p>
    <w:p>
      <w:pPr>
        <w:spacing w:after="200"/>
      </w:pPr>
      <w:hyperlink r:id="rId31">
        <w:r>
          <w:rPr>
            <w:color w:val="18364A"/>
          </w:rPr>
          <w:t xml:space="preserve">Quelle öffnen</w:t>
        </w:r>
      </w:hyperlink>
    </w:p>
    <w:p>
      <w:pPr>
        <w:keepNext/>
      </w:pPr>
      <w:bookmarkStart w:id="50" w:name="source_Q14"/>
      <w:bookmarkEnd w:id="50"/>
      <w:r>
        <w:rPr>
          <w:b/>
        </w:rPr>
        <w:t xml:space="preserve">[Q14] NIST/SEMATECH. </w:t>
      </w:r>
      <w:r>
        <w:t>Exponential lifetime distribution. e-Handbook of Statistical Methods, Abschnitt 8.</w:t>
      </w:r>
    </w:p>
    <w:p>
      <w:pPr>
        <w:pStyle w:val="Caption"/>
        <w:keepNext/>
      </w:pPr>
      <w:r>
        <w:t>Öffentlicher Methodenabschnitt; Recherche 08.10.2026.</w:t>
      </w:r>
    </w:p>
    <w:p>
      <w:pPr>
        <w:spacing w:after="200"/>
      </w:pPr>
      <w:hyperlink r:id="rId32">
        <w:r>
          <w:rPr>
            <w:color w:val="18364A"/>
          </w:rPr>
          <w:t xml:space="preserve">Quelle öffnen</w:t>
        </w:r>
      </w:hyperlink>
    </w:p>
    <w:p>
      <w:pPr>
        <w:keepNext/>
      </w:pPr>
      <w:bookmarkStart w:id="51" w:name="source_Q15"/>
      <w:bookmarkEnd w:id="51"/>
      <w:r>
        <w:rPr>
          <w:b/>
        </w:rPr>
        <w:t xml:space="preserve">[Q15] NIST/SEMATECH. </w:t>
      </w:r>
      <w:r>
        <w:t>Life distribution models based on failure mode. e-Handbook of Statistical Methods, Abschnitt 8.</w:t>
      </w:r>
    </w:p>
    <w:p>
      <w:pPr>
        <w:pStyle w:val="Caption"/>
        <w:keepNext/>
      </w:pPr>
      <w:r>
        <w:t>Öffentlicher Methodenabschnitt; Recherche 08.10.2026.</w:t>
      </w:r>
    </w:p>
    <w:p>
      <w:pPr>
        <w:spacing w:after="200"/>
      </w:pPr>
      <w:hyperlink r:id="rId33">
        <w:r>
          <w:rPr>
            <w:color w:val="18364A"/>
          </w:rPr>
          <w:t xml:space="preserve">Quelle öffnen</w:t>
        </w:r>
      </w:hyperlink>
    </w:p>
    <w:p>
      <w:pPr>
        <w:keepNext/>
      </w:pPr>
      <w:bookmarkStart w:id="52" w:name="source_Q16"/>
      <w:bookmarkEnd w:id="52"/>
      <w:r>
        <w:rPr>
          <w:b/>
        </w:rPr>
        <w:t xml:space="preserve">[Q16] NIST/SEMATECH. </w:t>
      </w:r>
      <w:r>
        <w:t>Exponential life distribution or HPP model tests. e-Handbook of Statistical Methods, Abschnitt 8.</w:t>
      </w:r>
    </w:p>
    <w:p>
      <w:pPr>
        <w:pStyle w:val="Caption"/>
        <w:keepNext/>
      </w:pPr>
      <w:r>
        <w:t>Öffentlicher Methodenabschnitt; Recherche 08.10.2026.</w:t>
      </w:r>
    </w:p>
    <w:p>
      <w:pPr>
        <w:spacing w:after="200"/>
      </w:pPr>
      <w:hyperlink r:id="rId34">
        <w:r>
          <w:rPr>
            <w:color w:val="18364A"/>
          </w:rPr>
          <w:t xml:space="preserve">Quelle öffnen</w:t>
        </w:r>
      </w:hyperlink>
    </w:p>
    <w:p>
      <w:pPr>
        <w:keepNext/>
      </w:pPr>
      <w:bookmarkStart w:id="53" w:name="source_Q17"/>
      <w:bookmarkEnd w:id="53"/>
      <w:r>
        <w:rPr>
          <w:b/>
        </w:rPr>
        <w:t xml:space="preserve">[Q17] NIST/SEMATECH. </w:t>
      </w:r>
      <w:r>
        <w:t>Weibull lifetime distribution. e-Handbook of Statistical Methods, Abschnitt 8.</w:t>
      </w:r>
    </w:p>
    <w:p>
      <w:pPr>
        <w:pStyle w:val="Caption"/>
        <w:keepNext/>
      </w:pPr>
      <w:r>
        <w:t>Öffentlicher Methodenabschnitt; Recherche 08.10.2026.</w:t>
      </w:r>
    </w:p>
    <w:p>
      <w:pPr>
        <w:spacing w:after="200"/>
      </w:pPr>
      <w:hyperlink r:id="rId35">
        <w:r>
          <w:rPr>
            <w:color w:val="18364A"/>
          </w:rPr>
          <w:t xml:space="preserve">Quelle öffnen</w:t>
        </w:r>
      </w:hyperlink>
    </w:p>
    <w:p>
      <w:pPr>
        <w:keepNext/>
      </w:pPr>
      <w:bookmarkStart w:id="54" w:name="source_Q18"/>
      <w:bookmarkEnd w:id="54"/>
      <w:r>
        <w:rPr>
          <w:b/>
        </w:rPr>
        <w:t xml:space="preserve">[Q18] NIST/SEMATECH. </w:t>
      </w:r>
      <w:r>
        <w:t>Censoring. e-Handbook of Statistical Methods, Abschnitt 8.</w:t>
      </w:r>
    </w:p>
    <w:p>
      <w:pPr>
        <w:pStyle w:val="Caption"/>
        <w:keepNext/>
      </w:pPr>
      <w:r>
        <w:t>Öffentlicher Methodenabschnitt; Recherche 08.10.2026.</w:t>
      </w:r>
    </w:p>
    <w:p>
      <w:pPr>
        <w:spacing w:after="200"/>
      </w:pPr>
      <w:hyperlink r:id="rId36">
        <w:r>
          <w:rPr>
            <w:color w:val="18364A"/>
          </w:rPr>
          <w:t xml:space="preserve">Quelle öffnen</w:t>
        </w:r>
      </w:hyperlink>
    </w:p>
    <w:p>
      <w:pPr>
        <w:keepNext/>
      </w:pPr>
      <w:bookmarkStart w:id="55" w:name="source_Q19"/>
      <w:bookmarkEnd w:id="55"/>
      <w:r>
        <w:rPr>
          <w:b/>
        </w:rPr>
        <w:t xml:space="preserve">[Q19] NIST/SEMATECH. </w:t>
      </w:r>
      <w:r>
        <w:t>Accelerated life tests. e-Handbook of Statistical Methods, Abschnitt 8.</w:t>
      </w:r>
    </w:p>
    <w:p>
      <w:pPr>
        <w:pStyle w:val="Caption"/>
        <w:keepNext/>
      </w:pPr>
      <w:r>
        <w:t>Öffentlicher Methodenabschnitt; Recherche 08.10.2026.</w:t>
      </w:r>
    </w:p>
    <w:p>
      <w:pPr>
        <w:spacing w:after="200"/>
      </w:pPr>
      <w:hyperlink r:id="rId37">
        <w:r>
          <w:rPr>
            <w:color w:val="18364A"/>
          </w:rPr>
          <w:t xml:space="preserve">Quelle öffnen</w:t>
        </w:r>
      </w:hyperlink>
    </w:p>
    <w:p>
      <w:pPr>
        <w:keepNext/>
      </w:pPr>
      <w:bookmarkStart w:id="56" w:name="source_Q20"/>
      <w:bookmarkEnd w:id="56"/>
      <w:r>
        <w:rPr>
          <w:b/>
        </w:rPr>
        <w:t xml:space="preserve">[Q20] NIST/SEMATECH. </w:t>
      </w:r>
      <w:r>
        <w:t>Arrhenius acceleration model. e-Handbook of Statistical Methods, Abschnitt 8.</w:t>
      </w:r>
    </w:p>
    <w:p>
      <w:pPr>
        <w:pStyle w:val="Caption"/>
        <w:keepNext/>
      </w:pPr>
      <w:r>
        <w:t>Öffentlicher Methodenabschnitt; Recherche 08.10.2026.</w:t>
      </w:r>
    </w:p>
    <w:p>
      <w:pPr>
        <w:spacing w:after="200"/>
      </w:pPr>
      <w:hyperlink r:id="rId38">
        <w:r>
          <w:rPr>
            <w:color w:val="18364A"/>
          </w:rPr>
          <w:t xml:space="preserve">Quelle öffnen</w:t>
        </w:r>
      </w:hyperlink>
    </w:p>
    <w:p>
      <w:pPr>
        <w:keepNext/>
      </w:pPr>
      <w:bookmarkStart w:id="57" w:name="source_Q21"/>
      <w:bookmarkEnd w:id="57"/>
      <w:r>
        <w:rPr>
          <w:b/>
        </w:rPr>
        <w:t xml:space="preserve">[Q21] NIST/SEMATECH. </w:t>
      </w:r>
      <w:r>
        <w:t>Graphical estimation and limitations. e-Handbook of Statistical Methods, Abschnitt 8.</w:t>
      </w:r>
    </w:p>
    <w:p>
      <w:pPr>
        <w:pStyle w:val="Caption"/>
        <w:keepNext/>
      </w:pPr>
      <w:r>
        <w:t>Öffentlicher Methodenabschnitt; Recherche 08.10.2026.</w:t>
      </w:r>
    </w:p>
    <w:p>
      <w:pPr>
        <w:spacing w:after="200"/>
      </w:pPr>
      <w:hyperlink r:id="rId39">
        <w:r>
          <w:rPr>
            <w:color w:val="18364A"/>
          </w:rPr>
          <w:t xml:space="preserve">Quelle öffnen</w:t>
        </w:r>
      </w:hyperlink>
    </w:p>
    <w:p>
      <w:pPr>
        <w:keepNext/>
      </w:pPr>
      <w:bookmarkStart w:id="58" w:name="source_Q22"/>
      <w:bookmarkEnd w:id="58"/>
      <w:r>
        <w:rPr>
          <w:b/>
        </w:rPr>
        <w:t xml:space="preserve">[Q22] SEBoK Editorial Board. </w:t>
      </w:r>
      <w:r>
        <w:t>Systems of Systems. Öffentlicher Fachabschnitt.</w:t>
      </w:r>
    </w:p>
    <w:p>
      <w:pPr>
        <w:pStyle w:val="Caption"/>
        <w:keepNext/>
      </w:pPr>
      <w:r>
        <w:t>Öffentlicher Fachabschnitt eingesehen 09.10.2026; SoS Merkmale und Grenzen der Einordnung.</w:t>
      </w:r>
    </w:p>
    <w:p>
      <w:pPr>
        <w:spacing w:after="200"/>
      </w:pPr>
      <w:hyperlink r:id="rId40">
        <w:r>
          <w:rPr>
            <w:color w:val="18364A"/>
          </w:rPr>
          <w:t xml:space="preserve">Quelle öffnen</w:t>
        </w:r>
      </w:hyperlink>
    </w:p>
    <w:p>
      <w:pPr>
        <w:keepNext/>
      </w:pPr>
      <w:bookmarkStart w:id="59" w:name="source_Q23"/>
      <w:bookmarkEnd w:id="59"/>
      <w:r>
        <w:rPr>
          <w:b/>
        </w:rPr>
        <w:t xml:space="preserve">[Q23] Leveson N G und Thomas J P. </w:t>
      </w:r>
      <w:r>
        <w:t>STPA Handbook. MIT STAMP 001 März 2018.</w:t>
      </w:r>
    </w:p>
    <w:p>
      <w:pPr>
        <w:pStyle w:val="Caption"/>
        <w:keepNext/>
      </w:pPr>
      <w:r>
        <w:t>Öffentlicher Volltext verfügbar; relevante Grundlagen und Methodendarstellung eingesehen 09.10.2026.</w:t>
      </w:r>
    </w:p>
    <w:p>
      <w:pPr>
        <w:spacing w:after="200"/>
      </w:pPr>
      <w:hyperlink r:id="rId41">
        <w:r>
          <w:rPr>
            <w:color w:val="18364A"/>
          </w:rPr>
          <w:t xml:space="preserve">Quelle öffnen</w:t>
        </w:r>
      </w:hyperlink>
    </w:p>
    <w:p>
      <w:pPr>
        <w:keepNext/>
      </w:pPr>
      <w:bookmarkStart w:id="60" w:name="source_Q24"/>
      <w:bookmarkEnd w:id="60"/>
      <w:r>
        <w:rPr>
          <w:b/>
        </w:rPr>
        <w:t xml:space="preserve">[Q24] NIST. </w:t>
      </w:r>
      <w:r>
        <w:t>Exact Binomial Confidence Limits. Dataplot Referenz.</w:t>
      </w:r>
    </w:p>
    <w:p>
      <w:pPr>
        <w:pStyle w:val="Caption"/>
        <w:keepNext/>
      </w:pPr>
      <w:r>
        <w:t>Öffentlicher Methodenabschnitt eingesehen 09.10.2026.</w:t>
      </w:r>
    </w:p>
    <w:p>
      <w:pPr>
        <w:spacing w:after="200"/>
      </w:pPr>
      <w:hyperlink r:id="rId42">
        <w:r>
          <w:rPr>
            <w:color w:val="18364A"/>
          </w:rPr>
          <w:t xml:space="preserve">Quelle öffnen</w:t>
        </w:r>
      </w:hyperlink>
    </w:p>
    <w:p>
      <w:pPr>
        <w:keepNext/>
      </w:pPr>
      <w:bookmarkStart w:id="61" w:name="source_Q25"/>
      <w:bookmarkEnd w:id="61"/>
      <w:r>
        <w:rPr>
          <w:b/>
        </w:rPr>
        <w:t xml:space="preserve">[Q25] NIST SEMATECH. </w:t>
      </w:r>
      <w:r>
        <w:t>Constant repair rate HPP exponential model. e Handbook Abschnitt 8.4.5.1.</w:t>
      </w:r>
    </w:p>
    <w:p>
      <w:pPr>
        <w:pStyle w:val="Caption"/>
        <w:keepNext/>
      </w:pPr>
      <w:r>
        <w:t>Öffentlicher Methodenabschnitt eingesehen 09.10.2026; Konfidenzrichtung und Prüfschema beachten.</w:t>
      </w:r>
    </w:p>
    <w:p>
      <w:pPr>
        <w:spacing w:after="200"/>
      </w:pPr>
      <w:hyperlink r:id="rId43">
        <w:r>
          <w:rPr>
            <w:color w:val="18364A"/>
          </w:rPr>
          <w:t xml:space="preserve">Quelle öffnen</w:t>
        </w:r>
      </w:hyperlink>
    </w:p>
    <w:p>
      <w:pPr>
        <w:keepNext/>
      </w:pPr>
      <w:bookmarkStart w:id="62" w:name="source_Q27"/>
      <w:bookmarkEnd w:id="62"/>
      <w:r>
        <w:rPr>
          <w:b/>
        </w:rPr>
        <w:t xml:space="preserve">[Q27] Nelson W B. </w:t>
      </w:r>
      <w:r>
        <w:t>Recurrent Events Data Analysis for Product Repairs Disease Recurrences and Other Applications. ASA SIAM 2003.</w:t>
      </w:r>
    </w:p>
    <w:p>
      <w:pPr>
        <w:pStyle w:val="Caption"/>
        <w:keepNext/>
      </w:pPr>
      <w:r>
        <w:t>Öffentliche Verlagsbeschreibung und Kapitelübersicht eingesehen 09.10.2026; Buchvolltext nicht eingesehen.</w:t>
      </w:r>
    </w:p>
    <w:p>
      <w:pPr>
        <w:spacing w:after="200"/>
      </w:pPr>
      <w:hyperlink r:id="rId44">
        <w:r>
          <w:rPr>
            <w:color w:val="18364A"/>
          </w:rPr>
          <w:t xml:space="preserve">Quelle öffnen</w:t>
        </w:r>
      </w:hyperlink>
    </w:p>
    <w:p>
      <w:pPr>
        <w:keepNext/>
      </w:pPr>
      <w:bookmarkStart w:id="63" w:name="source_Q28"/>
      <w:bookmarkEnd w:id="63"/>
      <w:r>
        <w:rPr>
          <w:b/>
        </w:rPr>
        <w:t xml:space="preserve">[Q28] NIST SEMATECH. </w:t>
      </w:r>
      <w:r>
        <w:t>Power law Duane model. e Handbook Abschnitt 8.4.5.2.</w:t>
      </w:r>
    </w:p>
    <w:p>
      <w:pPr>
        <w:pStyle w:val="Caption"/>
        <w:keepNext/>
      </w:pPr>
      <w:r>
        <w:t>Öffentlicher Methodenabschnitt eingesehen 09.10.2026; Wachstumsexponente je Parametrisierung unterscheiden.</w:t>
      </w:r>
    </w:p>
    <w:p>
      <w:pPr>
        <w:spacing w:after="200"/>
      </w:pPr>
      <w:hyperlink r:id="rId45">
        <w:r>
          <w:rPr>
            <w:color w:val="18364A"/>
          </w:rPr>
          <w:t xml:space="preserve">Quelle öffnen</w:t>
        </w:r>
      </w:hyperlink>
    </w:p>
    <w:p>
      <w:pPr>
        <w:pStyle w:val="Heading2"/>
      </w:pPr>
      <w:r>
        <w:t>Normen und Standards</w:t>
      </w:r>
    </w:p>
    <w:p>
      <w:pPr>
        <w:keepNext/>
      </w:pPr>
      <w:bookmarkStart w:id="64" w:name="source_N01"/>
      <w:bookmarkEnd w:id="64"/>
      <w:r>
        <w:rPr>
          <w:b/>
        </w:rPr>
        <w:t xml:space="preserve">[N01] IEC. </w:t>
      </w:r>
      <w:r>
        <w:t>IEC 60050-192. 2015; Dependability terminology, Änderungen vor normativer Anwendung prüfen.</w:t>
      </w:r>
    </w:p>
    <w:p>
      <w:pPr>
        <w:pStyle w:val="Caption"/>
        <w:keepNext/>
      </w:pPr>
      <w:r>
        <w:t>Offizielle Katalogbeschreibung; Terminologiegrundlage.</w:t>
      </w:r>
    </w:p>
    <w:p>
      <w:pPr>
        <w:spacing w:after="200"/>
      </w:pPr>
      <w:hyperlink r:id="rId46">
        <w:r>
          <w:rPr>
            <w:color w:val="18364A"/>
          </w:rPr>
          <w:t xml:space="preserve">Quelle öffnen</w:t>
        </w:r>
      </w:hyperlink>
    </w:p>
    <w:p>
      <w:pPr>
        <w:keepNext/>
      </w:pPr>
      <w:bookmarkStart w:id="65" w:name="source_N02"/>
      <w:bookmarkEnd w:id="65"/>
      <w:r>
        <w:rPr>
          <w:b/>
        </w:rPr>
        <w:t xml:space="preserve">[N02] IEC. </w:t>
      </w:r>
      <w:r>
        <w:t>IEC 60300-1. 2024; Dependability management Part 1 Managing dependability.</w:t>
      </w:r>
    </w:p>
    <w:p>
      <w:pPr>
        <w:pStyle w:val="Caption"/>
        <w:keepNext/>
      </w:pPr>
      <w:r>
        <w:t>Offizielle Katalogbeschreibung; Management und Lebenszyklus.</w:t>
      </w:r>
    </w:p>
    <w:p>
      <w:pPr>
        <w:spacing w:after="200"/>
      </w:pPr>
      <w:hyperlink r:id="rId47">
        <w:r>
          <w:rPr>
            <w:color w:val="18364A"/>
          </w:rPr>
          <w:t xml:space="preserve">Quelle öffnen</w:t>
        </w:r>
      </w:hyperlink>
    </w:p>
    <w:p>
      <w:pPr>
        <w:keepNext/>
      </w:pPr>
      <w:bookmarkStart w:id="66" w:name="source_N03"/>
      <w:bookmarkEnd w:id="66"/>
      <w:r>
        <w:rPr>
          <w:b/>
        </w:rPr>
        <w:t xml:space="preserve">[N03] IEC. </w:t>
      </w:r>
      <w:r>
        <w:t>IEC 60300-3-4. 2022; Specification of dependability requirements.</w:t>
      </w:r>
    </w:p>
    <w:p>
      <w:pPr>
        <w:pStyle w:val="Caption"/>
        <w:keepNext/>
      </w:pPr>
      <w:r>
        <w:t>Offizielle Katalogbeschreibung; Anforderungen zwischen Beschaffer und Lieferant.</w:t>
      </w:r>
    </w:p>
    <w:p>
      <w:pPr>
        <w:spacing w:after="200"/>
      </w:pPr>
      <w:hyperlink r:id="rId48">
        <w:r>
          <w:rPr>
            <w:color w:val="18364A"/>
          </w:rPr>
          <w:t xml:space="preserve">Quelle öffnen</w:t>
        </w:r>
      </w:hyperlink>
    </w:p>
    <w:p>
      <w:pPr>
        <w:keepNext/>
      </w:pPr>
      <w:bookmarkStart w:id="67" w:name="source_N04"/>
      <w:bookmarkEnd w:id="67"/>
      <w:r>
        <w:rPr>
          <w:b/>
        </w:rPr>
        <w:t xml:space="preserve">[N04] ISO IEC IEEE. </w:t>
      </w:r>
      <w:r>
        <w:t>ISO/IEC/IEEE 15288. 2023; Systems and software engineering System life cycle processes.</w:t>
      </w:r>
    </w:p>
    <w:p>
      <w:pPr>
        <w:pStyle w:val="Caption"/>
        <w:keepNext/>
      </w:pPr>
      <w:r>
        <w:t>Offizielle Katalogbeschreibung; iterative und rekursive Lebenszyklusprozesse.</w:t>
      </w:r>
    </w:p>
    <w:p>
      <w:pPr>
        <w:spacing w:after="200"/>
      </w:pPr>
      <w:hyperlink r:id="rId49">
        <w:r>
          <w:rPr>
            <w:color w:val="18364A"/>
          </w:rPr>
          <w:t xml:space="preserve">Quelle öffnen</w:t>
        </w:r>
      </w:hyperlink>
    </w:p>
    <w:p>
      <w:pPr>
        <w:keepNext/>
      </w:pPr>
      <w:bookmarkStart w:id="68" w:name="source_N05"/>
      <w:bookmarkEnd w:id="68"/>
      <w:r>
        <w:rPr>
          <w:b/>
        </w:rPr>
        <w:t xml:space="preserve">[N05] IEC. </w:t>
      </w:r>
      <w:r>
        <w:t>IEC 60812. 2018; Failure modes and effects analysis FMEA and FMECA.</w:t>
      </w:r>
    </w:p>
    <w:p>
      <w:pPr>
        <w:pStyle w:val="Caption"/>
        <w:keepNext/>
      </w:pPr>
      <w:r>
        <w:t>Offizielle Katalogbeschreibung; Planung, Durchführung, Dokumentation und Pflege.</w:t>
      </w:r>
    </w:p>
    <w:p>
      <w:pPr>
        <w:spacing w:after="200"/>
      </w:pPr>
      <w:hyperlink r:id="rId50">
        <w:r>
          <w:rPr>
            <w:color w:val="18364A"/>
          </w:rPr>
          <w:t xml:space="preserve">Quelle öffnen</w:t>
        </w:r>
      </w:hyperlink>
    </w:p>
    <w:p>
      <w:pPr>
        <w:keepNext/>
      </w:pPr>
      <w:bookmarkStart w:id="69" w:name="source_N06"/>
      <w:bookmarkEnd w:id="69"/>
      <w:r>
        <w:rPr>
          <w:b/>
        </w:rPr>
        <w:t xml:space="preserve">[N06] IEC. </w:t>
      </w:r>
      <w:r>
        <w:t>IEC 61025. 2006; Fault tree analysis FTA.</w:t>
      </w:r>
    </w:p>
    <w:p>
      <w:pPr>
        <w:pStyle w:val="Caption"/>
        <w:keepNext/>
      </w:pPr>
      <w:r>
        <w:t>Offizielle Katalogbeschreibung; Fehlerbaumanalyse.</w:t>
      </w:r>
    </w:p>
    <w:p>
      <w:pPr>
        <w:spacing w:after="200"/>
      </w:pPr>
      <w:hyperlink r:id="rId51">
        <w:r>
          <w:rPr>
            <w:color w:val="18364A"/>
          </w:rPr>
          <w:t xml:space="preserve">Quelle öffnen</w:t>
        </w:r>
      </w:hyperlink>
    </w:p>
    <w:p>
      <w:pPr>
        <w:keepNext/>
      </w:pPr>
      <w:bookmarkStart w:id="70" w:name="source_N07"/>
      <w:bookmarkEnd w:id="70"/>
      <w:r>
        <w:rPr>
          <w:b/>
        </w:rPr>
        <w:t xml:space="preserve">[N07] IEC. </w:t>
      </w:r>
      <w:r>
        <w:t>IEC 61078. 2016; Reliability block diagrams.</w:t>
      </w:r>
    </w:p>
    <w:p>
      <w:pPr>
        <w:pStyle w:val="Caption"/>
        <w:keepNext/>
      </w:pPr>
      <w:r>
        <w:t>Offizielle Katalogbeschreibung; qualitative und quantitative RBD-Analyse.</w:t>
      </w:r>
    </w:p>
    <w:p>
      <w:pPr>
        <w:spacing w:after="200"/>
      </w:pPr>
      <w:hyperlink r:id="rId52">
        <w:r>
          <w:rPr>
            <w:color w:val="18364A"/>
          </w:rPr>
          <w:t xml:space="preserve">Quelle öffnen</w:t>
        </w:r>
      </w:hyperlink>
    </w:p>
    <w:p>
      <w:pPr>
        <w:keepNext/>
      </w:pPr>
      <w:bookmarkStart w:id="71" w:name="source_N08"/>
      <w:bookmarkEnd w:id="71"/>
      <w:r>
        <w:rPr>
          <w:b/>
        </w:rPr>
        <w:t xml:space="preserve">[N08] IEC. </w:t>
      </w:r>
      <w:r>
        <w:t>IEC 61123. 2019; Reliability testing Compliance test plans for success ratio.</w:t>
      </w:r>
    </w:p>
    <w:p>
      <w:pPr>
        <w:pStyle w:val="Caption"/>
        <w:keepNext/>
      </w:pPr>
      <w:r>
        <w:t>Offizielle Katalogbeschreibung; Erfolgsanteile, unabhängige Versuche und Prüfpläne.</w:t>
      </w:r>
    </w:p>
    <w:p>
      <w:pPr>
        <w:spacing w:after="200"/>
      </w:pPr>
      <w:hyperlink r:id="rId53">
        <w:r>
          <w:rPr>
            <w:color w:val="18364A"/>
          </w:rPr>
          <w:t xml:space="preserve">Quelle öffnen</w:t>
        </w:r>
      </w:hyperlink>
    </w:p>
    <w:p>
      <w:pPr>
        <w:keepNext/>
      </w:pPr>
      <w:bookmarkStart w:id="72" w:name="source_N09"/>
      <w:bookmarkEnd w:id="72"/>
      <w:r>
        <w:rPr>
          <w:b/>
        </w:rPr>
        <w:t xml:space="preserve">[N09] IEC. </w:t>
      </w:r>
      <w:r>
        <w:t>IEC 61124. 2023; Reliability testing Compliance tests for constant failure rate and constant failure intensity.</w:t>
      </w:r>
    </w:p>
    <w:p>
      <w:pPr>
        <w:pStyle w:val="Caption"/>
        <w:keepNext/>
      </w:pPr>
      <w:r>
        <w:t>Offizielle Katalogbeschreibung; konstante Rate beziehungsweise Intensität als Modellannahme.</w:t>
      </w:r>
    </w:p>
    <w:p>
      <w:pPr>
        <w:spacing w:after="200"/>
      </w:pPr>
      <w:hyperlink r:id="rId54">
        <w:r>
          <w:rPr>
            <w:color w:val="18364A"/>
          </w:rPr>
          <w:t xml:space="preserve">Quelle öffnen</w:t>
        </w:r>
      </w:hyperlink>
    </w:p>
    <w:p>
      <w:pPr>
        <w:keepNext/>
      </w:pPr>
      <w:bookmarkStart w:id="73" w:name="source_N10"/>
      <w:bookmarkEnd w:id="73"/>
      <w:r>
        <w:rPr>
          <w:b/>
        </w:rPr>
        <w:t xml:space="preserve">[N10] IEC. </w:t>
      </w:r>
      <w:r>
        <w:t>IEC 61649. 2008; Weibull analysis.</w:t>
      </w:r>
    </w:p>
    <w:p>
      <w:pPr>
        <w:pStyle w:val="Caption"/>
        <w:keepNext/>
      </w:pPr>
      <w:r>
        <w:t>Offizielle Katalogbeschreibung; Daten aus Prüfungen und Betrieb.</w:t>
      </w:r>
    </w:p>
    <w:p>
      <w:pPr>
        <w:spacing w:after="200"/>
      </w:pPr>
      <w:hyperlink r:id="rId55">
        <w:r>
          <w:rPr>
            <w:color w:val="18364A"/>
          </w:rPr>
          <w:t xml:space="preserve">Quelle öffnen</w:t>
        </w:r>
      </w:hyperlink>
    </w:p>
    <w:p>
      <w:pPr>
        <w:keepNext/>
      </w:pPr>
      <w:bookmarkStart w:id="74" w:name="source_N11"/>
      <w:bookmarkEnd w:id="74"/>
      <w:r>
        <w:rPr>
          <w:b/>
        </w:rPr>
        <w:t xml:space="preserve">[N11] IEC. </w:t>
      </w:r>
      <w:r>
        <w:t>IEC 62506. 2023; Methods for product accelerated testing.</w:t>
      </w:r>
    </w:p>
    <w:p>
      <w:pPr>
        <w:pStyle w:val="Caption"/>
        <w:keepNext/>
      </w:pPr>
      <w:r>
        <w:t>Offizielle Katalogbeschreibung; beschleunigte Tests und Screening.</w:t>
      </w:r>
    </w:p>
    <w:p>
      <w:pPr>
        <w:spacing w:after="200"/>
      </w:pPr>
      <w:hyperlink r:id="rId56">
        <w:r>
          <w:rPr>
            <w:color w:val="18364A"/>
          </w:rPr>
          <w:t xml:space="preserve">Quelle öffnen</w:t>
        </w:r>
      </w:hyperlink>
    </w:p>
    <w:p>
      <w:pPr>
        <w:keepNext/>
      </w:pPr>
      <w:bookmarkStart w:id="75" w:name="source_N12"/>
      <w:bookmarkEnd w:id="75"/>
      <w:r>
        <w:rPr>
          <w:b/>
        </w:rPr>
        <w:t xml:space="preserve">[N12] IEC. </w:t>
      </w:r>
      <w:r>
        <w:t>IEC 60068-1. 2013; Environmental testing General and guidance.</w:t>
      </w:r>
    </w:p>
    <w:p>
      <w:pPr>
        <w:pStyle w:val="Caption"/>
        <w:keepNext/>
      </w:pPr>
      <w:r>
        <w:t>Offizielle Katalogbeschreibung; Tailoring von Umweltprüfungen.</w:t>
      </w:r>
    </w:p>
    <w:p>
      <w:pPr>
        <w:spacing w:after="200"/>
      </w:pPr>
      <w:hyperlink r:id="rId57">
        <w:r>
          <w:rPr>
            <w:color w:val="18364A"/>
          </w:rPr>
          <w:t xml:space="preserve">Quelle öffnen</w:t>
        </w:r>
      </w:hyperlink>
    </w:p>
    <w:p>
      <w:pPr>
        <w:keepNext/>
      </w:pPr>
      <w:bookmarkStart w:id="76" w:name="source_N13"/>
      <w:bookmarkEnd w:id="76"/>
      <w:r>
        <w:rPr>
          <w:b/>
        </w:rPr>
        <w:t xml:space="preserve">[N13] IEC. </w:t>
      </w:r>
      <w:r>
        <w:t>IEC 60068-2-14. 2023; Test N Change of temperature.</w:t>
      </w:r>
    </w:p>
    <w:p>
      <w:pPr>
        <w:pStyle w:val="Caption"/>
        <w:keepNext/>
      </w:pPr>
      <w:r>
        <w:t>Offizielle Katalogbeschreibung; Temperaturwechsel.</w:t>
      </w:r>
    </w:p>
    <w:p>
      <w:pPr>
        <w:spacing w:after="200"/>
      </w:pPr>
      <w:hyperlink r:id="rId58">
        <w:r>
          <w:rPr>
            <w:color w:val="18364A"/>
          </w:rPr>
          <w:t xml:space="preserve">Quelle öffnen</w:t>
        </w:r>
      </w:hyperlink>
    </w:p>
    <w:p>
      <w:pPr>
        <w:keepNext/>
      </w:pPr>
      <w:bookmarkStart w:id="77" w:name="source_N14"/>
      <w:bookmarkEnd w:id="77"/>
      <w:r>
        <w:rPr>
          <w:b/>
        </w:rPr>
        <w:t xml:space="preserve">[N14] IEC. </w:t>
      </w:r>
      <w:r>
        <w:t>IEC 60068-2-78. 2025; Test Cab Damp heat steady state.</w:t>
      </w:r>
    </w:p>
    <w:p>
      <w:pPr>
        <w:pStyle w:val="Caption"/>
        <w:keepNext/>
      </w:pPr>
      <w:r>
        <w:t>Offizielle Katalogbeschreibung; konstante feuchte Wärme ohne Kondensation.</w:t>
      </w:r>
    </w:p>
    <w:p>
      <w:pPr>
        <w:spacing w:after="200"/>
      </w:pPr>
      <w:hyperlink r:id="rId59">
        <w:r>
          <w:rPr>
            <w:color w:val="18364A"/>
          </w:rPr>
          <w:t xml:space="preserve">Quelle öffnen</w:t>
        </w:r>
      </w:hyperlink>
    </w:p>
    <w:p>
      <w:pPr>
        <w:keepNext/>
      </w:pPr>
      <w:bookmarkStart w:id="78" w:name="source_N15"/>
      <w:bookmarkEnd w:id="78"/>
      <w:r>
        <w:rPr>
          <w:b/>
        </w:rPr>
        <w:t xml:space="preserve">[N15] IEC. </w:t>
      </w:r>
      <w:r>
        <w:t>IEC 60068-2-6. 2007; Test Fc Vibration sinusoidal.</w:t>
      </w:r>
    </w:p>
    <w:p>
      <w:pPr>
        <w:pStyle w:val="Caption"/>
        <w:keepNext/>
      </w:pPr>
      <w:r>
        <w:t>Offizieller Katalog; Sinusvibration.</w:t>
      </w:r>
    </w:p>
    <w:p>
      <w:pPr>
        <w:spacing w:after="200"/>
      </w:pPr>
      <w:hyperlink r:id="rId60">
        <w:r>
          <w:rPr>
            <w:color w:val="18364A"/>
          </w:rPr>
          <w:t xml:space="preserve">Quelle öffnen</w:t>
        </w:r>
      </w:hyperlink>
    </w:p>
    <w:p>
      <w:pPr>
        <w:keepNext/>
      </w:pPr>
      <w:bookmarkStart w:id="79" w:name="source_N16"/>
      <w:bookmarkEnd w:id="79"/>
      <w:r>
        <w:rPr>
          <w:b/>
        </w:rPr>
        <w:t xml:space="preserve">[N16] IEC. </w:t>
      </w:r>
      <w:r>
        <w:t>IEC 60068-2-27. 2008; Test Ea and guidance Shock.</w:t>
      </w:r>
    </w:p>
    <w:p>
      <w:pPr>
        <w:pStyle w:val="Caption"/>
        <w:keepNext/>
      </w:pPr>
      <w:r>
        <w:t>Offizieller Katalog; mechanischer Schock.</w:t>
      </w:r>
    </w:p>
    <w:p>
      <w:pPr>
        <w:spacing w:after="200"/>
      </w:pPr>
      <w:hyperlink r:id="rId61">
        <w:r>
          <w:rPr>
            <w:color w:val="18364A"/>
          </w:rPr>
          <w:t xml:space="preserve">Quelle öffnen</w:t>
        </w:r>
      </w:hyperlink>
    </w:p>
    <w:p>
      <w:pPr>
        <w:keepNext/>
      </w:pPr>
      <w:bookmarkStart w:id="80" w:name="source_N17"/>
      <w:bookmarkEnd w:id="80"/>
      <w:r>
        <w:rPr>
          <w:b/>
        </w:rPr>
        <w:t xml:space="preserve">[N17] IEC. </w:t>
      </w:r>
      <w:r>
        <w:t>IEC 60721-3-1. 2018 plus COR1 2024; Classification of environmental conditions Storage.</w:t>
      </w:r>
    </w:p>
    <w:p>
      <w:pPr>
        <w:pStyle w:val="Caption"/>
        <w:keepNext/>
      </w:pPr>
      <w:r>
        <w:t>Offizieller Katalog; Lagerbedingungen. Korrektur https://webstore.iec.ch/en/publication/101234.</w:t>
      </w:r>
    </w:p>
    <w:p>
      <w:pPr>
        <w:spacing w:after="200"/>
      </w:pPr>
      <w:hyperlink r:id="rId62">
        <w:r>
          <w:rPr>
            <w:color w:val="18364A"/>
          </w:rPr>
          <w:t xml:space="preserve">Quelle öffnen</w:t>
        </w:r>
      </w:hyperlink>
    </w:p>
    <w:p>
      <w:pPr>
        <w:keepNext/>
      </w:pPr>
      <w:bookmarkStart w:id="81" w:name="source_N18"/>
      <w:bookmarkEnd w:id="81"/>
      <w:r>
        <w:rPr>
          <w:b/>
        </w:rPr>
        <w:t xml:space="preserve">[N18] ISO. </w:t>
      </w:r>
      <w:r>
        <w:t>ISO 14971. 2019; Medical devices Application of risk management to medical devices.</w:t>
      </w:r>
    </w:p>
    <w:p>
      <w:pPr>
        <w:pStyle w:val="Caption"/>
        <w:keepNext/>
      </w:pPr>
      <w:r>
        <w:t>Offizielle Katalogbeschreibung; Risikomanagement über den Lebenszyklus.</w:t>
      </w:r>
    </w:p>
    <w:p>
      <w:pPr>
        <w:spacing w:after="200"/>
      </w:pPr>
      <w:hyperlink r:id="rId63">
        <w:r>
          <w:rPr>
            <w:color w:val="18364A"/>
          </w:rPr>
          <w:t xml:space="preserve">Quelle öffnen</w:t>
        </w:r>
      </w:hyperlink>
    </w:p>
    <w:p>
      <w:pPr>
        <w:keepNext/>
      </w:pPr>
      <w:bookmarkStart w:id="82" w:name="source_N19"/>
      <w:bookmarkEnd w:id="82"/>
      <w:r>
        <w:rPr>
          <w:b/>
        </w:rPr>
        <w:t xml:space="preserve">[N19] IEC. </w:t>
      </w:r>
      <w:r>
        <w:t>IEC 62304. 2006 plus AMD1 2015; Medical device software Software life cycle processes.</w:t>
      </w:r>
    </w:p>
    <w:p>
      <w:pPr>
        <w:pStyle w:val="Caption"/>
        <w:keepNext/>
      </w:pPr>
      <w:r>
        <w:t>Offizielle Katalogbeschreibung; deckt nicht die abschließende Gerätevalidierung und Freigabe ab.</w:t>
      </w:r>
    </w:p>
    <w:p>
      <w:pPr>
        <w:spacing w:after="200"/>
      </w:pPr>
      <w:hyperlink r:id="rId64">
        <w:r>
          <w:rPr>
            <w:color w:val="18364A"/>
          </w:rPr>
          <w:t xml:space="preserve">Quelle öffnen</w:t>
        </w:r>
      </w:hyperlink>
    </w:p>
    <w:p>
      <w:pPr>
        <w:keepNext/>
      </w:pPr>
      <w:bookmarkStart w:id="83" w:name="source_N20"/>
      <w:bookmarkEnd w:id="83"/>
      <w:r>
        <w:rPr>
          <w:b/>
        </w:rPr>
        <w:t xml:space="preserve">[N20] ISO. </w:t>
      </w:r>
      <w:r>
        <w:t>ISO 13485. 2016; Medical devices Quality management systems Requirements for regulatory purposes.</w:t>
      </w:r>
    </w:p>
    <w:p>
      <w:pPr>
        <w:pStyle w:val="Caption"/>
        <w:keepNext/>
      </w:pPr>
      <w:r>
        <w:t>Offizieller Katalog; Kontext des Qualitätsmanagementsystems.</w:t>
      </w:r>
    </w:p>
    <w:p>
      <w:pPr>
        <w:spacing w:after="200"/>
      </w:pPr>
      <w:hyperlink r:id="rId65">
        <w:r>
          <w:rPr>
            <w:color w:val="18364A"/>
          </w:rPr>
          <w:t xml:space="preserve">Quelle öffnen</w:t>
        </w:r>
      </w:hyperlink>
    </w:p>
    <w:p>
      <w:pPr>
        <w:keepNext/>
      </w:pPr>
      <w:bookmarkStart w:id="84" w:name="source_N21"/>
      <w:bookmarkEnd w:id="84"/>
      <w:r>
        <w:rPr>
          <w:b/>
        </w:rPr>
        <w:t xml:space="preserve">[N21] IEC. </w:t>
      </w:r>
      <w:r>
        <w:t>IEC 60601-2-54. 2022; Particular requirements for basic safety and essential performance of X ray equipment for radiography and radioscopy.</w:t>
      </w:r>
    </w:p>
    <w:p>
      <w:pPr>
        <w:pStyle w:val="Caption"/>
        <w:keepNext/>
      </w:pPr>
      <w:r>
        <w:t>Offizieller Katalog; modalitätsspezifischer Kontext, kein pauschaler Lebensdauernachweis.</w:t>
      </w:r>
    </w:p>
    <w:p>
      <w:pPr>
        <w:spacing w:after="200"/>
      </w:pPr>
      <w:hyperlink r:id="rId66">
        <w:r>
          <w:rPr>
            <w:color w:val="18364A"/>
          </w:rPr>
          <w:t xml:space="preserve">Quelle öffnen</w:t>
        </w:r>
      </w:hyperlink>
    </w:p>
    <w:p>
      <w:pPr>
        <w:keepNext/>
      </w:pPr>
      <w:bookmarkStart w:id="85" w:name="source_N22"/>
      <w:bookmarkEnd w:id="85"/>
      <w:r>
        <w:rPr>
          <w:b/>
        </w:rPr>
        <w:t xml:space="preserve">[N22] IEC. </w:t>
      </w:r>
      <w:r>
        <w:t>IEC 60601-1. 2005 mit AMD1 2012 und AMD2 2020.</w:t>
      </w:r>
    </w:p>
    <w:p>
      <w:pPr>
        <w:pStyle w:val="Caption"/>
        <w:keepNext/>
      </w:pPr>
      <w:r>
        <w:t>Nur öffentliche Katalogbeschreibung; Normvolltext nicht eingesehen. Basissicherheit und wesentliche Leistungsmerkmale.</w:t>
      </w:r>
    </w:p>
    <w:p>
      <w:pPr>
        <w:spacing w:after="200"/>
      </w:pPr>
      <w:hyperlink r:id="rId67">
        <w:r>
          <w:rPr>
            <w:color w:val="18364A"/>
          </w:rPr>
          <w:t xml:space="preserve">Quelle öffnen</w:t>
        </w:r>
      </w:hyperlink>
    </w:p>
    <w:p>
      <w:pPr>
        <w:keepNext/>
      </w:pPr>
      <w:bookmarkStart w:id="86" w:name="source_N23"/>
      <w:bookmarkEnd w:id="86"/>
      <w:r>
        <w:rPr>
          <w:b/>
        </w:rPr>
        <w:t xml:space="preserve">[N23] IEC. </w:t>
      </w:r>
      <w:r>
        <w:t>IEC 80001-1. 2021.</w:t>
      </w:r>
    </w:p>
    <w:p>
      <w:pPr>
        <w:pStyle w:val="Caption"/>
        <w:keepNext/>
      </w:pPr>
      <w:r>
        <w:t>Nur öffentliche Katalogbeschreibung; Normvolltext nicht eingesehen. Vernetzte Gesundheits IT.</w:t>
      </w:r>
    </w:p>
    <w:p>
      <w:pPr>
        <w:spacing w:after="200"/>
      </w:pPr>
      <w:hyperlink r:id="rId68">
        <w:r>
          <w:rPr>
            <w:color w:val="18364A"/>
          </w:rPr>
          <w:t xml:space="preserve">Quelle öffnen</w:t>
        </w:r>
      </w:hyperlink>
    </w:p>
    <w:p>
      <w:pPr>
        <w:keepNext/>
      </w:pPr>
      <w:bookmarkStart w:id="87" w:name="source_N24"/>
      <w:bookmarkEnd w:id="87"/>
      <w:r>
        <w:rPr>
          <w:b/>
        </w:rPr>
        <w:t xml:space="preserve">[N24] IEC. </w:t>
      </w:r>
      <w:r>
        <w:t>IEC 81001-5-1. 2021 korrigierte Fassung Dezember 2025 laut Katalog.</w:t>
      </w:r>
    </w:p>
    <w:p>
      <w:pPr>
        <w:pStyle w:val="Caption"/>
        <w:keepNext/>
      </w:pPr>
      <w:r>
        <w:t>Nur öffentliche Katalogbeschreibung; Normvolltext nicht eingesehen. Security im Softwarelebenszyklus.</w:t>
      </w:r>
    </w:p>
    <w:p>
      <w:pPr>
        <w:spacing w:after="200"/>
      </w:pPr>
      <w:hyperlink r:id="rId69">
        <w:r>
          <w:rPr>
            <w:color w:val="18364A"/>
          </w:rPr>
          <w:t xml:space="preserve">Quelle öffnen</w:t>
        </w:r>
      </w:hyperlink>
    </w:p>
    <w:p>
      <w:pPr>
        <w:keepNext/>
      </w:pPr>
      <w:bookmarkStart w:id="88" w:name="source_N25"/>
      <w:bookmarkEnd w:id="88"/>
      <w:r>
        <w:rPr>
          <w:b/>
        </w:rPr>
        <w:t xml:space="preserve">[N25] ISO IEC IEEE. </w:t>
      </w:r>
      <w:r>
        <w:t>ISO/IEC/IEEE 21839. 2019 im offiziellen ISO Katalog als veröffentlicht und in Überarbeitung geführt.</w:t>
      </w:r>
    </w:p>
    <w:p>
      <w:pPr>
        <w:pStyle w:val="Caption"/>
        <w:keepNext/>
      </w:pPr>
      <w:r>
        <w:t>Öffentliche Katalogbeschreibung und Abstract eingesehen 09.10.2026; Normvolltext nicht eingesehen. Revision vor Anwendung prüfen.</w:t>
      </w:r>
    </w:p>
    <w:p>
      <w:pPr>
        <w:spacing w:after="200"/>
      </w:pPr>
      <w:hyperlink r:id="rId70">
        <w:r>
          <w:rPr>
            <w:color w:val="18364A"/>
          </w:rPr>
          <w:t xml:space="preserve">Quelle öffnen</w:t>
        </w:r>
      </w:hyperlink>
    </w:p>
    <w:p>
      <w:pPr>
        <w:keepNext/>
      </w:pPr>
      <w:bookmarkStart w:id="89" w:name="source_N26"/>
      <w:bookmarkEnd w:id="89"/>
      <w:r>
        <w:rPr>
          <w:b/>
        </w:rPr>
        <w:t xml:space="preserve">[N26] Europäische Union. </w:t>
      </w:r>
      <w:r>
        <w:t>Verordnung EU 2017 745 MDR. Artikel 83 bis 86 konsolidierte Fassung 19.07.2026.</w:t>
      </w:r>
    </w:p>
    <w:p>
      <w:pPr>
        <w:pStyle w:val="Caption"/>
        <w:keepNext/>
      </w:pPr>
      <w:r>
        <w:t>Öffentliche Rechtsquelle; Artikel 83 bis 86 eingesehen 09.10.2026. Originalrechtsakte und Anwendbarkeit im Produktprozess prüfen.</w:t>
      </w:r>
    </w:p>
    <w:p>
      <w:pPr>
        <w:spacing w:after="200"/>
      </w:pPr>
      <w:hyperlink r:id="rId71">
        <w:r>
          <w:rPr>
            <w:color w:val="18364A"/>
          </w:rPr>
          <w:t xml:space="preserve">Quelle öffnen</w:t>
        </w:r>
      </w:hyperlink>
    </w:p>
    <w:p>
      <w:pPr>
        <w:keepNext/>
      </w:pPr>
      <w:bookmarkStart w:id="90" w:name="source_N27"/>
      <w:bookmarkEnd w:id="90"/>
      <w:r>
        <w:rPr>
          <w:b/>
        </w:rPr>
        <w:t xml:space="preserve">[N27] IEC. </w:t>
      </w:r>
      <w:r>
        <w:t>IEC 61709. 2017.</w:t>
      </w:r>
    </w:p>
    <w:p>
      <w:pPr>
        <w:pStyle w:val="Caption"/>
        <w:keepNext/>
      </w:pPr>
      <w:r>
        <w:t>Nur öffentliche Katalogbeschreibung; Normvolltext nicht eingesehen. Referenzbedingungen und Umrechnung vorhandener Raten keine eigenen Basisraten.</w:t>
      </w:r>
    </w:p>
    <w:p>
      <w:pPr>
        <w:spacing w:after="200"/>
      </w:pPr>
      <w:hyperlink r:id="rId72">
        <w:r>
          <w:rPr>
            <w:color w:val="18364A"/>
          </w:rPr>
          <w:t xml:space="preserve">Quelle öffnen</w:t>
        </w:r>
      </w:hyperlink>
    </w:p>
    <w:p>
      <w:pPr>
        <w:keepNext/>
      </w:pPr>
      <w:bookmarkStart w:id="91" w:name="source_N28"/>
      <w:bookmarkEnd w:id="91"/>
      <w:r>
        <w:rPr>
          <w:b/>
        </w:rPr>
        <w:t xml:space="preserve">[N28] IEC. </w:t>
      </w:r>
      <w:r>
        <w:t>IEC 60601-1-2. 2014 mit AMD1 2020 konsolidiert Ausgabe 4.1.</w:t>
      </w:r>
    </w:p>
    <w:p>
      <w:pPr>
        <w:pStyle w:val="Caption"/>
        <w:keepNext/>
      </w:pPr>
      <w:r>
        <w:t>Offizielle Katalogbeschreibung eingesehen 09.10.2026; elektromagnetische Störgrößen, Emissionen und Prüfungen. Normvolltext nicht eingesehen.</w:t>
      </w:r>
    </w:p>
    <w:p>
      <w:pPr>
        <w:spacing w:after="200"/>
      </w:pPr>
      <w:hyperlink r:id="rId73">
        <w:r>
          <w:rPr>
            <w:color w:val="18364A"/>
          </w:rPr>
          <w:t xml:space="preserve">Quelle öffnen</w:t>
        </w:r>
      </w:hyperlink>
    </w:p>
    <w:p>
      <w:pPr>
        <w:keepNext/>
      </w:pPr>
      <w:bookmarkStart w:id="92" w:name="source_N29"/>
      <w:bookmarkEnd w:id="92"/>
      <w:r>
        <w:rPr>
          <w:b/>
        </w:rPr>
        <w:t xml:space="preserve">[N29] IEC. </w:t>
      </w:r>
      <w:r>
        <w:t>IEC 62366-1. 2015 mit AMD1 2020 konsolidiert Ausgabe 1.1.</w:t>
      </w:r>
    </w:p>
    <w:p>
      <w:pPr>
        <w:pStyle w:val="Caption"/>
        <w:keepNext/>
      </w:pPr>
      <w:r>
        <w:t>Offizielle Katalogbeschreibung eingesehen 09.10.2026; Gebrauchstauglichkeit im Sicherheitskontext. Normvolltext nicht eingesehen.</w:t>
      </w:r>
    </w:p>
    <w:p>
      <w:pPr>
        <w:spacing w:after="200"/>
      </w:pPr>
      <w:hyperlink r:id="rId74">
        <w:r>
          <w:rPr>
            <w:color w:val="18364A"/>
          </w:rPr>
          <w:t xml:space="preserve">Quelle öffnen</w:t>
        </w:r>
      </w:hyperlink>
    </w:p>
    <w:sectPr w:rsidR="00FC693F" w:rsidRPr="0006063C" w:rsidSect="00034616">
      <w:headerReference w:type="default" r:id="rId9"/>
      <w:footerReference w:type="default" r:id="rId10"/>
      <w:pgSz w:w="12240" w:h="15840"/>
      <w:pgMar w:top="1037" w:right="1181" w:bottom="1008" w:left="1181"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9.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Zuverlässigkeit von Röntgensystemen  |  Finale Fassung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www.wiley-vch.de/en/areas-interest/mathematics-statistics/system-reliability-theory-978-1-119-37352-0" TargetMode="External"/><Relationship Id="rId22" Type="http://schemas.openxmlformats.org/officeDocument/2006/relationships/hyperlink" Target="https://www.wiley-vch.de/de/fachgebiete/mathematik-und-statistik/statistical-methods-for-reliability-data-978-1-118-11545-9" TargetMode="External"/><Relationship Id="rId23" Type="http://schemas.openxmlformats.org/officeDocument/2006/relationships/hyperlink" Target="https://link.springer.com/book/10.1007/978-3-662-72967-0" TargetMode="External"/><Relationship Id="rId24" Type="http://schemas.openxmlformats.org/officeDocument/2006/relationships/hyperlink" Target="https://www.ima.uni-stuttgart.de/lehre/lehrveranstaltungen-master/drv/" TargetMode="External"/><Relationship Id="rId25" Type="http://schemas.openxmlformats.org/officeDocument/2006/relationships/hyperlink" Target="https://www.nasa.gov/reference/systems-engineering-handbook/" TargetMode="External"/><Relationship Id="rId26" Type="http://schemas.openxmlformats.org/officeDocument/2006/relationships/hyperlink" Target="https://standards.nasa.gov/sites/default/files/standards/GSFC/Baseline/0/GSFC-HDBK-8004_Approved_1.pdf" TargetMode="External"/><Relationship Id="rId27" Type="http://schemas.openxmlformats.org/officeDocument/2006/relationships/hyperlink" Target="https://mediatum.ub.tum.de/1463135" TargetMode="External"/><Relationship Id="rId28" Type="http://schemas.openxmlformats.org/officeDocument/2006/relationships/hyperlink" Target="https://d-nb.info/1278960716/34" TargetMode="External"/><Relationship Id="rId29" Type="http://schemas.openxmlformats.org/officeDocument/2006/relationships/hyperlink" Target="https://arxiv.org/abs/2212.04550" TargetMode="External"/><Relationship Id="rId30" Type="http://schemas.openxmlformats.org/officeDocument/2006/relationships/hyperlink" Target="https://www.itl.nist.gov/div898/handbook/apr/section3/apr3.htm" TargetMode="External"/><Relationship Id="rId31" Type="http://schemas.openxmlformats.org/officeDocument/2006/relationships/hyperlink" Target="https://www.itl.nist.gov/div898/handbook/apr/section1/apr123.htm" TargetMode="External"/><Relationship Id="rId32" Type="http://schemas.openxmlformats.org/officeDocument/2006/relationships/hyperlink" Target="https://www.itl.nist.gov/div898/handbook/apr/section1/apr161.htm" TargetMode="External"/><Relationship Id="rId33" Type="http://schemas.openxmlformats.org/officeDocument/2006/relationships/hyperlink" Target="https://www.itl.nist.gov/div898/handbook/apr/section2/apr211.htm" TargetMode="External"/><Relationship Id="rId34" Type="http://schemas.openxmlformats.org/officeDocument/2006/relationships/hyperlink" Target="https://www.itl.nist.gov/div898/handbook/apr/section3/apr311.htm" TargetMode="External"/><Relationship Id="rId35" Type="http://schemas.openxmlformats.org/officeDocument/2006/relationships/hyperlink" Target="https://www.itl.nist.gov/div898/handbook/apr/section1/apr162.htm" TargetMode="External"/><Relationship Id="rId36" Type="http://schemas.openxmlformats.org/officeDocument/2006/relationships/hyperlink" Target="https://www.itl.nist.gov/div898/handbook/apr/section1/apr131.htm" TargetMode="External"/><Relationship Id="rId37" Type="http://schemas.openxmlformats.org/officeDocument/2006/relationships/hyperlink" Target="https://www.itl.nist.gov/div898/handbook/apr/section3/apr314.htm" TargetMode="External"/><Relationship Id="rId38" Type="http://schemas.openxmlformats.org/officeDocument/2006/relationships/hyperlink" Target="https://www.itl.nist.gov/div898/handbook/apr/section1/apr151.htm" TargetMode="External"/><Relationship Id="rId39" Type="http://schemas.openxmlformats.org/officeDocument/2006/relationships/hyperlink" Target="https://www.itl.nist.gov/div898/handbook/apr/section4/apr411.htm" TargetMode="External"/><Relationship Id="rId40" Type="http://schemas.openxmlformats.org/officeDocument/2006/relationships/hyperlink" Target="https://sebokwiki.org/wiki/Systems_of_Systems_(SoS)" TargetMode="External"/><Relationship Id="rId41" Type="http://schemas.openxmlformats.org/officeDocument/2006/relationships/hyperlink" Target="https://psas.scripts.mit.edu/home/get_file.php?name=STPA_Handbook.pdf" TargetMode="External"/><Relationship Id="rId42" Type="http://schemas.openxmlformats.org/officeDocument/2006/relationships/hyperlink" Target="https://itl.nist.gov/div898/software/dataplot/refman2/auxillar/exacbici.htm" TargetMode="External"/><Relationship Id="rId43" Type="http://schemas.openxmlformats.org/officeDocument/2006/relationships/hyperlink" Target="https://www.itl.nist.gov/div898/handbook/apr/section4/apr451.htm" TargetMode="External"/><Relationship Id="rId44" Type="http://schemas.openxmlformats.org/officeDocument/2006/relationships/hyperlink" Target="https://epubs.siam.org/doi/book/10.1137/1.9780898718454" TargetMode="External"/><Relationship Id="rId45" Type="http://schemas.openxmlformats.org/officeDocument/2006/relationships/hyperlink" Target="https://www.itl.nist.gov/div898/handbook/apr/section4/apr452.htm" TargetMode="External"/><Relationship Id="rId46" Type="http://schemas.openxmlformats.org/officeDocument/2006/relationships/hyperlink" Target="https://webstore.iec.ch/en/publication/21886" TargetMode="External"/><Relationship Id="rId47" Type="http://schemas.openxmlformats.org/officeDocument/2006/relationships/hyperlink" Target="https://webstore.iec.ch/en/publication/66489" TargetMode="External"/><Relationship Id="rId48" Type="http://schemas.openxmlformats.org/officeDocument/2006/relationships/hyperlink" Target="https://webstore.iec.ch/en/publication/59797" TargetMode="External"/><Relationship Id="rId49" Type="http://schemas.openxmlformats.org/officeDocument/2006/relationships/hyperlink" Target="https://www.iso.org/standard/81702.html" TargetMode="External"/><Relationship Id="rId50" Type="http://schemas.openxmlformats.org/officeDocument/2006/relationships/hyperlink" Target="https://webstore.iec.ch/en/publication/26359" TargetMode="External"/><Relationship Id="rId51" Type="http://schemas.openxmlformats.org/officeDocument/2006/relationships/hyperlink" Target="https://webstore.iec.ch/en/publication/4311" TargetMode="External"/><Relationship Id="rId52" Type="http://schemas.openxmlformats.org/officeDocument/2006/relationships/hyperlink" Target="https://webstore.iec.ch/en/publication/25647" TargetMode="External"/><Relationship Id="rId53" Type="http://schemas.openxmlformats.org/officeDocument/2006/relationships/hyperlink" Target="https://webstore.iec.ch/en/publication/61933" TargetMode="External"/><Relationship Id="rId54" Type="http://schemas.openxmlformats.org/officeDocument/2006/relationships/hyperlink" Target="https://webstore.iec.ch/en/publication/65838" TargetMode="External"/><Relationship Id="rId55" Type="http://schemas.openxmlformats.org/officeDocument/2006/relationships/hyperlink" Target="https://webstore.iec.ch/en/publication/5698" TargetMode="External"/><Relationship Id="rId56" Type="http://schemas.openxmlformats.org/officeDocument/2006/relationships/hyperlink" Target="https://webstore.iec.ch/en/publication/66842" TargetMode="External"/><Relationship Id="rId57" Type="http://schemas.openxmlformats.org/officeDocument/2006/relationships/hyperlink" Target="https://webstore.iec.ch/en/publication/501" TargetMode="External"/><Relationship Id="rId58" Type="http://schemas.openxmlformats.org/officeDocument/2006/relationships/hyperlink" Target="https://webstore.iec.ch/en/publication/71503" TargetMode="External"/><Relationship Id="rId59" Type="http://schemas.openxmlformats.org/officeDocument/2006/relationships/hyperlink" Target="https://webstore.iec.ch/en/publication/82357" TargetMode="External"/><Relationship Id="rId60" Type="http://schemas.openxmlformats.org/officeDocument/2006/relationships/hyperlink" Target="https://webstore.iec.ch/en/publication/544" TargetMode="External"/><Relationship Id="rId61" Type="http://schemas.openxmlformats.org/officeDocument/2006/relationships/hyperlink" Target="https://webstore.iec.ch/en/publication/514" TargetMode="External"/><Relationship Id="rId62" Type="http://schemas.openxmlformats.org/officeDocument/2006/relationships/hyperlink" Target="https://webstore.iec.ch/en/publication/30876" TargetMode="External"/><Relationship Id="rId63" Type="http://schemas.openxmlformats.org/officeDocument/2006/relationships/hyperlink" Target="https://webstore.iec.ch/en/publication/60565" TargetMode="External"/><Relationship Id="rId64" Type="http://schemas.openxmlformats.org/officeDocument/2006/relationships/hyperlink" Target="https://webstore.iec.ch/en/publication/22794" TargetMode="External"/><Relationship Id="rId65" Type="http://schemas.openxmlformats.org/officeDocument/2006/relationships/hyperlink" Target="https://www.iso.org/standard/59752.html" TargetMode="External"/><Relationship Id="rId66" Type="http://schemas.openxmlformats.org/officeDocument/2006/relationships/hyperlink" Target="https://webstore.iec.ch/en/publication/69988" TargetMode="External"/><Relationship Id="rId67" Type="http://schemas.openxmlformats.org/officeDocument/2006/relationships/hyperlink" Target="https://webstore.iec.ch/en/publication/67497" TargetMode="External"/><Relationship Id="rId68" Type="http://schemas.openxmlformats.org/officeDocument/2006/relationships/hyperlink" Target="https://webstore.iec.ch/en/publication/34263" TargetMode="External"/><Relationship Id="rId69" Type="http://schemas.openxmlformats.org/officeDocument/2006/relationships/hyperlink" Target="https://webstore.iec.ch/en/publication/63293" TargetMode="External"/><Relationship Id="rId70" Type="http://schemas.openxmlformats.org/officeDocument/2006/relationships/hyperlink" Target="https://www.iso.org/standard/71955.html" TargetMode="External"/><Relationship Id="rId71" Type="http://schemas.openxmlformats.org/officeDocument/2006/relationships/hyperlink" Target="https://eur-lex.europa.eu/legal-content/EN/TXT/?uri=CELEX:02017R0745-20260719" TargetMode="External"/><Relationship Id="rId72" Type="http://schemas.openxmlformats.org/officeDocument/2006/relationships/hyperlink" Target="https://webstore.iec.ch/en/publication/59985" TargetMode="External"/><Relationship Id="rId73" Type="http://schemas.openxmlformats.org/officeDocument/2006/relationships/hyperlink" Target="https://webstore.iec.ch/en/publication/67554" TargetMode="External"/><Relationship Id="rId74" Type="http://schemas.openxmlformats.org/officeDocument/2006/relationships/hyperlink" Target="https://webstore.iec.ch/en/publication/67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Zuverlässigkeit von Röntgensystemen</dc:title>
  <dc:subject>Lehrhandbuch mit Alltagsbeispielen und Arbeitsvorlagen</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