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Gegenvorschlag V02 zum Lehrhandbuch</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„Zuverlässigkeit von Röntgensystemen“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der Fassung „ChatGPT XYZ2“ und Arbeitsauftrag für Version 03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Angabe</w:t>
            </w:r>
          </w:p>
        </w:tc>
        <w:tc>
          <w:tcPr>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Inhalt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Bezug</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„ChatGPT XYZ2.docx“ vom 9. Oktober 2026 (84 Seiten, 20 Kapitel, Anhänge A–E)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Vorgänger</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Gegenvorschlag V01 („Claudexyz“) vom 9. Oktober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Gegenvorschlag V02, 9. Oktober 2026 – Arbeitsentwurf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Verantwortlich</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rer. nat. Thorsten Ergler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Prüfumfang</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Vollständiger Abgleich mit V01: 998 von 1.100 Zeilen unverändert; alle 377 neuen oder geänderten Zeilen sowie die Schaubilder D, E und F gelesen; alle neuen Rechenbeispiele nachgerechnet; drei neue Normquellen stichprobenartig geprüft</w:t>
            </w:r>
          </w:p>
        </w:tc>
      </w:tr>
    </w:tbl>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Kurzfassung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Fassung „ChatGPT XYZ2“ setzt den Gegenvorschlag V01 inhaltlich weitgehend um. Alle neuen Rechenbeispiele sind korrekt, die Quellen sind ehrlich nach eingesehenem Material gekennzeichnet. Offen sind vier Punkte: Die neuen Abschnitte sind an die Kapitel angehängt statt eingearbeitet, das Lektorat fehlt (mit neuen Fehlern durch mechanisches Ersetzen), die Schaubilder A–C sind unverändert, und Anhang E gibt das Review in einem Punkt falsch wieder.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Gegenüber Gegenvorschlag V01 übernehme ich vier Entscheidungen von ChatGPT:</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SoS-Sicht gilt nur an der Grenze des Untersuchungsablaufs, nicht für das Röntgengerät mit seinen Baugruppen. Mein Beispiel „Detektor in mehreren Räumen“ für operative Unabhängigkeit war zu schwach.</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Statt eines SoS-Typ-Etiketts (anerkannt, kollaborativ) werden die tatsächlichen Befugnisse je beteiligtem System beschrieben.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Kapitelnummern 1–20 bleiben stabil; die vorgeschlagene Neugliederung in 21 Kapitel entfällt.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Kennzeichnung Tatsache/Einschätzung/Lehrannahme entfällt satzweise; Quellen bleiben am Satz.</w:t>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Angepasste Leitidee (ersetzt Abschnitt 2 von V01)</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Zwei Grenzen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Das Handbuch arbeitet mit zwei Grenzen, die Schaubild D bereits zeigt:</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Produktgrenze:</w:t>
      </w:r>
      <w:r w:rsidDel="00000000" w:rsidR="00000000" w:rsidRPr="00000000">
        <w:rPr>
          <w:rtl w:val="0"/>
        </w:rPr>
        <w:t xml:space="preserve"> Röntgengerät mit Steuerung, Detektor, Generator, Strahler, Positionierung und Bildverarbeitung. Hier gilt die gewöhnliche rekursive Systemzerlegung; Detektor und Generator sind Subsysteme (Bereich A oder B), auch wenn ein Detektor raumübergreifend genutzt wird.</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Ablaufgrenze:</w:t>
      </w:r>
      <w:r w:rsidDel="00000000" w:rsidR="00000000" w:rsidRPr="00000000">
        <w:rPr>
          <w:rtl w:val="0"/>
        </w:rPr>
        <w:t xml:space="preserve"> die Untersuchung vom Auftrag bis zum vereinbarten Endpunkt. Hier kann die SoS-Sicht passen, weil beteiligte Systeme eigene Zwecke und eigene Führung haben.</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Beteiligte Systeme an der Ablaufgrenze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Eigener Zweck außerhalb der Untersuchung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 kann Änderungen durchsetzen</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Einfluss des Herstellers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Röntgengerät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(Gegenstand der eigenen Entwicklung)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Hersteller</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Gestaltung, Prüfung, Freigabe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Auftragsverwaltung (RIS/KIS)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Terminierung, Dokumentation, weitere Modalitäten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Betreiber bzw. Dritthersteller</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Schnittstellenvereinbarung, Kompatibilitätsnachweis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 (PACS)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Langzeitarchivierung, Befundung, viele Modalitäten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Betreiber bzw. Dritthersteller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Schnittstellenvereinbarung, Kompatibilitätsnachweis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Netz, Zeitbasis, Strom, Klima</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Krankenhausinfrastruktur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Betreiber</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Dokumentierte Annahmen, Robustheit bei verletzter Annahme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Service und Update-Verteilung</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Service für viele Installationen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Hersteller, andere Organisationseinheit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Eigene Prozesse, abgestimmte Freigabe</w:t>
            </w:r>
          </w:p>
        </w:tc>
      </w:tr>
    </w:tbl>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Der Systemsteckbrief erhält dafür die Felder „eigener Zweck“, „Änderungsbefugnis“ und „Änderungsweg“. Eine Einordnung als SoS wird nur vorgenommen, wenn diese Felder sie tragen.</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Klarstellung zu Kapitel 12</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Gegenvorschlag V01 hat </w:t>
      </w:r>
      <w:r w:rsidDel="00000000" w:rsidR="00000000" w:rsidRPr="00000000">
        <w:rPr>
          <w:b w:val="1"/>
          <w:bCs w:val="1"/>
          <w:rtl w:val="0"/>
        </w:rPr>
        <w:t xml:space="preserve">komponentenspezifische Ausfallmechanismen</w:t>
      </w:r>
      <w:r w:rsidDel="00000000" w:rsidR="00000000" w:rsidRPr="00000000">
        <w:rPr>
          <w:rtl w:val="0"/>
        </w:rPr>
        <w:t xml:space="preserve"> einzelner Baugruppen (z. B. Röhre, Generator, Detektor) als Katalog ausgeschlossen, nicht die allgemeinen Prüfmethoden. Kapitel 12 mit Temperatur, Feuchte, Vibration, Strahlenfestigkeit, Lagerung und Verbindungstechnik bleibt vollständig erhalten. In diesem Punkt besteht kein Dissens; Anhang E ist entsprechend zu korrigieren (Abschnitt 6).</w:t>
      </w:r>
    </w:p>
    <w:p w:rsidR="00000000" w:rsidDel="00000000" w:rsidP="00000000" w:rsidRDefault="00000000" w:rsidRPr="00000000" w14:paraId="0000003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Integration statt Anbau</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Verschiebungen</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Kapitel 3: „Wann aus einem System ein System of Systems wird“ einschließlich Schaubild D direkt hinter „Die Grenze hängt von der Frage ab“ stellen, nicht ans Kapitelende.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Kapitel 1: Im Abschnitt „Vom funktionierenden Teil zur gelungenen Untersuchung“ auf Kapitel 3 und Schaubild D verweisen.</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Kapitel 20: Die Tabelle der sechs Fehlerpfade vor die ausführliche Fallstudie stellen; T1 als ausführlicher Fall kennzeichnen.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Ergänzungen in „So gehen wir vor“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neuen Abschnitte sind bisher in keiner Vorgehensliste angekommen (Ausnahme: Kapitel 15). Je Kapitel wird ein Arbeitsschritt ergänzt: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Kapitel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Neuer Arbeitsschritt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Bewertungsendpunkt festlegen: Komponente, Gerät oder Untersuchungsablauf.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 Übergabe den Bereich A, B oder C und die anwendbaren Normen notieren.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Produktgrenze und Ablaufgrenze getrennt zeichnen; eigene Zwecke und Änderungsbefugnisse dokumentieren.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Begonnene Untersuchungen, Endzustände und Wiederholungen nach der Zählregel erfassen.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jede Schnittstelle Annahme, Zusage und Reaktion auf eine verletzte Annahme festhalten.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Versionsmatrix führen; Rückfallebenen als eigene Funktion mit Übergang und Grenzen spezifizieren.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Endpunkt und Nenner je Kennzahl festlegen; erwartete Lebensdauer getrennt von MTBF und B10 behandeln.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Übergaben auf fehlenden, falschen, verspäteten, veralteten und doppelten Output sowie falsche Reihenfolge prüfen.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Gemeinsame Ursachen vor der Parallelformel modellieren; bei Steuerungsabläufen STPA ergänzen.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Bei Vorhersagen Datenbasis, Ausgabe und Bedingungen nennen; Beschleunigungsmodell nach Mechanismus wählen.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Für jede übernommene Komponente einen Einsatzvertrag anlegen.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Festlegen, was während, zwischen und nach der Belastung gemessen wird.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 als Änderung bewerten; bei KI-Funktionen geforderte Leistung und Population definieren.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Angeben, ob eine Grenze frequentistisch oder bayessch berechnet wurde; Vorwissen nicht doppelt zählen.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Annahmezahl c vorab festlegen; Nachweiserfolgswahrscheinlichkeit für plausible wahre Werte berechnen; Weibull-Formparameter begründen.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Ende-zu-Ende-Test einschließlich Rückkehr aus der Rückfallebene durchführen.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Geprüfte Gegenstellen und Versionen in der Freigabe nennen; offene Kombinationen kennzeichnen.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Wiederkehrende Ereignisse mit MCF auswerten; operative Verfügbarkeit mit definiertem Nenner; Verknüpfung mit der Produktüberwachung.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Parametrisierung des Wachstumsmodells ausdrücklich angeben.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Passenden Fehlerpfad T1–T6 als Einstieg wählen.</w:t>
            </w:r>
          </w:p>
        </w:tc>
      </w:tr>
    </w:tbl>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Neue Übungen mit Musterantworten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Kapitel</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Übung</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Musterantwort (für Anhang 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mobiler Detektor wird zwischen zwei Räumen getauscht. Ist er ein konstituierendes System eines SoS?</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Nein. Ohne eigenen Zweck außerhalb der Untersuchung bleibt er Subsystem des Produkts. Relevant sind Zuordnung, Konfiguration und Zustand beim Wechsel.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Betreiber meldet ein Archiv-Upgrade auf Version B. Die Kombination Steuerung 1, Firmware 1, Archiv B ist offen. Was folgt?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Kombination ist nicht freigegeben. Es folgt ein gezielter Kompatibilitätsnachweis oder eine dokumentierte Bedingung mit verstärkter Feldbeobachtung, keine Neuqualifikation aller Komponenten.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redundanter Kanal hat 200 FIT, der Anteil gemeinsamer Ursachen beträgt 0,10. Wie teilt sich die Rate auf?</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FIT gemeinsam, 180 FIT unabhängig. Die Parallelformel gilt nur für den unabhängigen Anteil.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mit n = 46 und höchstens einem Ausfall. Wie wahrscheinlich ist der Nachweiserfolg bei einer wahren Zuverlässigkeit von 0,95 bzw. 0,98?</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Rund 32,3 % bzw. 76,5 %. Der Plan weist R ≥ 0,90 bei 95 % Konfidenzniveau nach, scheitert aber bei R = 0,95 in etwa zwei von drei Fällen.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Zwei Systeme werden 200 Stunden beobachtet. System 1 hat Ereignisse bei 50 und 150 Stunden, System 2 bei 150 Stunden. Wie verläuft die MCF?</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 ab 50 Stunden, 1,5 ab 150 Stunden. Der Wert ist eine mittlere Ereigniszahl je System, kein Anteil defekter Systeme.</w:t>
            </w:r>
          </w:p>
        </w:tc>
      </w:tr>
    </w:tbl>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Lesepfade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Neue Zeile in der Tabelle „Lesepfade und Navigation“: </w:t>
      </w:r>
      <w:r w:rsidDel="00000000" w:rsidR="00000000" w:rsidRPr="00000000">
        <w:rPr>
          <w:b w:val="1"/>
          <w:bCs w:val="1"/>
          <w:rtl w:val="0"/>
        </w:rPr>
        <w:t xml:space="preserve">Gesamte Untersuchung oder Schnittstelle zu Betreibersystemen</w:t>
      </w:r>
      <w:r w:rsidDel="00000000" w:rsidR="00000000" w:rsidRPr="00000000">
        <w:rPr>
          <w:rtl w:val="0"/>
        </w:rPr>
        <w:t xml:space="preserve"> – Kapitel 1, 3, 5, 6, 8, 9, 16 und 17; Fehlerpfade T2 bis T4 in Kapitel 20.</w:t>
      </w:r>
    </w:p>
    <w:p w:rsidR="00000000" w:rsidDel="00000000" w:rsidP="00000000" w:rsidRDefault="00000000" w:rsidRPr="00000000" w14:paraId="0000007E">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Schaubilder</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Schaubild C (Methodennavigator):</w:t>
      </w:r>
      <w:r w:rsidDel="00000000" w:rsidR="00000000" w:rsidRPr="00000000">
        <w:rPr>
          <w:rtl w:val="0"/>
        </w:rPr>
        <w:t xml:space="preserve"> ist byte-identisch mit V01. Ergänzen: Ablaufgrenze und SoS-Einordnung (Kap. 3), Versionsmatrix (Kap. 6), STPA und gemeinsame Ursachen (Kap. 9), Vorhersage (Kap. 10), Einsatzvertrag (Kap. 11), MCF und Wachstum (Kap. 18, 19).</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Schaubild D:</w:t>
      </w:r>
      <w:r w:rsidDel="00000000" w:rsidR="00000000" w:rsidRPr="00000000">
        <w:rPr>
          <w:rtl w:val="0"/>
        </w:rPr>
        <w:t xml:space="preserve"> Rückmeldungen einzeichnen (Bereitschaft vom Detektor zur Steuerung, Archivbestätigung zur Steuerung), weil genau diese Pfade im Hauptfall versagen. Detektor und Generator in getrennte Kästen. Gemeinsame Ressourcen auch mit Auftragsverwaltung und Archiv verbinden.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Schaubild E:</w:t>
      </w:r>
      <w:r w:rsidDel="00000000" w:rsidR="00000000" w:rsidRPr="00000000">
        <w:rPr>
          <w:rtl w:val="0"/>
        </w:rPr>
        <w:t xml:space="preserve"> Legende „höchstens 1 Ausfälle“ in „höchstens 1 Ausfall“ korrigieren.</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Weiterhin fehlend:</w:t>
      </w:r>
      <w:r w:rsidDel="00000000" w:rsidR="00000000" w:rsidRPr="00000000">
        <w:rPr>
          <w:rtl w:val="0"/>
        </w:rPr>
        <w:t xml:space="preserve"> Badewannenkurve als Denkmodell und Weibull-Wahrscheinlichkeitsplot mit zensierten Daten (Kap. 14), Fehlerbaum und Blockdiagramm am selben Beispiel (Kap. 9), Crow-AMSAA-Plot vor und nach einer Maßnahme (Kap. 19).</w:t>
      </w:r>
    </w:p>
    <w:p w:rsidR="00000000" w:rsidDel="00000000" w:rsidP="00000000" w:rsidRDefault="00000000" w:rsidRPr="00000000" w14:paraId="0000008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Lektorat</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Fehler durch mechanisches Ersetzen von „Confidence“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Ort</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 7</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einer einseitigen Konfidenzniveau von 95 Prozent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einem einseitigen Konfidenzniveau von 95 Prozent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 7</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Konfidenzniveau-Wert ohne benannte Bezugsgröße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Konfidenzniveau ohne benannte Bezugsgröße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 14</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Konfidenzniveau aussagt</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das Konfidenzniveau aussagt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 15, Tabelle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Einseitige Konfidenzniveau</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Einseitiges Konfidenzniveau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Kap. 15</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Konfidenzniveau und Probability of Test Success</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Konfidenzniveau und Nachweiserfolgswahrscheinlichkeit (Probability of Test Success)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Kopfzeile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ChatGPT XYZ2</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03</w:t>
            </w:r>
          </w:p>
        </w:tc>
      </w:tr>
    </w:tbl>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Außerdem einheitlich „Nachweismatrix (Evidence Matrix)“ bei der Ersteinführung, danach nur „Nachweismatrix“; in XYZ2 ist nur eine von fünf Stellen umgestellt.</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Überschriften mit Satzzeichen</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Ist</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Software und Zusammenspiel</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Software und Zusammenspiel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Eigene Entwicklung Zulieferung und Betreiberumgebung</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Eigene Entwicklung, Zulieferung und Betreiberumgebung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Inputs Outputs und zusätzliche Einwirkungen</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Inputs, Outputs und zusätzliche Einwirkungen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Zuerst die Leistung danach die Bauteile</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Zuerst die Leistung, danach die Bauteile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Funktion Belastung und Nachweis getrennt beschreiben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Funktion, Belastung und Nachweis getrennt beschreiben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Vorbereitung mit Systemgrenze und I O</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Vorbereitung mit Systemgrenze und 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passende FMEA Sicht wählen</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Die passende FMEA-Sicht wählen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FMEA Ausschnitt</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Ein FMEA-Ausschnitt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Derating Toleranzen und Versuchsplanung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Derating, Toleranzen und Versuchsplanung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Vibration Schock und Fall</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Vibration, Schock und Fall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Lagerung Transport und Reinigung</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Lagerung, Transport und Reinigung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Fuzzing Stress und Fehlerinjektion unterscheiden</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Fuzzing, Stress und Fehlerinjektion unterscheiden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Zuerst die Aussage dann den Versuch planen</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Zuerst die Aussage, dann den Versuch planen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HALT HASS und Degradation</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HALT, HASS und Degradation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Normalfall ungünstiger Fall und Grenzsuche</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Normalfall, ungünstiger Fall und Grenzsuche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Schritt 1 Das Ereignis … (Schritte 1–8)</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Schritt 1: Das Ereignis … (Doppelpunkt in allen acht Schritten)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Schritt 4 Supplier Evidenz abgleichen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Schritt 4: Supplier-Evidenz abgleichen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Systemsteckbrief und I O Blatt</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Systemsteckbrief und I/O-Blatt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eines Supplier Nachweises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eines Supplier-Nachweises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FMEA Arbeitsblatt</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FMEA-Arbeitsblatt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Lehrbücher Hochschullehre und Fachpublikationen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Lehrbücher, Hochschullehre und Fachpublikationen</w:t>
            </w:r>
          </w:p>
        </w:tc>
      </w:tr>
    </w:tbl>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Anführungszeichen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gesamten Dokument steht kein einziges deutsches Anführungszeichen. Zitierte Begriffe und Beispielsätze werden in „…“ gesetzt, unter anderem:</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Aussage „ein Jahr Lebensdauer“ … (Kap. 4)</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Der Denkfehler „zehn Jahre entsprechen immer einer bestimmten Zahl von Stunden“ … (Kap. 4)</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Warum reicht die Aussage „Ladekabel angeschlossen“ nicht … (Kap. 5)</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Forderung „ein Regenschirm muss stabil sein“ lässt offen … (Kap. 7)</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Verbessere die Forderung „der Laptopakku soll lange halten“ (Kap. 7)</w:t>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allgemeine Aussagen wie „Elektronik defekt“ (Kap. 8); „Klingel defekt“ (Kap. 8, Anhang A)</w:t>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Für das Ereignis „kein Licht“ … (Kap. 9); Top Event „keine verwendbare Aufnahme“ (Kap. 9)</w:t>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nicht nur „Test bestanden“ (Kap. 10); „thermischer Test bestanden“ (Kap. 17)</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Der Satz „der Supplier ist zuständig“ … (Kap. 11)</w:t>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endet nicht bei „Bedienfehler“ oder „Supplier schuld“ (Kap. 19)</w:t>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Die Nachricht „fertig“ gilt nur … (Kap. 20)</w:t>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Pfeil „Strom hinein und heißes Wasser hinaus“ (Kap. 3)</w:t>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Glossar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Neue Einträge nach dem Muster „deutscher Begriff (englischer Begriff)“ mit Satzzeichen in der Erklärung, z. B. „Fähigkeit (Capability)“, „Gemeinsame Ursache (Common Cause)“, „Kaplan-Meier-Schätzer“, „Qualifikation – Nachweis der Eignung für einen definierten Anforderungs- und Einsatzbereich“, „Resilienz – Fähigkeit, Störungen zu bewältigen …“. Der Eintrag „Reliability“ verweist auf „Zuverlässigkeit“; „I O“ wird „I/O“.</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5.5 Stil</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„nicht automatisch“ steht jetzt 22-mal (V01: 21). Ziel: höchstens einmal je Kapitel; an den übrigen Stellen durch die konkrete Bedingung ersetzen („gilt nur, wenn …“) oder streichen.</w:t>
      </w:r>
    </w:p>
    <w:p w:rsidR="00000000" w:rsidDel="00000000" w:rsidP="00000000" w:rsidRDefault="00000000" w:rsidRPr="00000000" w14:paraId="000000D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Normen, Quellen und Anhang E</w:t>
      </w:r>
    </w:p>
    <w:p w:rsidR="00000000" w:rsidDel="00000000" w:rsidP="00000000" w:rsidRDefault="00000000" w:rsidRPr="00000000" w14:paraId="000000D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Normenwegweiser (Kap. 2) um IEC 60601-1-2 (elektromagnetische Störfestigkeit; Kap. 12, 16) und IEC 62366-1 (Gebrauchstauglichkeit, Bedienhandlungen als Ursache; Kap. 8, 19) ergänzen.</w:t>
      </w:r>
    </w:p>
    <w:p w:rsidR="00000000" w:rsidDel="00000000" w:rsidP="00000000" w:rsidRDefault="00000000" w:rsidRPr="00000000" w14:paraId="000000D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N21 (IEC 60601-2-54), Q02 und Q05 werden weiterhin nirgends im Text zitiert: einbinden (N21 im Normenwegweiser) oder streichen.</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Q26 (öffentliches Siemens-PDF „Reliability Consulting“) ist als Beleg für SN 29500 ungeeignet und war beim Abruf nicht erreichbar. Ersetzen durch die SN 29500 selbst mit intern geprüfter Ausgabe, oder Aussage ohne Beleg als Hinweis kennzeichnen.</w:t>
      </w:r>
    </w:p>
    <w:p w:rsidR="00000000" w:rsidDel="00000000" w:rsidP="00000000" w:rsidRDefault="00000000" w:rsidRPr="00000000" w14:paraId="000000D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Geprüft und korrekt: IEC 60601-1 Ausgabe 3.2 (konsolidiert 2020), IEC 81001-5-1:2021 mit korrigierter Fassung 2025-12, MDR konsolidierte Fassung vom 19.07.2026.</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Anhang E, Absatz „Der vorgeschlagene Ausschluss …“ ersetzen durch:</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Komponentenspezifische Ausfallmechanismen einzelner Baugruppen werden nicht als eigener Katalog aufgenommen. Die allgemeinen Prüfmethoden für elektrische Belastung, Aufbau- und Verbindungstechnik, Temperatur, Feuchte, Strahlenfestigkeit, Lagerung und Mechanik bleiben in Kapitel 12 erhalten. Sie dienen der Bewertung von Zulieferevidenz und werden nicht pauschal als wiederholte Eigenprüfung verlangt.</w:t>
            </w:r>
          </w:p>
        </w:tc>
      </w:tr>
    </w:tbl>
    <w:p w:rsidR="00000000" w:rsidDel="00000000" w:rsidP="00000000" w:rsidRDefault="00000000" w:rsidRPr="00000000" w14:paraId="000000E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Geprüfte Rechenwerte in XYZ2</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Stelle</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Wert in XYZ2</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Ergebnis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Clopper-Pearson, R ≥ 0,90, 95 %</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 29/46/61; untere Grenzen 0,9019/0,9010/0,9004</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Nachweiserfolg bei R = 0,95</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22,6/32,3/40,6 %</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Chi-Quadrat-Grenze, 10.000 h</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 = 0: 0,0002996 h⁻¹; r = 1: 0,0004744 h⁻¹</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Lipson, n = 5, R₀ = 0,99</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7,72/15,26/3,91 für β = 2/1,5/3; Herleitung aus R(Lt) = R(t)^(L^β)</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MCF-Lehrbeispiel</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0,25 → 0,75 → 1,083</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Vorhersage, gemeinsame Ursache, Verfügbarkeit</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FIT = 10⁻⁶ h⁻¹; 5/95 FIT; 80 %</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Schaubild E</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Alle Kurven schneiden sich bei R₀ = 0,90 nahe 5 %</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korrekt und didaktisch gut</w:t>
            </w:r>
          </w:p>
        </w:tc>
      </w:tr>
    </w:tbl>
    <w:p w:rsidR="00000000" w:rsidDel="00000000" w:rsidP="00000000" w:rsidRDefault="00000000" w:rsidRPr="00000000" w14:paraId="000000F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Auftrag für Version 03</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 folgende Auftrag kann unverändert an das erstellende Werkzeug übergeben werden:</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60"/>
        <w:tblGridChange w:id="0">
          <w:tblGrid>
            <w:gridCol w:w="936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Arbeite auf Basis von „ChatGPT XYZ2“. Kapitelnummern 1–20 bleiben unverändert.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Setze die angepasste Leitidee aus Abschnitt 2 um: SoS-Sicht nur an der Ablaufgrenze; Steckbrieffelder „eigener Zweck“, „Änderungsbefugnis“, „Änderungsweg“.</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Führe die Verschiebungen aus Abschnitt 3.1 aus und ergänze die Arbeitsschritte aus 3.2 in den Listen „So gehen wir vor“.</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Ergänze die fünf Übungen aus 3.3 und ihre Musterantworten in Anhang A sowie die neue Zeile der Lesepfade aus 3.4.</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Überarbeite die Schaubilder C, D und E nach Abschnitt 4 und ergänze die vier fehlenden Abbildungen.</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Führe alle Korrekturen aus Abschnitt 5 aus; prüfe danach das ganze Dokument auf fehlende Satzzeichen in Überschriften, fehlende Anführungszeichen und weitere Folgefehler des Ersetzens von „Confidence“.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Setze die Punkte aus Abschnitt 6 um und ersetze den Absatz in Anhang E wörtlich.</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Füge keine komponentenspezifischen Ausfallmechanismen ein; Kapitel 12 bleibt als allgemeine Methodensammlung erhalten.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Aktualisiere Anhang E für Version 03 und liefere eine Liste aller geänderten Stellen.</w:t>
            </w:r>
          </w:p>
        </w:tc>
      </w:tr>
    </w:tbl>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