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p14">
  <w:body>
    <w:p>
      <w:pPr>
        <w:pStyle w:val="Titel"/>
        <w:outlineLvl w:val="0"/>
        <w:rPr>
          <w:szCs w:val="48"/>
        </w:rPr>
      </w:pPr>
      <w:r>
        <w:rPr xsi:nil="true"/>
        <w:t>Servicebeskrivelse</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gridSpan w:val="5"/>
            <w:shd w:val="clear" w:color="auto" w:fill="82A0F0"/>
            <w:vAlign w:val="center"/>
          </w:tcPr>
          <w:p>
            <w:pPr>
              <w:rPr>
                <w:rFonts w:ascii="Arial" w:hAnsi="Arial" w:cs="Arial"/>
                <w:b/>
                <w:sz w:val="48"/>
              </w:rPr>
            </w:pPr>
          </w:p>
        </w:tc>
      </w:tr>
      <w:tr>
        <w:trPr>
          <w:trHeight w:val="567"/>
        </w:trPr>
        <w:tc>
          <w:tcPr>
            <w:tcW w:w="9639" w:type="dxa"/>
            <w:gridSpan w:val="5"/>
            <w:tcBorders>
              <w:bottom w:val="single" w:sz="6" w:space="0" w:color="auto"/>
            </w:tcBorders>
            <w:vAlign w:val="center"/>
          </w:tcPr>
          <w:p>
            <w:pPr>
              <w:outlineLvl w:val="1"/>
              <w:rPr>
                <w:rFonts w:ascii="Arial" w:hAnsi="Arial" w:cs="Arial"/>
                <w:b/>
                <w:sz w:val="30"/>
              </w:rPr>
            </w:pPr>
            <w:r>
              <w:rPr>
                <w:rFonts w:ascii="Arial" w:hAnsi="Arial" w:cs="Arial"/>
                <w:b/>
                <w:sz w:val="30"/>
              </w:rPr>
              <w:t/>
              <w:t>FordringListeHent</w:t>
            </w:r>
          </w:p>
        </w:tc>
      </w:tr>
      <w:tr>
        <w:trPr>
          <w:trHeight w:val="283"/>
        </w:trPr>
        <w:tc>
          <w:tcPr>
            <w:tcW w:w="1980"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System:</w:t>
            </w:r>
          </w:p>
        </w:tc>
        <w:tc>
          <w:tcPr>
            <w:tcW w:w="336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Encyclopedia:</w:t>
            </w:r>
          </w:p>
        </w:tc>
        <w:tc>
          <w:tcPr>
            <w:tcW w:w="1075"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Version:</w:t>
            </w:r>
          </w:p>
        </w:tc>
        <w:tc>
          <w:tcPr>
            <w:tcW w:w="1606"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Oprettet:</w:t>
            </w:r>
          </w:p>
        </w:tc>
        <w:tc>
          <w:tcPr>
            <w:tcW w:w="160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Ændret:</w:t>
            </w:r>
          </w:p>
        </w:tc>
      </w:tr>
      <w:tr>
        <w:trPr>
          <w:trHeight w:val="283"/>
        </w:trPr>
        <w:tc>
          <w:tcPr>
            <w:tcW w:w="1980"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DMI</w:t>
            </w:r>
          </w:p>
        </w:tc>
        <w:tc>
          <w:tcPr>
            <w:tcW w:w="336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Debitormotor_EFI_1_8_1</w:t>
            </w:r>
          </w:p>
        </w:tc>
        <w:tc>
          <w:tcPr>
            <w:tcW w:w="1075"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1.0</w:t>
            </w:r>
          </w:p>
        </w:tc>
        <w:tc>
          <w:tcPr>
            <w:tcW w:w="1606"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30-09-2025</w:t>
            </w:r>
          </w:p>
        </w:tc>
        <w:tc>
          <w:tcPr>
            <w:tcW w:w="160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20-01-2026</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Formål:</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Leverer fordringsliste for en konkret skyldner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Overordnet beskrivelse af funktionalitet:</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Servicen returnerer en liste af fordringer for en konkret skyldner. Afhængig af den angivne anvendelseskode kan servicen returnere forskellige detaljer baseret på den kontekst data skal anvendes i.</w:t>
              <w:br/>
              <w:t/>
              <w:br/>
              <w:t>Ved anvendelse til Samdrift:</w:t>
              <w:br/>
              <w:t>Anvendelseskode benyttes til validering i DMI, for at vurdere om de enkelte fordringer er blokeret i det konkrete scenarie.</w:t>
              <w:br/>
              <w:t/>
              <w:br/>
              <w:t>Eksempel på anvendelse: Hvis en udlægssag ønskes oprettet og SkyldnerValideringOpret ikke har returneret nogen blokerende objekter, skal FordringListeHent kaldes med samme AnvendelseKode for at få en liste af fordringer med angivelse for om de er blokeret for indsatsen.</w:t>
              <w:br/>
              <w:t/>
              <w:br/>
              <w:t>FordringArt: Default returneres alle skyldners fordringer, både fordringer til inddrivelse og til modregning, men ved angivelse af FordringArt i input begrænses listen til fordringer med den angivne fordringart. Eksempel: Ønskes der alene en liste af skyldners fordringer til inddrivelse angives INDR i input feltet FordringArt.</w:t>
              <w:br/>
              <w:t/>
              <w:br/>
              <w:t>Der kan være forhold på en skyldner i DMI, som betyder at den ikke kan udstilles til samdrift via servicesnittet. Det kan f.eks. være en skyldner hvor mængden af fordringer er så stor, at et gældsbillede ikke kan overføres indenfor de tidsbegrænsninger der er i integrationsmiljøet. Hvis dette forekommer, vil DMI afvise kaldet med en fejlkode.</w:t>
            </w:r>
          </w:p>
        </w:tc>
      </w:tr>
      <w:tr>
        <w:trPr>
          <w:trHeight w:val="283"/>
        </w:trPr>
        <w:tc>
          <w:tcPr>
            <w:tcW w:w="9639" w:type="dxa"/>
            <w:gridSpan w:val="5"/>
            <w:shd w:val="clear" w:color="auto" w:fill="A0B4FF"/>
            <w:vAlign w:val="center"/>
          </w:tcPr>
          <w:p>
            <w:pPr>
              <w:spacing w:line="240" w:lineRule="auto"/>
              <w:rPr>
                <w:rFonts w:ascii="Arial" w:hAnsi="Arial" w:cs="Arial"/>
                <w:b/>
                <w:sz w:val="18"/>
                <w:szCs w:val="18"/>
              </w:rPr>
            </w:pPr>
            <w:r>
              <w:rPr>
                <w:rFonts w:ascii="Arial" w:hAnsi="Arial" w:cs="Arial"/>
                <w:b/>
                <w:sz w:val="18"/>
                <w:szCs w:val="18"/>
              </w:rPr>
              <w:t>Datastrukturer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Input: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FordringListeHent_I</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KundeNummer</w:t>
              <w:br/>
              <w:t>KundeType</w:t>
              <w:br/>
              <w:t>AnvendelseKode</w:t>
              <w:br/>
              <w:t>(DMIFordringFordringArtKode)</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Output: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FordringListeHent_O</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w:t>
              <w:br/>
              <w:t/>
              <w:tab/>
              <w:t>*FordringListe*</w:t>
              <w:br/>
              <w:t/>
              <w:tab/>
              <w:t>1{</w:t>
              <w:br/>
              <w:t/>
              <w:tab/>
              <w:t/>
              <w:tab/>
              <w:t>*Fordring*</w:t>
              <w:br/>
              <w:t/>
              <w:tab/>
              <w:t/>
              <w:tab/>
              <w:t>[</w:t>
              <w:br/>
              <w:t/>
              <w:tab/>
              <w:t/>
              <w:tab/>
              <w:t/>
              <w:tab/>
              <w:t>DækningParat</w:t>
              <w:br/>
              <w:t/>
              <w:tab/>
              <w:t/>
              <w:tab/>
              <w:t/>
              <w:tab/>
              <w:t>(DækningPotentiale)</w:t>
              <w:br/>
              <w:t/>
              <w:tab/>
              <w:t/>
              <w:tab/>
              <w:t/>
              <w:tab/>
              <w:t>(ValideringStatusKode)</w:t>
              <w:br/>
              <w:t/>
              <w:tab/>
              <w:t/>
              <w:tab/>
              <w:t/>
              <w:tab/>
              <w:t>(FlagID)</w:t>
              <w:br/>
              <w:t/>
              <w:tab/>
              <w:t/>
              <w:tab/>
              <w:t/>
              <w:tab/>
              <w:t>DMIFordringTypeKategori</w:t>
              <w:br/>
              <w:t/>
              <w:tab/>
              <w:t/>
              <w:tab/>
              <w:t/>
              <w:tab/>
              <w:t>DMIFordringID</w:t>
              <w:br/>
              <w:t/>
              <w:tab/>
              <w:t/>
              <w:tab/>
              <w:t/>
              <w:tab/>
              <w:t>DMIFordringHovedFordringID</w:t>
              <w:br/>
              <w:t/>
              <w:tab/>
              <w:t/>
              <w:tab/>
              <w:t/>
              <w:tab/>
              <w:t>DMIFordringModtagelseDato</w:t>
              <w:br/>
              <w:t/>
              <w:tab/>
              <w:t/>
              <w:tab/>
              <w:t/>
              <w:tab/>
              <w:t>(DMIFordringFordringHaverBeskr)</w:t>
              <w:br/>
              <w:t/>
              <w:tab/>
              <w:t/>
              <w:tab/>
              <w:t/>
              <w:tab/>
              <w:t>DMIFordringStiftelseTidspunkt</w:t>
              <w:br/>
              <w:t/>
              <w:tab/>
              <w:t/>
              <w:tab/>
              <w:t/>
              <w:tab/>
              <w:t>DMIFordringFordringArtKode</w:t>
              <w:br/>
              <w:t/>
              <w:tab/>
              <w:t/>
              <w:tab/>
              <w:t/>
              <w:tab/>
              <w:t>DMIFordringKlasse</w:t>
              <w:br/>
              <w:t/>
              <w:tab/>
              <w:t/>
              <w:tab/>
              <w:t/>
              <w:tab/>
              <w:t>DMIFordringTypeKode</w:t>
              <w:br/>
              <w:t/>
              <w:tab/>
              <w:t/>
              <w:tab/>
              <w:t/>
              <w:tab/>
              <w:t>DMIFordringTypeTekst</w:t>
              <w:br/>
              <w:t/>
              <w:tab/>
              <w:t/>
              <w:tab/>
              <w:t/>
              <w:tab/>
              <w:t>(DMIFordringForfaldDato)</w:t>
              <w:br/>
              <w:t/>
              <w:tab/>
              <w:t/>
              <w:tab/>
              <w:t/>
              <w:tab/>
              <w:t>(DMIFordringSRBDato)</w:t>
              <w:br/>
              <w:t/>
              <w:tab/>
              <w:t/>
              <w:tab/>
              <w:t/>
              <w:tab/>
              <w:t>DMIFordringForeløbigFastsat</w:t>
              <w:br/>
              <w:t/>
              <w:tab/>
              <w:t/>
              <w:tab/>
              <w:t/>
              <w:tab/>
              <w:t>*HæftelseBeløbStruktur*</w:t>
              <w:br/>
              <w:t/>
              <w:tab/>
              <w:t/>
              <w:tab/>
              <w:t/>
              <w:tab/>
              <w:t>[</w:t>
              <w:br/>
              <w:t/>
              <w:tab/>
              <w:t/>
              <w:tab/>
              <w:t/>
              <w:tab/>
              <w:t/>
              <w:tab/>
              <w:t>ValutaKode</w:t>
              <w:br/>
              <w:t/>
              <w:tab/>
              <w:t/>
              <w:tab/>
              <w:t/>
              <w:tab/>
              <w:t/>
              <w:tab/>
              <w:t>HæftelseBeløb</w:t>
              <w:br/>
              <w:t/>
              <w:tab/>
              <w:t/>
              <w:tab/>
              <w:t/>
              <w:tab/>
              <w:t/>
              <w:tab/>
              <w:t>(HæftelseBeløbDKK)</w:t>
              <w:br/>
              <w:t/>
              <w:tab/>
              <w:t/>
              <w:tab/>
              <w:t/>
              <w:tab/>
              <w:t>]</w:t>
              <w:br/>
              <w:t/>
              <w:tab/>
              <w:t/>
              <w:tab/>
              <w:t/>
              <w:tab/>
              <w:t>*HæftelseRestBeløbStruktur*</w:t>
              <w:br/>
              <w:t/>
              <w:tab/>
              <w:t/>
              <w:tab/>
              <w:t/>
              <w:tab/>
              <w:t>[</w:t>
              <w:br/>
              <w:t/>
              <w:tab/>
              <w:t/>
              <w:tab/>
              <w:t/>
              <w:tab/>
              <w:t/>
              <w:tab/>
              <w:t>ValutaKode</w:t>
              <w:br/>
              <w:t/>
              <w:tab/>
              <w:t/>
              <w:tab/>
              <w:t/>
              <w:tab/>
              <w:t/>
              <w:tab/>
              <w:t>HæftelseRestBeløb</w:t>
              <w:br/>
              <w:t/>
              <w:tab/>
              <w:t/>
              <w:tab/>
              <w:t/>
              <w:tab/>
              <w:t/>
              <w:tab/>
              <w:t>HæftelseRestBeløbDKK</w:t>
              <w:br/>
              <w:t/>
              <w:tab/>
              <w:t/>
              <w:tab/>
              <w:t/>
              <w:tab/>
              <w:t>]</w:t>
              <w:br/>
              <w:t/>
              <w:tab/>
              <w:t/>
              <w:tab/>
              <w:t/>
              <w:tab/>
              <w:t>(</w:t>
              <w:br/>
              <w:t/>
              <w:tab/>
              <w:t/>
              <w:tab/>
              <w:t/>
              <w:tab/>
              <w:t/>
              <w:tab/>
              <w:t>*FordringPeriodeStruktur*</w:t>
              <w:br/>
              <w:t/>
              <w:tab/>
              <w:t/>
              <w:tab/>
              <w:t/>
              <w:tab/>
              <w:t/>
              <w:tab/>
              <w:t>[</w:t>
              <w:br/>
              <w:t/>
              <w:tab/>
              <w:t/>
              <w:tab/>
              <w:t/>
              <w:tab/>
              <w:t/>
              <w:tab/>
              <w:t/>
              <w:tab/>
              <w:t>DMIFordringPeriodeFraDato</w:t>
              <w:br/>
              <w:t/>
              <w:tab/>
              <w:t/>
              <w:tab/>
              <w:t/>
              <w:tab/>
              <w:t/>
              <w:tab/>
              <w:t/>
              <w:tab/>
              <w:t>DMIFordringPeriodeTilDato</w:t>
              <w:br/>
              <w:t/>
              <w:tab/>
              <w:t/>
              <w:tab/>
              <w:t/>
              <w:tab/>
              <w:t/>
              <w:tab/>
              <w:t/>
              <w:tab/>
              <w:t>(DMIFordringPeriodeType)</w:t>
              <w:br/>
              <w:t/>
              <w:tab/>
              <w:t/>
              <w:tab/>
              <w:t/>
              <w:tab/>
              <w:t/>
              <w:tab/>
              <w:t>]</w:t>
              <w:br/>
              <w:t/>
              <w:tab/>
              <w:t/>
              <w:tab/>
              <w:t/>
              <w:tab/>
              <w:t>)</w:t>
              <w:br/>
              <w:t/>
              <w:tab/>
              <w:t/>
              <w:tab/>
              <w:t/>
              <w:tab/>
              <w:t>HæftelseForm</w:t>
              <w:br/>
              <w:t/>
              <w:tab/>
              <w:t/>
              <w:tab/>
              <w:t/>
              <w:tab/>
              <w:t>HæftelseForældelseDato</w:t>
              <w:br/>
              <w:t/>
              <w:tab/>
              <w:t/>
              <w:tab/>
              <w:t/>
              <w:tab/>
              <w:t>DMIFordringHaverID</w:t>
              <w:br/>
              <w:t/>
              <w:tab/>
              <w:t/>
              <w:tab/>
              <w:t/>
              <w:tab/>
              <w:t>FordringHaverNavn</w:t>
              <w:br/>
              <w:t/>
              <w:tab/>
              <w:t/>
              <w:tab/>
              <w:t/>
              <w:tab/>
              <w:t>(</w:t>
              <w:br/>
              <w:t/>
              <w:tab/>
              <w:t/>
              <w:tab/>
              <w:t/>
              <w:tab/>
              <w:t/>
              <w:tab/>
              <w:t>*BlokerendeObjekt*</w:t>
              <w:br/>
              <w:t/>
              <w:tab/>
              <w:t/>
              <w:tab/>
              <w:t/>
              <w:tab/>
              <w:t/>
              <w:tab/>
              <w:t>[</w:t>
              <w:br/>
              <w:t/>
              <w:tab/>
              <w:t/>
              <w:tab/>
              <w:t/>
              <w:tab/>
              <w:t/>
              <w:tab/>
              <w:t/>
              <w:tab/>
              <w:t>(ObjektID)</w:t>
              <w:br/>
              <w:t/>
              <w:tab/>
              <w:t/>
              <w:tab/>
              <w:t/>
              <w:tab/>
              <w:t/>
              <w:tab/>
              <w:t/>
              <w:tab/>
              <w:t>ObjektKategori</w:t>
              <w:br/>
              <w:t/>
              <w:tab/>
              <w:t/>
              <w:tab/>
              <w:t/>
              <w:tab/>
              <w:t/>
              <w:tab/>
              <w:t/>
              <w:tab/>
              <w:t>(ObjektType)</w:t>
              <w:br/>
              <w:t/>
              <w:tab/>
              <w:t/>
              <w:tab/>
              <w:t/>
              <w:tab/>
              <w:t/>
              <w:tab/>
              <w:t/>
              <w:tab/>
              <w:t>(ObjektUndertype)</w:t>
              <w:br/>
              <w:t/>
              <w:tab/>
              <w:t/>
              <w:tab/>
              <w:t/>
              <w:tab/>
              <w:t/>
              <w:tab/>
              <w:t/>
              <w:tab/>
              <w:t>ObjektStatus</w:t>
              <w:br/>
              <w:t/>
              <w:tab/>
              <w:t/>
              <w:tab/>
              <w:t/>
              <w:tab/>
              <w:t/>
              <w:tab/>
              <w:t/>
              <w:tab/>
              <w:t>(ObjektBlokerendeMarkering)</w:t>
              <w:br/>
              <w:t/>
              <w:tab/>
              <w:t/>
              <w:tab/>
              <w:t/>
              <w:tab/>
              <w:t/>
              <w:tab/>
              <w:t/>
              <w:tab/>
              <w:t>(ObjektVærdi)</w:t>
              <w:br/>
              <w:t/>
              <w:tab/>
              <w:t/>
              <w:tab/>
              <w:t/>
              <w:tab/>
              <w:t/>
              <w:tab/>
              <w:t>]</w:t>
              <w:br/>
              <w:t/>
              <w:tab/>
              <w:t/>
              <w:tab/>
              <w:t/>
              <w:tab/>
              <w:t>)</w:t>
              <w:br/>
              <w:t/>
              <w:tab/>
              <w:t/>
              <w:tab/>
              <w:t>]</w:t>
              <w:br/>
              <w:t/>
              <w:tab/>
              <w:t>}</w:t>
              <w:br/>
              <w:t>)</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Valideringer</w:t>
            </w:r>
          </w:p>
        </w:tc>
      </w:tr>
      <w:tr>
        <w:trPr>
          <w:trHeight w:val="283"/>
        </w:trPr>
        <w:tc>
          <w:tcPr>
            <w:tcW w:w="9639" w:type="dxa"/>
            <w:gridSpan w:val="5"/>
            <w:shd w:val="clear" w:color="auto" w:fill="FFFFFF"/>
            <w:tcMar>
              <w:top w:w="57" w:type="dxa"/>
              <w:bottom w:w="57" w:type="dxa"/>
            </w:tcMar>
            <w:vAlign w:val="center"/>
          </w:tcPr>
          <w:p>
            <w:pPr>
              <w:rPr>
                <w:rFonts w:ascii="Arial" w:hAnsi="Arial" w:cs="Arial"/>
                <w:sz w:val="18"/>
              </w:rPr>
            </w:pPr>
            <w:r>
              <w:rPr>
                <w:rFonts w:ascii="Arial" w:hAnsi="Arial" w:cs="Arial"/>
                <w:sz w:val="18"/>
              </w:rPr>
              <w:t/>
              <w:t>Følgende valideringer foretages i FordringListeHent. Valideringen foretages i DMI.</w:t>
              <w:br/>
              <w:t>______________________________</w:t>
              <w:br/>
              <w:t>Valideringer er i det følgende, som i alle servicebeskrivelser, inddelt i følgende intervaller:</w:t>
              <w:br/>
              <w:t>1) Forretningsmæssige fejl i kaldende system:</w:t>
              <w:br/>
              <w:t>* 1-899: Specifikke valideringer for service.</w:t>
              <w:br/>
              <w:t>* 901-919: Generelle Forretningsmæssige fejl i snittet mellem de to systemer.</w:t>
              <w:br/>
              <w:t/>
              <w:br/>
              <w:t>2) System/Tekniske fejl i DMI: (Inkluderes afhængig af specifik service)</w:t>
              <w:br/>
              <w:t>* 930-949: System/Tekniske fejl af midlertidig karakter</w:t>
              <w:br/>
              <w:t>* 950-969: System/Tekniske fejl af varig karakter</w:t>
              <w:br/>
              <w:t/>
              <w:br/>
              <w:t>3) Globale Fejl</w:t>
              <w:br/>
              <w:t>* 921, 922, 999: Midlertidige fejlkodemapninger. Mapning til permanente fejlkoder pågår, drevet af DMI</w:t>
              <w:br/>
              <w:t>* 990-994: Proxy Framework fejl i SAP ERP: Fejlhåndtering varierer</w:t>
              <w:br/>
              <w:t/>
              <w:br/>
              <w:t>##############################</w:t>
              <w:br/>
              <w:t>1) Forretningsmæssige fejl i kaldende system:</w:t>
              <w:br/>
              <w:t>##############################</w:t>
              <w:br/>
              <w:t>* 1-899: Specifikke valideringer for service:</w:t>
              <w:br/>
              <w:t/>
              <w:br/>
              <w:t>Validering: Kontrol af hvorvidt kunde findes</w:t>
              <w:br/>
              <w:t>Fejlnummer: 005</w:t>
              <w:br/>
              <w:t>Reaktion: Transaktionen afvises da kunden ikke findes</w:t>
              <w:br/>
              <w:t>Parameterliste: KundeNummer, KundeType</w:t>
              <w:br/>
              <w:t/>
              <w:br/>
              <w:t>Validering: Kontrol af hvorvidt anvendelseskode findes</w:t>
              <w:br/>
              <w:t>Fejlnummer: 006</w:t>
              <w:br/>
              <w:t>Reaktion: Transaktionen afvises da anvendelseskode ikke er kendt</w:t>
              <w:br/>
              <w:t>Parameterliste: AnvendelseKode</w:t>
              <w:br/>
              <w:t/>
              <w:br/>
              <w:t>Validering: Verificer at FordringArt er gyldig</w:t>
              <w:br/>
              <w:t>Fejlnummer: 007</w:t>
              <w:br/>
              <w:t>Reaktion: Transaktionen afvises da fordringart er ugyldig</w:t>
              <w:br/>
              <w:t>Parameterliste: FordringArt</w:t>
              <w:br/>
              <w:t/>
              <w:br/>
              <w:t>Validering: Blokering for store skyldnere</w:t>
              <w:br/>
              <w:t>Fejlnummer: 019</w:t>
              <w:br/>
              <w:t>Reaktion: Transaktionen afvises da skyldner har for mange fordringer til at blive behandlet i denne service</w:t>
              <w:br/>
              <w:t>Parameterliste: Antal fordringer</w:t>
              <w:br/>
              <w:t>______________________________</w:t>
              <w:br/>
              <w:t>901-919: Generelle Forretningsmæssige fejl i snittet mellem de to systemer.</w:t>
              <w:br/>
              <w:t>Fejlen logges, og manuel fejlhåndtering initieres, hos det kaldende system.</w:t>
              <w:br/>
              <w:t/>
              <w:br/>
              <w:t>Validering: Generel forretningsfejl i kaldende system der kræver analyse af Systemadministrator med anvendelse af medsendt fejltekst.</w:t>
              <w:br/>
              <w:t>Fejlnummer: 911</w:t>
              <w:br/>
              <w:t>Reaktion: Transaktion afvises</w:t>
              <w:br/>
              <w:t>Parameterliste:</w:t>
              <w:br/>
              <w:t/>
              <w:br/>
              <w:t>##############################</w:t>
              <w:br/>
              <w:t>2) System/Tekniske fejl i DMI: (Inkluderes afhængig af specifik service)</w:t>
              <w:br/>
              <w:t>##############################</w:t>
              <w:br/>
              <w:t>* 930-949: System/Tekniske fejl af midlertidig karakter</w:t>
              <w:br/>
              <w:t>* 950-969: System/Tekniske fejl af varig karakter</w:t>
              <w:br/>
              <w:t>Fejlhåndtering initieres hos kaldende system. Der kan initielt forsøges med genkald.</w:t>
              <w:br/>
              <w:t/>
              <w:br/>
              <w:t>##############################</w:t>
              <w:br/>
              <w:t>3) Globale Fejl</w:t>
              <w:br/>
              <w:t>##############################</w:t>
              <w:br/>
              <w:t>Når services kaldes og processeres, kan der opstå fejl som er globale - de kan altså forekomme for alle DMI-services. Fejlene inddeles i intervaller efter type og vil blive meldt med følgende fejlkoder:</w:t>
              <w:br/>
              <w:t/>
              <w:br/>
              <w:t>921, 922, 999: Midlertidige fejlkoder. Mapning til permanente fejlkoder pågår, drevet af DMI:</w:t>
              <w:br/>
              <w:t/>
              <w:br/>
              <w:t>Validering: Forretningsmæssig validering der endnu ikke er mappet til en service-specifik fejlkode.</w:t>
              <w:br/>
              <w:t>Fejlnummer: 999</w:t>
              <w:br/>
              <w:t>Reaktion: Transaktion afvises.</w:t>
              <w:br/>
              <w:t>Parameterliste: DMITransaktionID</w:t>
              <w:br/>
              <w:t/>
              <w:br/>
              <w:t>990-994: Proxy Framework fejl i SAP ERP: Fejlhåndtering varierer</w:t>
              <w:br/>
              <w:t/>
              <w:br/>
              <w:t>Validering: Dubletkontrol på Transaktions ID</w:t>
              <w:br/>
              <w:t>Fejlnummer: 990</w:t>
              <w:br/>
              <w:t>Reaktion: Transaktion afvises da TransaktionsID skal være unikt (Transaktion ID er allerede registreret)</w:t>
              <w:br/>
              <w:t>Parameterliste: DMITransaktionID</w:t>
              <w:br/>
              <w:t/>
              <w:br/>
              <w:t>Validering: Service Processering er ikke tilladt i system &amp; client &amp;</w:t>
              <w:br/>
              <w:t>Fejlnummer: 991</w:t>
              <w:br/>
              <w:t>Reaktion: Transaktion afvises.</w:t>
              <w:br/>
              <w:t>Parameterliste:</w:t>
              <w:br/>
              <w:t>Validering: Transaktion ID &amp; er allerede processeret (styret fil)</w:t>
              <w:br/>
              <w:t>Fejlnummer: 992</w:t>
              <w:br/>
              <w:t>Reaktion: Transaktion afvises</w:t>
              <w:br/>
              <w:t>Parameterliste: DMITransaktionID</w:t>
              <w:br/>
              <w:t/>
              <w:br/>
              <w:t>Validering: Kontrol på TranskationsID: Feltlængde max 255 karakterer</w:t>
              <w:br/>
              <w:t>Fejlnummer: 993</w:t>
              <w:br/>
              <w:t>Reaktion: Transaktion afvises da feltlængde på TransaktionsID &gt; 255 karakterer</w:t>
              <w:br/>
              <w:t>Parameterliste: DMITransaktionID</w:t>
              <w:br/>
              <w:t/>
              <w:br/>
              <w:t>Validering: Datasikkerhed: Autorisation tillader ikke handling</w:t>
              <w:br/>
              <w:t>Fejlnummer: 994</w:t>
              <w:br/>
              <w:t>Reaktion: Transaktion afvises da bruger mangler autorisation i SAP til at udføre handling.</w:t>
              <w:br/>
              <w:t>Parameterliste:</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Noter</w:t>
            </w:r>
          </w:p>
        </w:tc>
      </w:tr>
      <w:tr>
        <w:trPr>
          <w:trHeight w:val="283"/>
        </w:trPr>
        <w:tc>
          <w:tcPr>
            <w:tcW w:w="9639" w:type="dxa"/>
            <w:gridSpan w:val="5"/>
            <w:shd w:val="clear" w:color="auto" w:fill="FFFFFF"/>
            <w:tcMar>
              <w:top w:w="57" w:type="dxa"/>
              <w:bottom w:w="57" w:type="dxa"/>
            </w:tcMar>
            <w:vAlign w:val="center"/>
          </w:tcPr>
          <w:p>
            <w:pPr>
              <w:rPr>
                <w:rFonts w:ascii="Arial" w:hAnsi="Arial" w:cs="Arial"/>
                <w:sz w:val="18"/>
              </w:rPr>
            </w:pPr>
            <w:r>
              <w:rPr>
                <w:rFonts w:ascii="Arial" w:hAnsi="Arial" w:cs="Arial"/>
                <w:sz w:val="18"/>
              </w:rPr>
              <w:t/>
              <w:t>Service: synkron</w:t>
              <w:br/>
              <w:t>Frekvens: høj</w:t>
              <w:br/>
              <w:t>Volumen: mellem</w:t>
              <w:br/>
              <w:t>Leverancesikkerhed: høj</w:t>
              <w:br/>
              <w:t>Kompenserende transaktion: ingen</w:t>
              <w:br/>
              <w:t/>
              <w:br/>
              <w:t>Servicen understøtter ikke kompenserende transaktioner. Ved kald af KompenserTrans vil servicen give fejlkode -4 tilbage og ikke 1005.</w:t>
            </w:r>
          </w:p>
        </w:tc>
      </w:tr>
    </w:tbl>
    <w:p>
      <w:r>
        <w:br w:type="page"/>
      </w:r>
    </w:p>
    <w:p>
      <w:pPr>
        <w:pStyle w:val="Titel"/>
        <w:outlineLvl w:val="0"/>
      </w:pPr>
      <w:r>
        <w:rPr xsi:nil="true"/>
        <w:t>Fælles datastrukturer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FordringPeriodeStruktur</w:t>
            </w:r>
            <w:bookmarkStart w:name="FordringPeriode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DMIFordringPeriodeFraDato</w:t>
              <w:br/>
              <w:t>DMIFordringPeriodeTilDato</w:t>
              <w:br/>
              <w:t>(DMIFordringPeriodeType)</w:t>
            </w:r>
          </w:p>
        </w:tc>
      </w:tr>
      <w:tr>
        <w:trPr>
          <w:trHeight w:val="283"/>
        </w:trPr>
        <w:tc>
          <w:tcPr>
            <w:tcW w:w="9639" w:type="dxa"/>
            <w:shd w:val="clear" w:color="auto" w:fill="D2DCFA"/>
            <w:vAlign w:val="center"/>
          </w:tcPr>
          <w:p>
            <w:pPr>
              <w:spacing w:line="240" w:lineRule="auto"/>
              <w:rPr>
                <w:rFonts w:ascii="Arial" w:hAnsi="Arial" w:cs="Arial"/>
                <w:b/>
                <w:sz w:val="18"/>
              </w:rPr>
            </w:pPr>
            <w:r>
              <w:rPr>
                <w:rFonts w:ascii="Arial" w:hAnsi="Arial" w:cs="Arial"/>
                <w:b/>
                <w:sz w:val="18"/>
              </w:rPr>
              <w:t>Beskrivelse</w:t>
            </w:r>
          </w:p>
        </w:tc>
      </w:tr>
      <w:tr>
        <w:trPr>
          <w:trHeight w:val="283"/>
        </w:trPr>
        <w:tc>
          <w:tcPr>
            <w:tcW w:w="9639" w:type="dxa"/>
            <w:tcBorders>
              <w:top w:val="single" w:sz="6" w:space="0" w:color="auto"/>
              <w:left w:val="single" w:sz="4" w:space="0" w:color="auto"/>
              <w:bottom w:val="single" w:sz="4" w:space="0" w:color="auto"/>
              <w:right w:val="single" w:sz="4" w:space="0" w:color="auto"/>
            </w:tcBorders>
            <w:shd w:val="clear" w:color="auto" w:fill="FFFFFF"/>
            <w:tcMar>
              <w:top w:w="57" w:type="dxa"/>
              <w:bottom w:w="57" w:type="dxa"/>
            </w:tcMar>
          </w:tcPr>
          <w:p>
            <w:pPr>
              <w:rPr>
                <w:rFonts w:ascii="Arial" w:hAnsi="Arial" w:cs="Arial"/>
                <w:sz w:val="18"/>
              </w:rPr>
            </w:pPr>
            <w:r>
              <w:rPr>
                <w:rFonts w:ascii="Arial" w:hAnsi="Arial" w:cs="Arial"/>
                <w:sz w:val="18"/>
              </w:rPr>
              <w:t/>
              <w:t>Perioden som en fordring vedrører. Begge datoer er inklusive. PeriodeType er ren informativ tekst, f.eks. "Andet kvartal 2010"</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HæftelseBeløbStruktur</w:t>
            </w:r>
            <w:bookmarkStart w:name="HæftelseBeløb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ValutaKode</w:t>
              <w:br/>
              <w:t>HæftelseBeløb</w:t>
              <w:br/>
              <w:t>(HæftelseBeløbDKK)</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HæftelseRestBeløbStruktur</w:t>
            </w:r>
            <w:bookmarkStart w:name="HæftelseRestBeløb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ValutaKode</w:t>
              <w:br/>
              <w:t>HæftelseRestBeløb</w:t>
              <w:br/>
              <w:t>HæftelseRestBeløbDKK</w:t>
            </w:r>
          </w:p>
        </w:tc>
      </w:tr>
    </w:tbl>
    <w:p/>
    <w:p>
      <w:r>
        <w:br w:type="page"/>
      </w:r>
    </w:p>
    <w:p>
      <w:pPr>
        <w:pStyle w:val="Titel"/>
        <w:outlineLvl w:val="0"/>
      </w:pPr>
      <w:r>
        <w:rPr xsi:nil="true"/>
        <w:t>Dataelementer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cantSplit/>
          <w:trHeight w:val="315"/>
          <w:tblHeader/>
        </w:trPr>
        <w:tc>
          <w:tcPr>
            <w:tcW w:w="3397" w:type="dxa"/>
            <w:shd w:val="clear" w:color="auto" w:fill="A0B4FF"/>
            <w:tcMar>
              <w:top w:w="57" w:type="dxa"/>
            </w:tcMar>
            <w:vAlign w:val="center"/>
          </w:tcPr>
          <w:p>
            <w:pPr>
              <w:rPr>
                <w:rFonts w:ascii="Arial" w:hAnsi="Arial" w:cs="Arial"/>
                <w:b/>
                <w:sz w:val="18"/>
              </w:rPr>
            </w:pPr>
            <w:r>
              <w:rPr>
                <w:rFonts w:ascii="Arial" w:hAnsi="Arial" w:cs="Arial"/>
                <w:b/>
                <w:sz w:val="18"/>
              </w:rPr>
              <w:t>Dataelement</w:t>
            </w:r>
          </w:p>
        </w:tc>
        <w:tc>
          <w:tcPr>
            <w:tcW w:w="1985" w:type="dxa"/>
            <w:shd w:val="clear" w:color="auto" w:fill="A0B4FF"/>
            <w:tcMar>
              <w:top w:w="57" w:type="dxa"/>
            </w:tcMar>
            <w:vAlign w:val="center"/>
          </w:tcPr>
          <w:p>
            <w:pPr>
              <w:rPr>
                <w:rFonts w:ascii="Arial" w:hAnsi="Arial" w:cs="Arial"/>
                <w:b/>
                <w:sz w:val="18"/>
              </w:rPr>
            </w:pPr>
            <w:r>
              <w:rPr>
                <w:rFonts w:ascii="Arial" w:hAnsi="Arial" w:cs="Arial"/>
                <w:b/>
                <w:sz w:val="18"/>
              </w:rPr>
              <w:t>Datatype</w:t>
            </w:r>
          </w:p>
        </w:tc>
        <w:tc>
          <w:tcPr>
            <w:tcW w:w="4391" w:type="dxa"/>
            <w:shd w:val="clear" w:color="auto" w:fill="A0B4FF"/>
            <w:tcMar>
              <w:top w:w="57" w:type="dxa"/>
            </w:tcMar>
            <w:vAlign w:val="center"/>
          </w:tcPr>
          <w:p>
            <w:pPr>
              <w:rPr>
                <w:rFonts w:ascii="Arial" w:hAnsi="Arial" w:cs="Arial"/>
                <w:b/>
                <w:sz w:val="18"/>
              </w:rPr>
            </w:pPr>
            <w:r>
              <w:rPr>
                <w:rFonts w:ascii="Arial" w:hAnsi="Arial" w:cs="Arial"/>
                <w:b/>
                <w:sz w:val="18"/>
              </w:rPr>
              <w:t>Beskrivelse/værdisæt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AnvendelseKode</w:t>
            </w:r>
            <w:bookmarkStart w:name="Anvendelse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8</w:t>
            </w:r>
          </w:p>
        </w:tc>
        <w:tc>
          <w:tcPr>
            <w:tcW w:w="4391" w:type="dxa"/>
            <w:tcMar>
              <w:top w:w="57" w:type="dxa"/>
              <w:bottom w:w="57" w:type="dxa"/>
            </w:tcMar>
          </w:tcPr>
          <w:p>
            <w:pPr>
              <w:rPr>
                <w:rFonts w:ascii="Arial" w:hAnsi="Arial" w:cs="Arial"/>
                <w:sz w:val="18"/>
              </w:rPr>
            </w:pPr>
            <w:r>
              <w:rPr>
                <w:rFonts w:ascii="Arial" w:hAnsi="Arial" w:cs="Arial"/>
                <w:sz w:val="18"/>
              </w:rPr>
              <w:t/>
              <w:t>Angiver det relevante anvendelsesområde for output og har betydning for hvilke elementer i output der udfyldes.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DMIFordringFordringArtKode</w:t>
            </w:r>
            <w:bookmarkStart w:name="DMIFordringFordringArt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w:t>
              <w:br/>
              <w:t>enumeration: OPKR, INDR, MODR, TRAN</w:t>
            </w:r>
          </w:p>
        </w:tc>
        <w:tc>
          <w:tcPr>
            <w:tcW w:w="4391" w:type="dxa"/>
            <w:tcMar>
              <w:top w:w="57" w:type="dxa"/>
              <w:bottom w:w="57" w:type="dxa"/>
            </w:tcMar>
          </w:tcPr>
          <w:p>
            <w:pPr>
              <w:rPr>
                <w:rFonts w:ascii="Arial" w:hAnsi="Arial" w:cs="Arial"/>
                <w:sz w:val="18"/>
              </w:rPr>
            </w:pPr>
            <w:r>
              <w:rPr>
                <w:rFonts w:ascii="Arial" w:hAnsi="Arial" w:cs="Arial"/>
                <w:sz w:val="18"/>
              </w:rPr>
              <w:t/>
              <w:t>Anvendes til at definere om en fordring er en Inddrivelsesfordring, Opkrævningsfordring, Modregningsfordring eller en Transport</w:t>
              <w:br/>
              <w:t/>
              <w:br/>
              <w:t>Listen består af faste værdier (Enum)</w:t>
              <w:br/>
              <w:t/>
              <w:br/>
              <w:t>Værdisæt:</w:t>
              <w:br/>
              <w:t>INDR: Inddrivelsesfordring</w:t>
              <w:br/>
              <w:t>OPKR: Opkrævningsfordring</w:t>
              <w:br/>
              <w:t>MODR: Modregningsfordring</w:t>
              <w:br/>
              <w:t>TRAN: Transport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DMIFordringFordringHaverBeskr</w:t>
            </w:r>
            <w:bookmarkStart w:name="DMIFordringFordringHaverBesk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minLength: 0</w:t>
              <w:br/>
              <w:t>maxLength: 100</w:t>
              <w:br/>
              <w:t>whitespace: preserve</w:t>
            </w:r>
          </w:p>
        </w:tc>
        <w:tc>
          <w:tcPr>
            <w:tcW w:w="4391" w:type="dxa"/>
            <w:tcMar>
              <w:top w:w="57" w:type="dxa"/>
              <w:bottom w:w="57" w:type="dxa"/>
            </w:tcMar>
          </w:tcPr>
          <w:p>
            <w:pPr>
              <w:rPr>
                <w:rFonts w:ascii="Arial" w:hAnsi="Arial" w:cs="Arial"/>
                <w:sz w:val="18"/>
              </w:rPr>
            </w:pPr>
            <w:r>
              <w:rPr>
                <w:rFonts w:ascii="Arial" w:hAnsi="Arial" w:cs="Arial"/>
                <w:sz w:val="18"/>
              </w:rPr>
              <w:t/>
              <w:t>Supplerende beskrivelse (fritekst) til Fordringen.</w:t>
              <w:br/>
              <w:t>F.eks. "Brandstøvler er ikke afleveret retur."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DMIFordringForeløbigFastsat</w:t>
            </w:r>
            <w:bookmarkStart w:name="DMIFordringForeløbigFastsat"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br/>
              <w:t>totalDigits: 3</w:t>
            </w:r>
          </w:p>
        </w:tc>
        <w:tc>
          <w:tcPr>
            <w:tcW w:w="4391" w:type="dxa"/>
            <w:tcMar>
              <w:top w:w="57" w:type="dxa"/>
              <w:bottom w:w="57" w:type="dxa"/>
            </w:tcMar>
          </w:tcPr>
          <w:p>
            <w:pPr>
              <w:rPr>
                <w:rFonts w:ascii="Arial" w:hAnsi="Arial" w:cs="Arial"/>
                <w:sz w:val="18"/>
              </w:rPr>
            </w:pPr>
            <w:r>
              <w:rPr>
                <w:rFonts w:ascii="Arial" w:hAnsi="Arial" w:cs="Arial"/>
                <w:sz w:val="18"/>
              </w:rPr>
              <w:t/>
              <w:t>Angiver om fordringen er en foreløbig fastsættelse.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DMIFordringForfaldDato</w:t>
            </w:r>
            <w:bookmarkStart w:name="DMIFordringForfald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Tidspunktet hvor en fordring forfalder til betaling.</w:t>
              <w:br/>
              <w:t>Eksempelvis kan forfaldsdatoen være den 1. i en kalendermåned, mens sidste rettidig betalingsdato kan være 10. i forfaldsmåneden.</w:t>
              <w:br/>
              <w:t/>
              <w:br/>
              <w:t>Opkrævningsmyndigheden: Vil være den dato, hvor en angivelse kan indgå i kontoens saldo, hvis virksomheden betaler fordringen (f.eks. skatten/afgiften) før SRB.</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DMIFordringHaverID</w:t>
            </w:r>
            <w:bookmarkStart w:name="DMIFordringHaver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Identificerer den unikke aftale ID.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DMIFordringHovedFordringID</w:t>
            </w:r>
            <w:bookmarkStart w:name="DMIFordringHovedFordrin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Vilkårligt unikt identifikationsnummer.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DMIFordringID</w:t>
            </w:r>
            <w:bookmarkStart w:name="DMIFordrin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Vilkårligt unikt identifikationsnummer.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DMIFordringKlasse</w:t>
            </w:r>
            <w:bookmarkStart w:name="DMIFordringKlas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Angiver dækningsrækkefølgen for fordringer.</w:t>
              <w:br/>
              <w:t/>
              <w:br/>
              <w:t>Værdisæt:</w:t>
              <w:br/>
              <w:t>1. Bøder der er tillagt afsoning</w:t>
              <w:br/>
              <w:t>2. Underholdsbidrag omfattet af lov om opkrævning af underholdsbidrag.</w:t>
              <w:br/>
              <w:t>3. Andre fordringer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DMIFordringModtagelseDato</w:t>
            </w:r>
            <w:bookmarkStart w:name="DMIFordringModtag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dateTime</w:t>
              <w:br/>
              <w:t>whitespace: collapse</w:t>
            </w:r>
          </w:p>
        </w:tc>
        <w:tc>
          <w:tcPr>
            <w:tcW w:w="4391" w:type="dxa"/>
            <w:tcMar>
              <w:top w:w="57" w:type="dxa"/>
              <w:bottom w:w="57" w:type="dxa"/>
            </w:tcMar>
          </w:tcPr>
          <w:p>
            <w:pPr>
              <w:rPr>
                <w:rFonts w:ascii="Arial" w:hAnsi="Arial" w:cs="Arial"/>
                <w:sz w:val="18"/>
              </w:rPr>
            </w:pPr>
            <w:r>
              <w:rPr>
                <w:rFonts w:ascii="Arial" w:hAnsi="Arial" w:cs="Arial"/>
                <w:sz w:val="18"/>
              </w:rPr>
              <w:t/>
              <w:t>Dato og tidspunkt for hvornår fordringen er modtaget i EFI/MF.</w:t>
              <w:br/>
              <w:t>Anvendes bl.a. til dækningsrækkefølge i DMI.</w:t>
              <w:br/>
              <w:t>Alle relaterede fordringer nedarver modtagelsesdato fra hovedfordringen.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DMIFordringPeriodeFraDato</w:t>
            </w:r>
            <w:bookmarkStart w:name="DMIFordringPeriodeFra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Periode Fra er startdatoen for perioden, som en fordring vedrører.</w:t>
              <w:br/>
              <w:t>Datoen er en incl. 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DMIFordringPeriodeTilDato</w:t>
            </w:r>
            <w:bookmarkStart w:name="DMIFordringPeriodeTil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PeriodeTil er slutdatoen for perioden, som en fordring vedrører.</w:t>
              <w:br/>
              <w:t>Datoen er en incl 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DMIFordringPeriodeType</w:t>
            </w:r>
            <w:bookmarkStart w:name="DMIFordringPeriode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w:t>
            </w:r>
          </w:p>
        </w:tc>
        <w:tc>
          <w:tcPr>
            <w:tcW w:w="4391" w:type="dxa"/>
            <w:tcMar>
              <w:top w:w="57" w:type="dxa"/>
              <w:bottom w:w="57" w:type="dxa"/>
            </w:tcMar>
          </w:tcPr>
          <w:p>
            <w:pPr>
              <w:rPr>
                <w:rFonts w:ascii="Arial" w:hAnsi="Arial" w:cs="Arial"/>
                <w:sz w:val="18"/>
              </w:rPr>
            </w:pPr>
            <w:r>
              <w:rPr>
                <w:rFonts w:ascii="Arial" w:hAnsi="Arial" w:cs="Arial"/>
                <w:sz w:val="18"/>
              </w:rPr>
              <w:t/>
              <w:t>Sagsbehandlers mulighed for i fri tekst at beskrive periode. F.eks med:</w:t>
              <w:br/>
              <w:t/>
              <w:br/>
              <w:t>År</w:t>
              <w:br/>
              <w:t>Halvår</w:t>
              <w:br/>
              <w:t>Kvartal</w:t>
              <w:br/>
              <w:t>Måned</w:t>
              <w:br/>
              <w:t>Uge</w:t>
              <w:br/>
              <w:t>Dag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DMIFordringSRBDato</w:t>
            </w:r>
            <w:bookmarkStart w:name="DMIFordringSRB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Sidste rettidige betalingsdato. Den sidste frist for, hvornår en fordring skal være betalt.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DMIFordringStiftelseTidspunkt</w:t>
            </w:r>
            <w:bookmarkStart w:name="DMIFordringStiftelseTidspunkt"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Det dato hvor fordringen er stiftet.</w:t>
              <w:br/>
              <w:t>Indgår i dækningsrækkefølgen når der er transport/udlæg involveret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DMIFordringTypeKategori</w:t>
            </w:r>
            <w:bookmarkStart w:name="DMIFordringTypeKategori"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2</w:t>
              <w:br/>
              <w:t>enumeration: HF, IR, OG, OR, IG</w:t>
            </w:r>
          </w:p>
        </w:tc>
        <w:tc>
          <w:tcPr>
            <w:tcW w:w="4391" w:type="dxa"/>
            <w:tcMar>
              <w:top w:w="57" w:type="dxa"/>
              <w:bottom w:w="57" w:type="dxa"/>
            </w:tcMar>
          </w:tcPr>
          <w:p>
            <w:pPr>
              <w:rPr>
                <w:rFonts w:ascii="Arial" w:hAnsi="Arial" w:cs="Arial"/>
                <w:sz w:val="18"/>
              </w:rPr>
            </w:pPr>
            <w:r>
              <w:rPr>
                <w:rFonts w:ascii="Arial" w:hAnsi="Arial" w:cs="Arial"/>
                <w:sz w:val="18"/>
              </w:rPr>
              <w:t/>
              <w:t>Fordringskategori angiver om det er en hovedfordring, en Inddrivelsesrente, en opkrævningsrente  eller et inddrivelsesgebyr</w:t>
              <w:br/>
              <w:t/>
              <w:br/>
              <w:t>Værdisæt:</w:t>
              <w:br/>
              <w:t>HF: Hovedfordring</w:t>
              <w:br/>
              <w:t>IR: Inddrivelsesrente</w:t>
              <w:br/>
              <w:t>IG: Inddrivelsesgebyr</w:t>
              <w:br/>
              <w:t>OR: Opkrævningrente</w:t>
              <w:br/>
              <w:t>OG: Opkrævningsgebyr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DMIFordringTypeKode</w:t>
            </w:r>
            <w:bookmarkStart w:name="DMIFordringType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w:t>
            </w:r>
          </w:p>
        </w:tc>
        <w:tc>
          <w:tcPr>
            <w:tcW w:w="4391" w:type="dxa"/>
            <w:tcMar>
              <w:top w:w="57" w:type="dxa"/>
              <w:bottom w:w="57" w:type="dxa"/>
            </w:tcMar>
          </w:tcPr>
          <w:p>
            <w:pPr>
              <w:rPr>
                <w:rFonts w:ascii="Arial" w:hAnsi="Arial" w:cs="Arial"/>
                <w:sz w:val="18"/>
              </w:rPr>
            </w:pPr>
            <w:r>
              <w:rPr>
                <w:rFonts w:ascii="Arial" w:hAnsi="Arial" w:cs="Arial"/>
                <w:sz w:val="18"/>
              </w:rPr>
              <w:t/>
              <w:t>Kode på 7 karakter som må bestå af tal og/eller bogstaver som modsvarer en fordringstype.</w:t>
              <w:br/>
              <w:t/>
              <w:br/>
              <w:t>Eksempler:</w:t>
              <w:br/>
              <w:t>DAAEOGS (Adfærdsregulerende afgifter til Erhvervs-og Selskabsstyrelsen)</w:t>
              <w:br/>
              <w:t>DOADVOM  (Advokatomkostninger)</w:t>
              <w:br/>
              <w:t>PAGLØDL (Afgift af glødelamper mv.)</w:t>
              <w:br/>
              <w:t/>
              <w:br/>
              <w:t>Se fordringstype regneark med værdier og beskrivelse.  Der skal indsættes reference i SA til Dokumentet.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DMIFordringTypeTekst</w:t>
            </w:r>
            <w:bookmarkStart w:name="DMIFordringTypeTek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60</w:t>
            </w:r>
          </w:p>
        </w:tc>
        <w:tc>
          <w:tcPr>
            <w:tcW w:w="4391" w:type="dxa"/>
            <w:tcMar>
              <w:top w:w="57" w:type="dxa"/>
              <w:bottom w:w="57" w:type="dxa"/>
            </w:tcMar>
          </w:tcPr>
          <w:p>
            <w:pPr>
              <w:rPr>
                <w:rFonts w:ascii="Arial" w:hAnsi="Arial" w:cs="Arial"/>
                <w:sz w:val="18"/>
              </w:rPr>
            </w:pPr>
            <w:r>
              <w:rPr>
                <w:rFonts w:ascii="Arial" w:hAnsi="Arial" w:cs="Arial"/>
                <w:sz w:val="18"/>
              </w:rPr>
              <w:t/>
              <w:t>En tekststreng med op til 60 alfanummeriske karakterer.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DækningParat</w:t>
            </w:r>
            <w:bookmarkStart w:name="DækningParat"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Angivelse af om en fordring er dækningsparat, dvs. opfylder visse kriterier.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DækningPotentiale</w:t>
            </w:r>
            <w:bookmarkStart w:name="DækningPotentiale"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Bolsk værdi. den kan enten være True eller False.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FlagID</w:t>
            </w:r>
            <w:bookmarkStart w:name="FlagI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Angiver en tekst på max. 10 alfanummeriske karakterer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FordringHaverNavn</w:t>
            </w:r>
            <w:bookmarkStart w:name="FordringHaverNavn"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300</w:t>
            </w:r>
          </w:p>
        </w:tc>
        <w:tc>
          <w:tcPr>
            <w:tcW w:w="4391" w:type="dxa"/>
            <w:tcMar>
              <w:top w:w="57" w:type="dxa"/>
              <w:bottom w:w="57" w:type="dxa"/>
            </w:tcMar>
          </w:tcPr>
          <w:p>
            <w:pPr>
              <w:rPr>
                <w:rFonts w:ascii="Arial" w:hAnsi="Arial" w:cs="Arial"/>
                <w:sz w:val="18"/>
              </w:rPr>
            </w:pPr>
            <w:r>
              <w:rPr>
                <w:rFonts w:ascii="Arial" w:hAnsi="Arial" w:cs="Arial"/>
                <w:sz w:val="18"/>
              </w:rPr>
              <w:t/>
              <w:t>Navnet på fordringshaver.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HæftelseBeløb</w:t>
            </w:r>
            <w:bookmarkStart w:name="Hæftels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Den del af fordringens beløb som hæfteren hæfter for, i den indrapporterede valuta.</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HæftelseBeløbDKK</w:t>
            </w:r>
            <w:bookmarkStart w:name="HæftelseBeløbDKK"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Den del af fordringens beløb som hæfteren hæfter for, i danske kroner.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HæftelseForm</w:t>
            </w:r>
            <w:bookmarkStart w:name="HæftelseForm"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w:t>
              <w:br/>
              <w:t>enumeration: PRO, SOL, SUB, ALM, AND</w:t>
            </w:r>
          </w:p>
        </w:tc>
        <w:tc>
          <w:tcPr>
            <w:tcW w:w="4391" w:type="dxa"/>
            <w:tcMar>
              <w:top w:w="57" w:type="dxa"/>
              <w:bottom w:w="57" w:type="dxa"/>
            </w:tcMar>
          </w:tcPr>
          <w:p>
            <w:pPr>
              <w:rPr>
                <w:rFonts w:ascii="Arial" w:hAnsi="Arial" w:cs="Arial"/>
                <w:sz w:val="18"/>
              </w:rPr>
            </w:pPr>
            <w:r>
              <w:rPr>
                <w:rFonts w:ascii="Arial" w:hAnsi="Arial" w:cs="Arial"/>
                <w:sz w:val="18"/>
              </w:rPr>
              <w:t/>
              <w:t>Hæftelsesformen som indikerer på hvilken måde, at hæfteren hæfter for fordringen. Hæftelsesformer er et udtryk for hvem der skylder, andel af fordringen samt hvilket aktiver/formue kreditorerne kan søge sig fyldestgjort i, f.eks. i forbindelse med en udlægsforretning.Hæftelsesformen indikerer implicit hæftelsesprocenten (som findes på Hæftelse). Fx. betyder solidarisk hæftelse, at alle kunder hæfter 100% for fordringen.</w:t>
              <w:br/>
              <w:t/>
              <w:br/>
              <w:t>Værdisæt:</w:t>
              <w:br/>
              <w:t>PRO: Pro rata</w:t>
              <w:br/>
              <w:t>SOL: Solidarisk</w:t>
              <w:br/>
              <w:t>SUB: Subsidiær</w:t>
              <w:br/>
              <w:t>ALM: Alm. Hæftelse</w:t>
              <w:br/>
              <w:t>AND: Anden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HæftelseForældelseDato</w:t>
            </w:r>
            <w:bookmarkStart w:name="HæftelseForældelse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Den aktive dato for hvornår forældelse sker. Fordringhaver kan indmelde den første gældende dato, men i forbindelse med f.eks. betalingsordninger og lønindeholdelser vil den blive genberegnet.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HæftelseRestBeløb</w:t>
            </w:r>
            <w:bookmarkStart w:name="HæftelseRes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Hæftelsesrestbeløb i den indrapporterede valuta.</w:t>
              <w:br/>
              <w:t>Den del af fordringens restbeløb som hæfteren hæfter for.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HæftelseRestBeløbDKK</w:t>
            </w:r>
            <w:bookmarkStart w:name="HæftelseRestBeløbDKK"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Hæftelsesrestbeløb omregnet til danske kroner.</w:t>
              <w:br/>
              <w:t>Den del af fordringens restbeløb som hæfteren hæfter for. Er ikke veldefineret for hæftelseform "andet" (den fjerde hæftel-sesform dvs. hverken solidarisk, subsidiær eller prorata</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KundeNummer</w:t>
            </w:r>
            <w:bookmarkStart w:name="Kund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11</w:t>
              <w:br/>
              <w:t>pattern: [0-9]{8,11}</w:t>
            </w:r>
          </w:p>
        </w:tc>
        <w:tc>
          <w:tcPr>
            <w:tcW w:w="4391" w:type="dxa"/>
            <w:tcMar>
              <w:top w:w="57" w:type="dxa"/>
              <w:bottom w:w="57" w:type="dxa"/>
            </w:tcMar>
          </w:tcPr>
          <w:p>
            <w:pPr>
              <w:rPr>
                <w:rFonts w:ascii="Arial" w:hAnsi="Arial" w:cs="Arial"/>
                <w:sz w:val="18"/>
              </w:rPr>
            </w:pPr>
            <w:r>
              <w:rPr>
                <w:rFonts w:ascii="Arial" w:hAnsi="Arial" w:cs="Arial"/>
                <w:sz w:val="18"/>
              </w:rPr>
              <w:t/>
              <w:t>Identifikationen af kunden i form af CVR/SE nr. for virksomheder, CPR for personer og journalnr. for dem, som ikke har et af de 2 andre typer.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KundeType</w:t>
            </w:r>
            <w:bookmarkStart w:name="Kunde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30</w:t>
            </w:r>
          </w:p>
        </w:tc>
        <w:tc>
          <w:tcPr>
            <w:tcW w:w="4391" w:type="dxa"/>
            <w:tcMar>
              <w:top w:w="57" w:type="dxa"/>
              <w:bottom w:w="57" w:type="dxa"/>
            </w:tcMar>
          </w:tcPr>
          <w:p>
            <w:pPr>
              <w:rPr>
                <w:rFonts w:ascii="Arial" w:hAnsi="Arial" w:cs="Arial"/>
                <w:sz w:val="18"/>
              </w:rPr>
            </w:pPr>
            <w:r>
              <w:rPr>
                <w:rFonts w:ascii="Arial" w:hAnsi="Arial" w:cs="Arial"/>
                <w:sz w:val="18"/>
              </w:rPr>
              <w:t/>
              <w:t>Identificere typen kunde, dvs. hvad KundeNummer dækker over.</w:t>
              <w:br/>
              <w:t/>
              <w:br/>
              <w:t>Værdisæt:</w:t>
              <w:br/>
              <w:t>CVR-Virksomhed</w:t>
              <w:br/>
              <w:t>SE-Virksomhed</w:t>
              <w:br/>
              <w:t>CPR-Person</w:t>
              <w:br/>
              <w:t>AKR-DMR-Person</w:t>
              <w:br/>
              <w:t>AKR-DMR-Virksomhed</w:t>
              <w:br/>
              <w:t>AKR-DMR-Ukendt</w:t>
              <w:br/>
              <w:t>AKR-EFI-Person</w:t>
              <w:br/>
              <w:t>AKR-EFI-Virksomhed</w:t>
              <w:br/>
              <w:t>AKR-EFI-Myndighed</w:t>
              <w:br/>
              <w:t>AKR-EFI-Ukendt</w:t>
              <w:br/>
              <w:t>UViR-Virksomhed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ObjektBlokerendeMarkering</w:t>
            </w:r>
            <w:bookmarkStart w:name="ObjektBlokerendeMarkering" w:id="1"/>
            <w:bookmarkEnd w:id="1"/>
          </w:p>
        </w:tc>
        <w:tc>
          <w:tcPr>
            <w:tcW w:w="1985" w:type="dxa"/>
            <w:tcMar>
              <w:top w:w="57" w:type="dxa"/>
              <w:bottom w:w="57" w:type="dxa"/>
            </w:tcMar>
          </w:tcPr>
          <w:p>
            <w:pPr>
              <w:rPr>
                <w:rFonts w:ascii="Arial" w:hAnsi="Arial" w:cs="Arial"/>
                <w:sz w:val="18"/>
              </w:rPr>
            </w:pPr>
            <w:r>
              <w:rPr>
                <w:rFonts w:ascii="Arial" w:hAnsi="Arial" w:cs="Arial"/>
                <w:sz w:val="18"/>
              </w:rPr>
              <w:t/>
              <w:t>base: boolean</w:t>
            </w:r>
          </w:p>
        </w:tc>
        <w:tc>
          <w:tcPr>
            <w:tcW w:w="4391" w:type="dxa"/>
            <w:tcMar>
              <w:top w:w="57" w:type="dxa"/>
              <w:bottom w:w="57" w:type="dxa"/>
            </w:tcMar>
          </w:tcPr>
          <w:p>
            <w:pPr>
              <w:rPr>
                <w:rFonts w:ascii="Arial" w:hAnsi="Arial" w:cs="Arial"/>
                <w:sz w:val="18"/>
              </w:rPr>
            </w:pPr>
            <w:r>
              <w:rPr>
                <w:rFonts w:ascii="Arial" w:hAnsi="Arial" w:cs="Arial"/>
                <w:sz w:val="18"/>
              </w:rPr>
              <w:t/>
              <w:t>Markering der angiver om objektet vurderes at være blokerende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ObjektID</w:t>
            </w:r>
            <w:bookmarkStart w:name="ObjektI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ID for objektet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ObjektKategori</w:t>
            </w:r>
            <w:bookmarkStart w:name="ObjektKategori"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Objekt kategori for objektet. For eksempel: Kundesag, post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ObjektStatus</w:t>
            </w:r>
            <w:bookmarkStart w:name="ObjektStatus"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Objekt status for objektet. For eksempel: Åben, aktiv</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ObjektType</w:t>
            </w:r>
            <w:bookmarkStart w:name="Objekt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Objekt type for objektet. For eksempel: Rykker, udlæg, bobehandling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ObjektUndertype</w:t>
            </w:r>
            <w:bookmarkStart w:name="ObjektUndertyp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Objekt undertype for objektet. For eksempel: Screening, besvarelse af post, eftergivelse, konkurs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ObjektVærdi</w:t>
            </w:r>
            <w:bookmarkStart w:name="ObjektVærd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Angivelse af relevante værdier, for eksempel rate beløb ved afdragsordning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ValideringStatusKode</w:t>
            </w:r>
            <w:bookmarkStart w:name="ValideringStatus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w:t>
            </w:r>
          </w:p>
        </w:tc>
        <w:tc>
          <w:tcPr>
            <w:tcW w:w="4391" w:type="dxa"/>
            <w:tcMar>
              <w:top w:w="57" w:type="dxa"/>
              <w:bottom w:w="57" w:type="dxa"/>
            </w:tcMar>
          </w:tcPr>
          <w:p>
            <w:pPr>
              <w:rPr>
                <w:rFonts w:ascii="Arial" w:hAnsi="Arial" w:cs="Arial"/>
                <w:sz w:val="18"/>
              </w:rPr>
            </w:pPr>
            <w:r>
              <w:rPr>
                <w:rFonts w:ascii="Arial" w:hAnsi="Arial" w:cs="Arial"/>
                <w:sz w:val="18"/>
              </w:rPr>
              <w:t/>
              <w:t>Tekstfelt der indeholder fire alfanummeriske tegn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ValutaKode</w:t>
            </w:r>
            <w:bookmarkStart w:name="Valuta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3</w:t>
              <w:br/>
              <w:t>pattern: [A-Z]{2,3}</w:t>
            </w:r>
          </w:p>
        </w:tc>
        <w:tc>
          <w:tcPr>
            <w:tcW w:w="4391" w:type="dxa"/>
            <w:tcMar>
              <w:top w:w="57" w:type="dxa"/>
              <w:bottom w:w="57" w:type="dxa"/>
            </w:tcMar>
          </w:tcPr>
          <w:p>
            <w:pPr>
              <w:rPr>
                <w:rFonts w:ascii="Arial" w:hAnsi="Arial" w:cs="Arial"/>
                <w:sz w:val="18"/>
              </w:rPr>
            </w:pPr>
            <w:r>
              <w:rPr>
                <w:rFonts w:ascii="Arial" w:hAnsi="Arial" w:cs="Arial"/>
                <w:sz w:val="18"/>
              </w:rPr>
              <w:t/>
              <w:t>Angiver valuta enheden (ISO-møntkoden) for et beløb.</w:t>
            </w:r>
          </w:p>
        </w:tc>
      </w:tr>
    </w:tbl>
    <w:sectPr w:rsidR="001227D7" w:rsidRPr="005A3520" w:rsidSect="002A254D">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48C3" w:rsidRDefault="005248C3" w:rsidP="000036B2">
      <w:pPr>
        <w:spacing w:line="240" w:lineRule="auto"/>
      </w:pPr>
      <w:r>
        <w:separator/>
      </w:r>
    </w:p>
  </w:endnote>
  <w:endnote w:type="continuationSeparator" w:id="0">
    <w:p w:rsidR="005248C3" w:rsidRDefault="005248C3" w:rsidP="00003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Pr="00CD27A8" w:rsidRDefault="00800637">
    <w:pPr>
      <w:pStyle w:val="Sidefod"/>
      <w:rPr>
        <w:rFonts w:ascii="Arial" w:hAnsi="Arial" w:cs="Arial"/>
        <w:sz w:val="16"/>
        <w:szCs w:val="16"/>
      </w:rPr>
    </w:pPr>
    <w:r>
      <w:rPr>
        <w:rFonts w:ascii="Arial" w:hAnsi="Arial" w:cs="Arial"/>
        <w:sz w:val="16"/>
        <w:szCs w:val="16"/>
      </w:rPr>
      <w:t xml:space="preserve">21-01-2026</w:t>
    </w:r>
    <w:r w:rsidR="000036B2" w:rsidRPr="00CD27A8">
      <w:rPr>
        <w:rFonts w:ascii="Arial" w:hAnsi="Arial" w:cs="Arial"/>
        <w:sz w:val="16"/>
        <w:szCs w:val="16"/>
      </w:rPr>
      <w:ptab w:relativeTo="margin" w:alignment="center" w:leader="none"/>
      <w:t>Kilde: Debitormotor_EFI_1_8_1 (DB)</w:t>
    </w:r>
    <w:r>
      <w:rPr>
        <w:rFonts w:ascii="Arial" w:hAnsi="Arial" w:cs="Arial"/>
        <w:sz w:val="16"/>
        <w:szCs w:val="16"/>
      </w:rPr>
      <w:t xml:space="preserve"> </w:t>
    </w:r>
    <w:r w:rsidR="000036B2" w:rsidRPr="00CD27A8">
      <w:rPr>
        <w:rFonts w:ascii="Arial" w:hAnsi="Arial" w:cs="Arial"/>
        <w:sz w:val="16"/>
        <w:szCs w:val="16"/>
      </w:rPr>
      <w:ptab w:relativeTo="margin" w:alignment="right" w:leader="none"/>
    </w:r>
    <w:r w:rsidR="00CD27A8" w:rsidRPr="00CD27A8">
      <w:rPr>
        <w:rFonts w:ascii="Arial" w:hAnsi="Arial" w:cs="Arial"/>
        <w:sz w:val="16"/>
        <w:szCs w:val="16"/>
      </w:rPr>
      <w:t>Side</w:t>
    </w:r>
    <w:r w:rsidR="00CD27A8">
      <w:rPr>
        <w:rFonts w:ascii="Arial" w:hAnsi="Arial" w:cs="Arial"/>
        <w:sz w:val="16"/>
        <w:szCs w:val="16"/>
      </w:rPr>
      <w:t xml:space="preserve"> </w:t>
    </w:r>
    <w:r w:rsidR="00CD27A8" w:rsidRPr="00CD27A8">
      <w:rPr>
        <w:rFonts w:ascii="Arial" w:hAnsi="Arial" w:cs="Arial"/>
        <w:sz w:val="16"/>
        <w:szCs w:val="16"/>
      </w:rPr>
      <w:fldChar w:fldCharType="begin"/>
    </w:r>
    <w:r w:rsidR="00CD27A8" w:rsidRPr="00CD27A8">
      <w:rPr>
        <w:rFonts w:ascii="Arial" w:hAnsi="Arial" w:cs="Arial"/>
        <w:sz w:val="16"/>
        <w:szCs w:val="16"/>
      </w:rPr>
      <w:instrText>PAGE   \* MERGEFORMAT</w:instrText>
    </w:r>
    <w:r w:rsidR="00CD27A8" w:rsidRPr="00CD27A8">
      <w:rPr>
        <w:rFonts w:ascii="Arial" w:hAnsi="Arial" w:cs="Arial"/>
        <w:sz w:val="16"/>
        <w:szCs w:val="16"/>
      </w:rPr>
      <w:fldChar w:fldCharType="separate"/>
    </w:r>
    <w:r w:rsidR="00044CA7">
      <w:rPr>
        <w:rFonts w:ascii="Arial" w:hAnsi="Arial" w:cs="Arial"/>
        <w:noProof/>
        <w:sz w:val="16"/>
        <w:szCs w:val="16"/>
      </w:rPr>
      <w:t>2</w:t>
    </w:r>
    <w:r w:rsidR="00CD27A8" w:rsidRPr="00CD27A8">
      <w:rPr>
        <w:rFonts w:ascii="Arial" w:hAnsi="Arial" w:cs="Arial"/>
        <w:sz w:val="16"/>
        <w:szCs w:val="16"/>
      </w:rPr>
      <w:fldChar w:fldCharType="end"/>
    </w:r>
    <w:r w:rsidR="00CD27A8">
      <w:rPr>
        <w:rFonts w:ascii="Arial" w:hAnsi="Arial" w:cs="Arial"/>
        <w:sz w:val="16"/>
        <w:szCs w:val="16"/>
      </w:rPr>
      <w:t xml:space="preserve"> af </w:t>
    </w:r>
    <w:r w:rsidR="00CD27A8">
      <w:rPr>
        <w:rFonts w:ascii="Arial" w:hAnsi="Arial" w:cs="Arial"/>
        <w:sz w:val="16"/>
        <w:szCs w:val="16"/>
      </w:rPr>
      <w:fldChar w:fldCharType="begin"/>
    </w:r>
    <w:r w:rsidR="00CD27A8">
      <w:rPr>
        <w:rFonts w:ascii="Arial" w:hAnsi="Arial" w:cs="Arial"/>
        <w:sz w:val="16"/>
        <w:szCs w:val="16"/>
      </w:rPr>
      <w:instrText xml:space="preserve"> NUMPAGES  \* MERGEFORMAT </w:instrText>
    </w:r>
    <w:r w:rsidR="00CD27A8">
      <w:rPr>
        <w:rFonts w:ascii="Arial" w:hAnsi="Arial" w:cs="Arial"/>
        <w:sz w:val="16"/>
        <w:szCs w:val="16"/>
      </w:rPr>
      <w:fldChar w:fldCharType="separate"/>
    </w:r>
    <w:r w:rsidR="00044CA7">
      <w:rPr>
        <w:rFonts w:ascii="Arial" w:hAnsi="Arial" w:cs="Arial"/>
        <w:noProof/>
        <w:sz w:val="16"/>
        <w:szCs w:val="16"/>
      </w:rPr>
      <w:t>2</w:t>
    </w:r>
    <w:r w:rsidR="00CD27A8">
      <w:rP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48C3" w:rsidRDefault="005248C3" w:rsidP="000036B2">
      <w:pPr>
        <w:spacing w:line="240" w:lineRule="auto"/>
      </w:pPr>
      <w:r>
        <w:separator/>
      </w:r>
    </w:p>
  </w:footnote>
  <w:footnote w:type="continuationSeparator" w:id="0">
    <w:p w:rsidR="005248C3" w:rsidRDefault="005248C3" w:rsidP="000036B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Default="00800637">
    <w:pPr>
      <w:pStyle w:val="Sidehoved"/>
    </w:pPr>
    <w:r>
      <w:rPr>
        <w:rFonts w:ascii="Arial" w:hAnsi="Arial" w:cs="Arial"/>
        <w:sz w:val="16"/>
        <w:szCs w:val="16"/>
      </w:rPr>
      <w:t xml:space="preserve"> </w:t>
    </w:r>
    <w:r w:rsidR="000036B2">
      <w:rPr>
        <w:rFonts w:ascii="Arial" w:hAnsi="Arial" w:cs="Arial"/>
        <w:sz w:val="16"/>
        <w:szCs w:val="16"/>
      </w:rPr>
      <w:ptab w:relativeTo="margin" w:alignment="center" w:leader="none"/>
    </w:r>
    <w:r>
      <w:rPr>
        <w:rFonts w:ascii="Arial" w:hAnsi="Arial" w:cs="Arial"/>
        <w:sz w:val="16"/>
        <w:szCs w:val="16"/>
      </w:rPr>
      <w:t xml:space="preserve"> </w:t>
      <w:t>FordringListeHent</w:t>
    </w:r>
    <w:r w:rsidR="000036B2">
      <w:rPr>
        <w:rFonts w:ascii="Arial" w:hAnsi="Arial" w:cs="Arial"/>
        <w:sz w:val="16"/>
        <w:szCs w:val="16"/>
      </w:rPr>
      <w:ptab w:relativeTo="margin" w:alignment="right" w:leader="none"/>
    </w:r>
    <w:r>
      <w:rPr>
        <w:rFonts w:ascii="Arial" w:hAnsi="Arial" w:cs="Arial"/>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6B2"/>
    <w:rsid w:val="000036B2"/>
    <w:rsid w:val="00044CA7"/>
    <w:rsid w:val="00070562"/>
    <w:rsid w:val="000760EA"/>
    <w:rsid w:val="00080356"/>
    <w:rsid w:val="00082163"/>
    <w:rsid w:val="000B26A5"/>
    <w:rsid w:val="000C3A28"/>
    <w:rsid w:val="000C4629"/>
    <w:rsid w:val="000D46AC"/>
    <w:rsid w:val="000F186C"/>
    <w:rsid w:val="001227D7"/>
    <w:rsid w:val="0018446F"/>
    <w:rsid w:val="00190A43"/>
    <w:rsid w:val="001917BF"/>
    <w:rsid w:val="00210558"/>
    <w:rsid w:val="00264F5C"/>
    <w:rsid w:val="002849DF"/>
    <w:rsid w:val="00290AD3"/>
    <w:rsid w:val="00294615"/>
    <w:rsid w:val="002A254D"/>
    <w:rsid w:val="00311190"/>
    <w:rsid w:val="00336659"/>
    <w:rsid w:val="003535FC"/>
    <w:rsid w:val="00366808"/>
    <w:rsid w:val="00384521"/>
    <w:rsid w:val="003A2AE2"/>
    <w:rsid w:val="003C1EDC"/>
    <w:rsid w:val="003F0C93"/>
    <w:rsid w:val="00400ADF"/>
    <w:rsid w:val="00410FCF"/>
    <w:rsid w:val="00415BBA"/>
    <w:rsid w:val="004403DD"/>
    <w:rsid w:val="00445601"/>
    <w:rsid w:val="00454F43"/>
    <w:rsid w:val="00455AF5"/>
    <w:rsid w:val="00487224"/>
    <w:rsid w:val="004A64CD"/>
    <w:rsid w:val="004B0930"/>
    <w:rsid w:val="004C0C80"/>
    <w:rsid w:val="005248C3"/>
    <w:rsid w:val="00542BDF"/>
    <w:rsid w:val="005A3520"/>
    <w:rsid w:val="005E4D37"/>
    <w:rsid w:val="00637859"/>
    <w:rsid w:val="00674374"/>
    <w:rsid w:val="00690C2E"/>
    <w:rsid w:val="00691CA5"/>
    <w:rsid w:val="006A52B4"/>
    <w:rsid w:val="00716C5D"/>
    <w:rsid w:val="00757E05"/>
    <w:rsid w:val="00766875"/>
    <w:rsid w:val="007A79F0"/>
    <w:rsid w:val="007E3776"/>
    <w:rsid w:val="00800637"/>
    <w:rsid w:val="008019E7"/>
    <w:rsid w:val="00806E80"/>
    <w:rsid w:val="0081580E"/>
    <w:rsid w:val="0081744E"/>
    <w:rsid w:val="008250E3"/>
    <w:rsid w:val="008A570A"/>
    <w:rsid w:val="008E4D54"/>
    <w:rsid w:val="008F0C7C"/>
    <w:rsid w:val="009037EE"/>
    <w:rsid w:val="00917F9E"/>
    <w:rsid w:val="00942382"/>
    <w:rsid w:val="00947CD4"/>
    <w:rsid w:val="00957C28"/>
    <w:rsid w:val="0096062F"/>
    <w:rsid w:val="009762AE"/>
    <w:rsid w:val="009B6CED"/>
    <w:rsid w:val="009F273D"/>
    <w:rsid w:val="00A11722"/>
    <w:rsid w:val="00A343C7"/>
    <w:rsid w:val="00A40157"/>
    <w:rsid w:val="00A77194"/>
    <w:rsid w:val="00A95180"/>
    <w:rsid w:val="00A95C73"/>
    <w:rsid w:val="00AA184A"/>
    <w:rsid w:val="00AA3F08"/>
    <w:rsid w:val="00AB05CC"/>
    <w:rsid w:val="00AC13BC"/>
    <w:rsid w:val="00AE20BC"/>
    <w:rsid w:val="00B00371"/>
    <w:rsid w:val="00B203D0"/>
    <w:rsid w:val="00B21EB1"/>
    <w:rsid w:val="00B864C1"/>
    <w:rsid w:val="00B86551"/>
    <w:rsid w:val="00BA2642"/>
    <w:rsid w:val="00BC4073"/>
    <w:rsid w:val="00BD0A11"/>
    <w:rsid w:val="00BD0F3B"/>
    <w:rsid w:val="00C02367"/>
    <w:rsid w:val="00C0650D"/>
    <w:rsid w:val="00C326CA"/>
    <w:rsid w:val="00C913BB"/>
    <w:rsid w:val="00CA10AE"/>
    <w:rsid w:val="00CA14E6"/>
    <w:rsid w:val="00CB0DA7"/>
    <w:rsid w:val="00CD27A8"/>
    <w:rsid w:val="00CF289D"/>
    <w:rsid w:val="00D06F11"/>
    <w:rsid w:val="00D14E82"/>
    <w:rsid w:val="00D56DED"/>
    <w:rsid w:val="00D63B15"/>
    <w:rsid w:val="00D9600D"/>
    <w:rsid w:val="00DF7B59"/>
    <w:rsid w:val="00E31FE0"/>
    <w:rsid w:val="00E61894"/>
    <w:rsid w:val="00E652AF"/>
    <w:rsid w:val="00E967CB"/>
    <w:rsid w:val="00EF4511"/>
    <w:rsid w:val="00F302FE"/>
    <w:rsid w:val="00F429F9"/>
    <w:rsid w:val="00F66CEA"/>
    <w:rsid w:val="00FB5261"/>
    <w:rsid w:val="00FF6A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CFF04C-1B59-4C55-B551-6D70D022F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0C2E"/>
    <w:pPr>
      <w:spacing w:after="0"/>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0036B2"/>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0036B2"/>
  </w:style>
  <w:style w:type="paragraph" w:styleId="Sidefod">
    <w:name w:val="footer"/>
    <w:basedOn w:val="Normal"/>
    <w:link w:val="SidefodTegn"/>
    <w:uiPriority w:val="99"/>
    <w:unhideWhenUsed/>
    <w:rsid w:val="000036B2"/>
    <w:pPr>
      <w:tabs>
        <w:tab w:val="center" w:pos="4819"/>
        <w:tab w:val="right" w:pos="9638"/>
      </w:tabs>
      <w:spacing w:line="240" w:lineRule="auto"/>
    </w:pPr>
  </w:style>
  <w:style w:type="character" w:customStyle="1" w:styleId="SidefodTegn">
    <w:name w:val="Sidefod Tegn"/>
    <w:basedOn w:val="Standardskrifttypeiafsnit"/>
    <w:link w:val="Sidefod"/>
    <w:uiPriority w:val="99"/>
    <w:rsid w:val="000036B2"/>
  </w:style>
  <w:style w:type="paragraph" w:styleId="NormalWeb">
    <w:name w:val="Normal (Web)"/>
    <w:basedOn w:val="Normal"/>
    <w:uiPriority w:val="99"/>
    <w:semiHidden/>
    <w:unhideWhenUsed/>
    <w:rsid w:val="005E4D37"/>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Titel">
    <w:name w:val="Title"/>
    <w:basedOn w:val="Normal"/>
    <w:next w:val="Normal"/>
    <w:link w:val="TitelTegn"/>
    <w:uiPriority w:val="10"/>
    <w:qFormat/>
    <w:rsid w:val="00690C2E"/>
    <w:pPr>
      <w:spacing w:after="160"/>
    </w:pPr>
    <w:rPr>
      <w:rFonts w:ascii="Arial" w:hAnsi="Arial" w:cs="Arial"/>
      <w:b/>
      <w:sz w:val="48"/>
    </w:rPr>
  </w:style>
  <w:style w:type="character" w:customStyle="1" w:styleId="TitelTegn">
    <w:name w:val="Titel Tegn"/>
    <w:basedOn w:val="Standardskrifttypeiafsnit"/>
    <w:link w:val="Titel"/>
    <w:uiPriority w:val="10"/>
    <w:rsid w:val="00690C2E"/>
    <w:rPr>
      <w:rFonts w:ascii="Arial" w:hAnsi="Arial" w:cs="Arial"/>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27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3.xml" Type="http://schemas.openxmlformats.org/officeDocument/2006/relationships/header"/><Relationship Id="rId11" Target="footer3.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69</Words>
  <Characters>422</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SKAT</Company>
  <LinksUpToDate>false</LinksUpToDate>
  <CharactersWithSpaces>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2017-06-14T05:47:00Z</dcterms:created>
  <dc:creator>SKAT</dc:creator>
  <cp:lastModifiedBy>tomcat-viewersa.ccta.dk</cp:lastModifiedBy>
  <dcterms:modified xsi:type="dcterms:W3CDTF">2017-10-16T11:19:00Z</dcterms:modified>
  <cp:revision>43</cp:revision>
</cp:coreProperties>
</file>