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912DC" w:rsidTr="00A912DC">
        <w:tblPrEx>
          <w:tblCellMar>
            <w:top w:w="0" w:type="dxa"/>
            <w:bottom w:w="0" w:type="dxa"/>
          </w:tblCellMar>
        </w:tblPrEx>
        <w:trPr>
          <w:trHeight w:hRule="exact" w:val="113"/>
        </w:trPr>
        <w:tc>
          <w:tcPr>
            <w:tcW w:w="10345" w:type="dxa"/>
            <w:gridSpan w:val="6"/>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rPr>
          <w:trHeight w:val="283"/>
        </w:trPr>
        <w:tc>
          <w:tcPr>
            <w:tcW w:w="10345" w:type="dxa"/>
            <w:gridSpan w:val="6"/>
            <w:tcBorders>
              <w:bottom w:val="single" w:sz="6" w:space="0" w:color="auto"/>
            </w:tcBorders>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12DC">
              <w:rPr>
                <w:rFonts w:ascii="Arial" w:hAnsi="Arial" w:cs="Arial"/>
                <w:b/>
                <w:sz w:val="30"/>
              </w:rPr>
              <w:t>MFFordringIndberet</w:t>
            </w:r>
          </w:p>
        </w:tc>
      </w:tr>
      <w:tr w:rsidR="00A912DC" w:rsidTr="00A912D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12DC" w:rsidTr="00A912DC">
        <w:tblPrEx>
          <w:tblCellMar>
            <w:top w:w="0" w:type="dxa"/>
            <w:bottom w:w="0" w:type="dxa"/>
          </w:tblCellMar>
        </w:tblPrEx>
        <w:trPr>
          <w:trHeight w:val="283"/>
        </w:trPr>
        <w:tc>
          <w:tcPr>
            <w:tcW w:w="1134"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26-7-2011</w:t>
            </w: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12DC" w:rsidTr="00A912DC">
        <w:tblPrEx>
          <w:tblCellMar>
            <w:top w:w="0" w:type="dxa"/>
            <w:bottom w:w="0" w:type="dxa"/>
          </w:tblCellMar>
        </w:tblPrEx>
        <w:trPr>
          <w:trHeight w:val="283"/>
        </w:trPr>
        <w:tc>
          <w:tcPr>
            <w:tcW w:w="10345" w:type="dxa"/>
            <w:gridSpan w:val="6"/>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12DC" w:rsidTr="00A912DC">
        <w:tblPrEx>
          <w:tblCellMar>
            <w:top w:w="0" w:type="dxa"/>
            <w:bottom w:w="0" w:type="dxa"/>
          </w:tblCellMar>
        </w:tblPrEx>
        <w:trPr>
          <w:trHeight w:val="283"/>
        </w:trPr>
        <w:tc>
          <w:tcPr>
            <w:tcW w:w="10345" w:type="dxa"/>
            <w:gridSpan w:val="6"/>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912DC" w:rsidTr="00A912DC">
        <w:tblPrEx>
          <w:tblCellMar>
            <w:top w:w="0" w:type="dxa"/>
            <w:bottom w:w="0" w:type="dxa"/>
          </w:tblCellMar>
        </w:tblPrEx>
        <w:trPr>
          <w:trHeight w:val="283"/>
        </w:trPr>
        <w:tc>
          <w:tcPr>
            <w:tcW w:w="10345" w:type="dxa"/>
            <w:gridSpan w:val="6"/>
            <w:shd w:val="clear" w:color="auto" w:fill="FFFFFF"/>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912DC" w:rsidTr="00A912DC">
        <w:tblPrEx>
          <w:tblCellMar>
            <w:top w:w="0" w:type="dxa"/>
            <w:bottom w:w="0" w:type="dxa"/>
          </w:tblCellMar>
        </w:tblPrEx>
        <w:trPr>
          <w:trHeight w:val="283"/>
        </w:trPr>
        <w:tc>
          <w:tcPr>
            <w:tcW w:w="10345" w:type="dxa"/>
            <w:gridSpan w:val="6"/>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12DC" w:rsidTr="00A912DC">
        <w:tblPrEx>
          <w:tblCellMar>
            <w:top w:w="0" w:type="dxa"/>
            <w:bottom w:w="0" w:type="dxa"/>
          </w:tblCellMar>
        </w:tblPrEx>
        <w:trPr>
          <w:trHeight w:val="283"/>
        </w:trPr>
        <w:tc>
          <w:tcPr>
            <w:tcW w:w="10345" w:type="dxa"/>
            <w:gridSpan w:val="6"/>
            <w:shd w:val="clear" w:color="auto" w:fill="FFFFFF"/>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A912DC" w:rsidTr="00A912DC">
        <w:tblPrEx>
          <w:tblCellMar>
            <w:top w:w="0" w:type="dxa"/>
            <w:bottom w:w="0" w:type="dxa"/>
          </w:tblCellMar>
        </w:tblPrEx>
        <w:trPr>
          <w:trHeight w:val="283"/>
        </w:trPr>
        <w:tc>
          <w:tcPr>
            <w:tcW w:w="10345" w:type="dxa"/>
            <w:gridSpan w:val="6"/>
            <w:shd w:val="clear" w:color="auto" w:fill="FFFFFF"/>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rPr>
          <w:trHeight w:val="283"/>
        </w:trPr>
        <w:tc>
          <w:tcPr>
            <w:tcW w:w="10345" w:type="dxa"/>
            <w:gridSpan w:val="6"/>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912DC" w:rsidTr="00A912DC">
        <w:tblPrEx>
          <w:tblCellMar>
            <w:top w:w="0" w:type="dxa"/>
            <w:bottom w:w="0" w:type="dxa"/>
          </w:tblCellMar>
        </w:tblPrEx>
        <w:trPr>
          <w:trHeight w:val="283"/>
        </w:trPr>
        <w:tc>
          <w:tcPr>
            <w:tcW w:w="10345" w:type="dxa"/>
            <w:gridSpan w:val="6"/>
            <w:shd w:val="clear" w:color="auto" w:fill="FFFFFF"/>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A912DC" w:rsidTr="00A912DC">
        <w:tblPrEx>
          <w:tblCellMar>
            <w:top w:w="0" w:type="dxa"/>
            <w:bottom w:w="0" w:type="dxa"/>
          </w:tblCellMar>
        </w:tblPrEx>
        <w:trPr>
          <w:trHeight w:val="283"/>
        </w:trPr>
        <w:tc>
          <w:tcPr>
            <w:tcW w:w="10345" w:type="dxa"/>
            <w:gridSpan w:val="6"/>
            <w:shd w:val="clear" w:color="auto" w:fill="FFFFFF"/>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912DC" w:rsidTr="00A912DC">
        <w:tblPrEx>
          <w:tblCellMar>
            <w:top w:w="0" w:type="dxa"/>
            <w:bottom w:w="0" w:type="dxa"/>
          </w:tblCellMar>
        </w:tblPrEx>
        <w:trPr>
          <w:trHeight w:val="283"/>
        </w:trPr>
        <w:tc>
          <w:tcPr>
            <w:tcW w:w="10345" w:type="dxa"/>
            <w:gridSpan w:val="6"/>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912DC" w:rsidTr="00A912DC">
        <w:tblPrEx>
          <w:tblCellMar>
            <w:top w:w="0" w:type="dxa"/>
            <w:bottom w:w="0" w:type="dxa"/>
          </w:tblCellMar>
        </w:tblPrEx>
        <w:trPr>
          <w:trHeight w:val="283"/>
        </w:trPr>
        <w:tc>
          <w:tcPr>
            <w:tcW w:w="10345" w:type="dxa"/>
            <w:gridSpan w:val="6"/>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A912DC" w:rsidTr="00A912DC">
        <w:tblPrEx>
          <w:tblCellMar>
            <w:top w:w="0" w:type="dxa"/>
            <w:bottom w:w="0" w:type="dxa"/>
          </w:tblCellMar>
        </w:tblPrEx>
        <w:trPr>
          <w:trHeight w:val="283"/>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12DC" w:rsidTr="00A912DC">
        <w:tblPrEx>
          <w:tblCellMar>
            <w:top w:w="0" w:type="dxa"/>
            <w:bottom w:w="0" w:type="dxa"/>
          </w:tblCellMar>
        </w:tblPrEx>
        <w:trPr>
          <w:trHeight w:val="283"/>
        </w:trPr>
        <w:tc>
          <w:tcPr>
            <w:tcW w:w="10345" w:type="dxa"/>
            <w:gridSpan w:val="6"/>
            <w:shd w:val="clear" w:color="auto" w:fill="FFFFFF"/>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12DC" w:rsidSect="00A912D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Fordringændring kan ikke udføres på transport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w:t>
            </w:r>
            <w:r>
              <w:rPr>
                <w:rFonts w:ascii="Arial" w:hAnsi="Arial" w:cs="Arial"/>
                <w:sz w:val="18"/>
              </w:rPr>
              <w:lastRenderedPageBreak/>
              <w:t>fordringen registreres i EFI vil dokumentet blive oprettet i, eller flyttet til, den korrekte sag.</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(kunder ) angivet med denne struktur. Kunder er identificeret unikt ved SE nummer, CPR </w:t>
            </w:r>
            <w:r>
              <w:rPr>
                <w:rFonts w:ascii="Arial" w:hAnsi="Arial" w:cs="Arial"/>
                <w:sz w:val="18"/>
              </w:rPr>
              <w:lastRenderedPageBreak/>
              <w:t>nummer eller AKR ID for udenlandske kunder. For udenlandske kunder hvor fordringhaver ikke kender AKR ID kan de kendte oplysninger alternativt angives i en EFIAlternativKontaktStruktur (se dokumentationen på denne struktur for yderligere detaljer).</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Oplysninger til oprettelse af en transport fordring, dvs. fordringarten transport (TRAN).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OpskrivningÅrsagStruktur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A912DC" w:rsidTr="00A912DC">
        <w:tblPrEx>
          <w:tblCellMar>
            <w:top w:w="0" w:type="dxa"/>
            <w:bottom w:w="0" w:type="dxa"/>
          </w:tblCellMar>
        </w:tblPrEx>
        <w:tc>
          <w:tcPr>
            <w:tcW w:w="10345"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12DC" w:rsidTr="00A912DC">
        <w:tblPrEx>
          <w:tblCellMar>
            <w:top w:w="0" w:type="dxa"/>
            <w:bottom w:w="0" w:type="dxa"/>
          </w:tblCellMar>
        </w:tblPrEx>
        <w:tc>
          <w:tcPr>
            <w:tcW w:w="10345" w:type="dxa"/>
            <w:shd w:val="clear" w:color="auto" w:fill="FFFFFF"/>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912DC" w:rsidTr="00A912DC">
        <w:tblPrEx>
          <w:tblCellMar>
            <w:top w:w="0" w:type="dxa"/>
            <w:bottom w:w="0" w:type="dxa"/>
          </w:tblCellMar>
        </w:tblPrEx>
        <w:trPr>
          <w:trHeight w:hRule="exact" w:val="113"/>
        </w:trPr>
        <w:tc>
          <w:tcPr>
            <w:tcW w:w="10345" w:type="dxa"/>
            <w:shd w:val="clear" w:color="auto" w:fill="B3B3B3"/>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12DC" w:rsidTr="00A912DC">
        <w:tblPrEx>
          <w:tblCellMar>
            <w:top w:w="0" w:type="dxa"/>
            <w:bottom w:w="0" w:type="dxa"/>
          </w:tblCellMar>
        </w:tblPrEx>
        <w:tc>
          <w:tcPr>
            <w:tcW w:w="10345" w:type="dxa"/>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A912DC" w:rsidTr="00A912DC">
        <w:tblPrEx>
          <w:tblCellMar>
            <w:top w:w="0" w:type="dxa"/>
            <w:bottom w:w="0" w:type="dxa"/>
          </w:tblCellMar>
        </w:tblPrEx>
        <w:tc>
          <w:tcPr>
            <w:tcW w:w="10345" w:type="dxa"/>
            <w:vAlign w:val="center"/>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12DC" w:rsidSect="00A912DC">
          <w:headerReference w:type="default" r:id="rId14"/>
          <w:pgSz w:w="11906" w:h="16838"/>
          <w:pgMar w:top="567" w:right="567" w:bottom="567" w:left="1134" w:header="283" w:footer="708" w:gutter="0"/>
          <w:cols w:space="708"/>
          <w:docGrid w:linePitch="360"/>
        </w:sect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912DC" w:rsidTr="00A912DC">
        <w:tblPrEx>
          <w:tblCellMar>
            <w:top w:w="0" w:type="dxa"/>
            <w:bottom w:w="0" w:type="dxa"/>
          </w:tblCellMar>
        </w:tblPrEx>
        <w:trPr>
          <w:tblHeader/>
        </w:trPr>
        <w:tc>
          <w:tcPr>
            <w:tcW w:w="3402"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[UGFEDPL]</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 Gift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Fraskilt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 = Enke/enkemand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Død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Partnerskab</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Længstlevende i partnerskab</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Opkrævningsmyndigheden: Vil være den dato, hvor en </w:t>
            </w:r>
            <w:r>
              <w:rPr>
                <w:rFonts w:ascii="Arial" w:hAnsi="Arial" w:cs="Arial"/>
                <w:sz w:val="18"/>
              </w:rPr>
              <w:lastRenderedPageBreak/>
              <w:t>angivelse kan indgå i kontoens saldo, hvis virksomheden betaler fordringen (f.eks. skatten/afgiften) før SRB.</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 Opkrævningrente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 DOM, FRIVILLIGTFORLIG, SAGSFREMSTILLING, BIDRAGSRESOLUTION, BUDGET, OMPOSTERING, MODREGNING, ANDET</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AKRD, ANDN, FAST, FEJL, GLDS, HÆFO, INDB, REGU, SOPH, TRVE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GLDS: Gældsanering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HENS, BORD, BTLT, KLAG, MODR, FEJL, ANDN, FSKI, HÆFO, SOPH, GLDS, AKRD</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BTLT: Betalt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 Retur til modregning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SOPH: Samlivsophævelse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Gældsanering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AKRD: Akkord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skal være unikt kombineret med DMIFordringHaverID på indberetteren.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CPR-nummer er et 10 cifret personnummer der entydigt </w:t>
            </w:r>
            <w:r>
              <w:rPr>
                <w:rFonts w:ascii="Arial" w:hAnsi="Arial" w:cs="Arial"/>
                <w:sz w:val="18"/>
              </w:rPr>
              <w:lastRenderedPageBreak/>
              <w:t>identificerer en dansk person.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 være 3 heltal og 5 decimaler (se evt. xsd-datatype).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TransportUdlægshaveren skal modtage i den angivne valuta</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TransportRettighedHaverBlbDKK</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A912DC" w:rsidTr="00A912DC">
        <w:tblPrEx>
          <w:tblCellMar>
            <w:top w:w="0" w:type="dxa"/>
            <w:bottom w:w="0" w:type="dxa"/>
          </w:tblCellMar>
        </w:tblPrEx>
        <w:tc>
          <w:tcPr>
            <w:tcW w:w="3402"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12DC" w:rsidRPr="00A912DC" w:rsidSect="00A912D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2DC" w:rsidRDefault="00A912DC" w:rsidP="00A912DC">
      <w:pPr>
        <w:spacing w:line="240" w:lineRule="auto"/>
      </w:pPr>
      <w:r>
        <w:separator/>
      </w:r>
    </w:p>
  </w:endnote>
  <w:endnote w:type="continuationSeparator" w:id="0">
    <w:p w:rsidR="00A912DC" w:rsidRDefault="00A912DC" w:rsidP="00A91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Default="00A912D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Pr="00A912DC" w:rsidRDefault="00A912DC" w:rsidP="00A912D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august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Default="00A912D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2DC" w:rsidRDefault="00A912DC" w:rsidP="00A912DC">
      <w:pPr>
        <w:spacing w:line="240" w:lineRule="auto"/>
      </w:pPr>
      <w:r>
        <w:separator/>
      </w:r>
    </w:p>
  </w:footnote>
  <w:footnote w:type="continuationSeparator" w:id="0">
    <w:p w:rsidR="00A912DC" w:rsidRDefault="00A912DC" w:rsidP="00A912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Default="00A912D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Pr="00A912DC" w:rsidRDefault="00A912DC" w:rsidP="00A912DC">
    <w:pPr>
      <w:pStyle w:val="Sidehoved"/>
      <w:jc w:val="center"/>
      <w:rPr>
        <w:rFonts w:ascii="Arial" w:hAnsi="Arial" w:cs="Arial"/>
      </w:rPr>
    </w:pPr>
    <w:r w:rsidRPr="00A912DC">
      <w:rPr>
        <w:rFonts w:ascii="Arial" w:hAnsi="Arial" w:cs="Arial"/>
      </w:rPr>
      <w:t>Servicebeskrivelse</w:t>
    </w:r>
  </w:p>
  <w:p w:rsidR="00A912DC" w:rsidRPr="00A912DC" w:rsidRDefault="00A912DC" w:rsidP="00A912D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Default="00A912D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Pr="00A912DC" w:rsidRDefault="00A912DC" w:rsidP="00A912DC">
    <w:pPr>
      <w:pStyle w:val="Sidehoved"/>
      <w:jc w:val="center"/>
      <w:rPr>
        <w:rFonts w:ascii="Arial" w:hAnsi="Arial" w:cs="Arial"/>
      </w:rPr>
    </w:pPr>
    <w:r w:rsidRPr="00A912DC">
      <w:rPr>
        <w:rFonts w:ascii="Arial" w:hAnsi="Arial" w:cs="Arial"/>
      </w:rPr>
      <w:t>Datastrukturer</w:t>
    </w:r>
  </w:p>
  <w:p w:rsidR="00A912DC" w:rsidRPr="00A912DC" w:rsidRDefault="00A912DC" w:rsidP="00A912D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DC" w:rsidRDefault="00A912DC" w:rsidP="00A912DC">
    <w:pPr>
      <w:pStyle w:val="Sidehoved"/>
      <w:jc w:val="center"/>
      <w:rPr>
        <w:rFonts w:ascii="Arial" w:hAnsi="Arial" w:cs="Arial"/>
      </w:rPr>
    </w:pPr>
    <w:r>
      <w:rPr>
        <w:rFonts w:ascii="Arial" w:hAnsi="Arial" w:cs="Arial"/>
      </w:rPr>
      <w:t>Data elementer</w:t>
    </w:r>
  </w:p>
  <w:p w:rsidR="00A912DC" w:rsidRPr="00A912DC" w:rsidRDefault="00A912DC" w:rsidP="00A912D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4725"/>
    <w:multiLevelType w:val="multilevel"/>
    <w:tmpl w:val="7570EC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DC"/>
    <w:rsid w:val="006843F7"/>
    <w:rsid w:val="00892491"/>
    <w:rsid w:val="00A912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12D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12D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12D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12D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12D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12D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12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12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12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12D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12D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12D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12D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12D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12D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12D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12D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12D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12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12DC"/>
    <w:rPr>
      <w:rFonts w:ascii="Arial" w:hAnsi="Arial" w:cs="Arial"/>
      <w:b/>
      <w:sz w:val="30"/>
    </w:rPr>
  </w:style>
  <w:style w:type="paragraph" w:customStyle="1" w:styleId="Overskrift211pkt">
    <w:name w:val="Overskrift 2 + 11 pkt"/>
    <w:basedOn w:val="Normal"/>
    <w:link w:val="Overskrift211pktTegn"/>
    <w:rsid w:val="00A912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12DC"/>
    <w:rPr>
      <w:rFonts w:ascii="Arial" w:hAnsi="Arial" w:cs="Arial"/>
      <w:b/>
    </w:rPr>
  </w:style>
  <w:style w:type="paragraph" w:customStyle="1" w:styleId="Normal11">
    <w:name w:val="Normal + 11"/>
    <w:basedOn w:val="Normal"/>
    <w:link w:val="Normal11Tegn"/>
    <w:rsid w:val="00A912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12DC"/>
    <w:rPr>
      <w:rFonts w:ascii="Times New Roman" w:hAnsi="Times New Roman" w:cs="Times New Roman"/>
    </w:rPr>
  </w:style>
  <w:style w:type="paragraph" w:styleId="Sidehoved">
    <w:name w:val="header"/>
    <w:basedOn w:val="Normal"/>
    <w:link w:val="SidehovedTegn"/>
    <w:uiPriority w:val="99"/>
    <w:unhideWhenUsed/>
    <w:rsid w:val="00A912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12DC"/>
  </w:style>
  <w:style w:type="paragraph" w:styleId="Sidefod">
    <w:name w:val="footer"/>
    <w:basedOn w:val="Normal"/>
    <w:link w:val="SidefodTegn"/>
    <w:uiPriority w:val="99"/>
    <w:unhideWhenUsed/>
    <w:rsid w:val="00A912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1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12D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12D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12D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12D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12D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12D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12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12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12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12D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12D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12D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12D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12D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12D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12D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12D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12D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12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12DC"/>
    <w:rPr>
      <w:rFonts w:ascii="Arial" w:hAnsi="Arial" w:cs="Arial"/>
      <w:b/>
      <w:sz w:val="30"/>
    </w:rPr>
  </w:style>
  <w:style w:type="paragraph" w:customStyle="1" w:styleId="Overskrift211pkt">
    <w:name w:val="Overskrift 2 + 11 pkt"/>
    <w:basedOn w:val="Normal"/>
    <w:link w:val="Overskrift211pktTegn"/>
    <w:rsid w:val="00A912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12DC"/>
    <w:rPr>
      <w:rFonts w:ascii="Arial" w:hAnsi="Arial" w:cs="Arial"/>
      <w:b/>
    </w:rPr>
  </w:style>
  <w:style w:type="paragraph" w:customStyle="1" w:styleId="Normal11">
    <w:name w:val="Normal + 11"/>
    <w:basedOn w:val="Normal"/>
    <w:link w:val="Normal11Tegn"/>
    <w:rsid w:val="00A912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12DC"/>
    <w:rPr>
      <w:rFonts w:ascii="Times New Roman" w:hAnsi="Times New Roman" w:cs="Times New Roman"/>
    </w:rPr>
  </w:style>
  <w:style w:type="paragraph" w:styleId="Sidehoved">
    <w:name w:val="header"/>
    <w:basedOn w:val="Normal"/>
    <w:link w:val="SidehovedTegn"/>
    <w:uiPriority w:val="99"/>
    <w:unhideWhenUsed/>
    <w:rsid w:val="00A912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12DC"/>
  </w:style>
  <w:style w:type="paragraph" w:styleId="Sidefod">
    <w:name w:val="footer"/>
    <w:basedOn w:val="Normal"/>
    <w:link w:val="SidefodTegn"/>
    <w:uiPriority w:val="99"/>
    <w:unhideWhenUsed/>
    <w:rsid w:val="00A912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8455</Words>
  <Characters>51581</Characters>
  <Application>Microsoft Office Word</Application>
  <DocSecurity>0</DocSecurity>
  <Lines>429</Lines>
  <Paragraphs>119</Paragraphs>
  <ScaleCrop>false</ScaleCrop>
  <Company>SKAT</Company>
  <LinksUpToDate>false</LinksUpToDate>
  <CharactersWithSpaces>59917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2011-08-25T10:16:00Z</dcterms:created>
  <dcterms:modified xsi:type="dcterms:W3CDTF">2011-08-25T10:17:00Z</dcterms:modified>
</cp:coreProperties>
</file>