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7530460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73625" w:rsidRDefault="00673625">
          <w:pPr>
            <w:pStyle w:val="Overskrift"/>
          </w:pPr>
          <w:r>
            <w:t>Indhold</w:t>
          </w:r>
        </w:p>
        <w:p w:rsidR="00673625" w:rsidRDefault="00673625">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27967926" w:history="1">
            <w:r w:rsidRPr="000C4AC9">
              <w:rPr>
                <w:rStyle w:val="Hyperlink"/>
                <w:noProof/>
              </w:rPr>
              <w:t>1</w:t>
            </w:r>
            <w:r>
              <w:rPr>
                <w:noProof/>
              </w:rPr>
              <w:tab/>
            </w:r>
            <w:r w:rsidRPr="000C4AC9">
              <w:rPr>
                <w:rStyle w:val="Hyperlink"/>
                <w:noProof/>
              </w:rPr>
              <w:t>12.14 Tilbagekald fordring</w:t>
            </w:r>
            <w:r>
              <w:rPr>
                <w:noProof/>
                <w:webHidden/>
              </w:rPr>
              <w:tab/>
            </w:r>
            <w:r>
              <w:rPr>
                <w:noProof/>
                <w:webHidden/>
              </w:rPr>
              <w:fldChar w:fldCharType="begin"/>
            </w:r>
            <w:r>
              <w:rPr>
                <w:noProof/>
                <w:webHidden/>
              </w:rPr>
              <w:instrText xml:space="preserve"> PAGEREF _Toc327967926 \h </w:instrText>
            </w:r>
            <w:r>
              <w:rPr>
                <w:noProof/>
                <w:webHidden/>
              </w:rPr>
            </w:r>
            <w:r>
              <w:rPr>
                <w:noProof/>
                <w:webHidden/>
              </w:rPr>
              <w:fldChar w:fldCharType="separate"/>
            </w:r>
            <w:r>
              <w:rPr>
                <w:noProof/>
                <w:webHidden/>
              </w:rPr>
              <w:t>2</w:t>
            </w:r>
            <w:r>
              <w:rPr>
                <w:noProof/>
                <w:webHidden/>
              </w:rPr>
              <w:fldChar w:fldCharType="end"/>
            </w:r>
          </w:hyperlink>
        </w:p>
        <w:p w:rsidR="00673625" w:rsidRDefault="00673625">
          <w:pPr>
            <w:pStyle w:val="Indholdsfortegnelse2"/>
            <w:tabs>
              <w:tab w:val="left" w:pos="880"/>
              <w:tab w:val="right" w:leader="dot" w:pos="9719"/>
            </w:tabs>
            <w:rPr>
              <w:noProof/>
            </w:rPr>
          </w:pPr>
          <w:hyperlink w:anchor="_Toc327967927" w:history="1">
            <w:r w:rsidRPr="000C4AC9">
              <w:rPr>
                <w:rStyle w:val="Hyperlink"/>
                <w:noProof/>
              </w:rPr>
              <w:t>1.1</w:t>
            </w:r>
            <w:r>
              <w:rPr>
                <w:noProof/>
              </w:rPr>
              <w:tab/>
            </w:r>
            <w:r w:rsidRPr="000C4AC9">
              <w:rPr>
                <w:rStyle w:val="Hyperlink"/>
                <w:noProof/>
              </w:rPr>
              <w:t>12.14 Tilbagekald fordring (web)</w:t>
            </w:r>
            <w:r>
              <w:rPr>
                <w:noProof/>
                <w:webHidden/>
              </w:rPr>
              <w:tab/>
            </w:r>
            <w:r>
              <w:rPr>
                <w:noProof/>
                <w:webHidden/>
              </w:rPr>
              <w:fldChar w:fldCharType="begin"/>
            </w:r>
            <w:r>
              <w:rPr>
                <w:noProof/>
                <w:webHidden/>
              </w:rPr>
              <w:instrText xml:space="preserve"> PAGEREF _Toc327967927 \h </w:instrText>
            </w:r>
            <w:r>
              <w:rPr>
                <w:noProof/>
                <w:webHidden/>
              </w:rPr>
            </w:r>
            <w:r>
              <w:rPr>
                <w:noProof/>
                <w:webHidden/>
              </w:rPr>
              <w:fldChar w:fldCharType="separate"/>
            </w:r>
            <w:r>
              <w:rPr>
                <w:noProof/>
                <w:webHidden/>
              </w:rPr>
              <w:t>3</w:t>
            </w:r>
            <w:r>
              <w:rPr>
                <w:noProof/>
                <w:webHidden/>
              </w:rPr>
              <w:fldChar w:fldCharType="end"/>
            </w:r>
          </w:hyperlink>
        </w:p>
        <w:p w:rsidR="00673625" w:rsidRDefault="00673625">
          <w:pPr>
            <w:pStyle w:val="Indholdsfortegnelse2"/>
            <w:tabs>
              <w:tab w:val="left" w:pos="880"/>
              <w:tab w:val="right" w:leader="dot" w:pos="9719"/>
            </w:tabs>
            <w:rPr>
              <w:noProof/>
            </w:rPr>
          </w:pPr>
          <w:hyperlink w:anchor="_Toc327967928" w:history="1">
            <w:r w:rsidRPr="000C4AC9">
              <w:rPr>
                <w:rStyle w:val="Hyperlink"/>
                <w:noProof/>
              </w:rPr>
              <w:t>1.2</w:t>
            </w:r>
            <w:r>
              <w:rPr>
                <w:noProof/>
              </w:rPr>
              <w:tab/>
            </w:r>
            <w:r w:rsidRPr="000C4AC9">
              <w:rPr>
                <w:rStyle w:val="Hyperlink"/>
                <w:noProof/>
              </w:rPr>
              <w:t>12.14 Tilbagekald fordring fra inddrivelse - DMO</w:t>
            </w:r>
            <w:r>
              <w:rPr>
                <w:noProof/>
                <w:webHidden/>
              </w:rPr>
              <w:tab/>
            </w:r>
            <w:r>
              <w:rPr>
                <w:noProof/>
                <w:webHidden/>
              </w:rPr>
              <w:fldChar w:fldCharType="begin"/>
            </w:r>
            <w:r>
              <w:rPr>
                <w:noProof/>
                <w:webHidden/>
              </w:rPr>
              <w:instrText xml:space="preserve"> PAGEREF _Toc327967928 \h </w:instrText>
            </w:r>
            <w:r>
              <w:rPr>
                <w:noProof/>
                <w:webHidden/>
              </w:rPr>
            </w:r>
            <w:r>
              <w:rPr>
                <w:noProof/>
                <w:webHidden/>
              </w:rPr>
              <w:fldChar w:fldCharType="separate"/>
            </w:r>
            <w:r>
              <w:rPr>
                <w:noProof/>
                <w:webHidden/>
              </w:rPr>
              <w:t>4</w:t>
            </w:r>
            <w:r>
              <w:rPr>
                <w:noProof/>
                <w:webHidden/>
              </w:rPr>
              <w:fldChar w:fldCharType="end"/>
            </w:r>
          </w:hyperlink>
        </w:p>
        <w:p w:rsidR="00673625" w:rsidRDefault="00673625">
          <w:pPr>
            <w:pStyle w:val="Indholdsfortegnelse1"/>
            <w:tabs>
              <w:tab w:val="left" w:pos="440"/>
              <w:tab w:val="right" w:leader="dot" w:pos="9719"/>
            </w:tabs>
            <w:rPr>
              <w:noProof/>
            </w:rPr>
          </w:pPr>
          <w:hyperlink w:anchor="_Toc327967929" w:history="1">
            <w:r w:rsidRPr="000C4AC9">
              <w:rPr>
                <w:rStyle w:val="Hyperlink"/>
                <w:noProof/>
              </w:rPr>
              <w:t>2</w:t>
            </w:r>
            <w:r>
              <w:rPr>
                <w:noProof/>
              </w:rPr>
              <w:tab/>
            </w:r>
            <w:r w:rsidRPr="000C4AC9">
              <w:rPr>
                <w:rStyle w:val="Hyperlink"/>
                <w:noProof/>
              </w:rPr>
              <w:t>12.15 Op-/nedskriv fordring</w:t>
            </w:r>
            <w:r>
              <w:rPr>
                <w:noProof/>
                <w:webHidden/>
              </w:rPr>
              <w:tab/>
            </w:r>
            <w:r>
              <w:rPr>
                <w:noProof/>
                <w:webHidden/>
              </w:rPr>
              <w:fldChar w:fldCharType="begin"/>
            </w:r>
            <w:r>
              <w:rPr>
                <w:noProof/>
                <w:webHidden/>
              </w:rPr>
              <w:instrText xml:space="preserve"> PAGEREF _Toc327967929 \h </w:instrText>
            </w:r>
            <w:r>
              <w:rPr>
                <w:noProof/>
                <w:webHidden/>
              </w:rPr>
            </w:r>
            <w:r>
              <w:rPr>
                <w:noProof/>
                <w:webHidden/>
              </w:rPr>
              <w:fldChar w:fldCharType="separate"/>
            </w:r>
            <w:r>
              <w:rPr>
                <w:noProof/>
                <w:webHidden/>
              </w:rPr>
              <w:t>6</w:t>
            </w:r>
            <w:r>
              <w:rPr>
                <w:noProof/>
                <w:webHidden/>
              </w:rPr>
              <w:fldChar w:fldCharType="end"/>
            </w:r>
          </w:hyperlink>
        </w:p>
        <w:p w:rsidR="00673625" w:rsidRDefault="00673625">
          <w:pPr>
            <w:pStyle w:val="Indholdsfortegnelse2"/>
            <w:tabs>
              <w:tab w:val="left" w:pos="880"/>
              <w:tab w:val="right" w:leader="dot" w:pos="9719"/>
            </w:tabs>
            <w:rPr>
              <w:noProof/>
            </w:rPr>
          </w:pPr>
          <w:hyperlink w:anchor="_Toc327967930" w:history="1">
            <w:r w:rsidRPr="000C4AC9">
              <w:rPr>
                <w:rStyle w:val="Hyperlink"/>
                <w:noProof/>
              </w:rPr>
              <w:t>2.1</w:t>
            </w:r>
            <w:r>
              <w:rPr>
                <w:noProof/>
              </w:rPr>
              <w:tab/>
            </w:r>
            <w:r w:rsidRPr="000C4AC9">
              <w:rPr>
                <w:rStyle w:val="Hyperlink"/>
                <w:noProof/>
              </w:rPr>
              <w:t>12.15 Op-/nedskriv fordring</w:t>
            </w:r>
            <w:r>
              <w:rPr>
                <w:noProof/>
                <w:webHidden/>
              </w:rPr>
              <w:tab/>
            </w:r>
            <w:r>
              <w:rPr>
                <w:noProof/>
                <w:webHidden/>
              </w:rPr>
              <w:fldChar w:fldCharType="begin"/>
            </w:r>
            <w:r>
              <w:rPr>
                <w:noProof/>
                <w:webHidden/>
              </w:rPr>
              <w:instrText xml:space="preserve"> PAGEREF _Toc327967930 \h </w:instrText>
            </w:r>
            <w:r>
              <w:rPr>
                <w:noProof/>
                <w:webHidden/>
              </w:rPr>
            </w:r>
            <w:r>
              <w:rPr>
                <w:noProof/>
                <w:webHidden/>
              </w:rPr>
              <w:fldChar w:fldCharType="separate"/>
            </w:r>
            <w:r>
              <w:rPr>
                <w:noProof/>
                <w:webHidden/>
              </w:rPr>
              <w:t>7</w:t>
            </w:r>
            <w:r>
              <w:rPr>
                <w:noProof/>
                <w:webHidden/>
              </w:rPr>
              <w:fldChar w:fldCharType="end"/>
            </w:r>
          </w:hyperlink>
        </w:p>
        <w:p w:rsidR="00673625" w:rsidRDefault="00673625">
          <w:pPr>
            <w:pStyle w:val="Indholdsfortegnelse1"/>
            <w:tabs>
              <w:tab w:val="left" w:pos="440"/>
              <w:tab w:val="right" w:leader="dot" w:pos="9719"/>
            </w:tabs>
            <w:rPr>
              <w:noProof/>
            </w:rPr>
          </w:pPr>
          <w:hyperlink w:anchor="_Toc327967931" w:history="1">
            <w:r w:rsidRPr="000C4AC9">
              <w:rPr>
                <w:rStyle w:val="Hyperlink"/>
                <w:noProof/>
              </w:rPr>
              <w:t>3</w:t>
            </w:r>
            <w:r>
              <w:rPr>
                <w:noProof/>
              </w:rPr>
              <w:tab/>
            </w:r>
            <w:r w:rsidRPr="000C4AC9">
              <w:rPr>
                <w:rStyle w:val="Hyperlink"/>
                <w:noProof/>
              </w:rPr>
              <w:t>18.05 Send optering til inddrivelse</w:t>
            </w:r>
            <w:r>
              <w:rPr>
                <w:noProof/>
                <w:webHidden/>
              </w:rPr>
              <w:tab/>
            </w:r>
            <w:r>
              <w:rPr>
                <w:noProof/>
                <w:webHidden/>
              </w:rPr>
              <w:fldChar w:fldCharType="begin"/>
            </w:r>
            <w:r>
              <w:rPr>
                <w:noProof/>
                <w:webHidden/>
              </w:rPr>
              <w:instrText xml:space="preserve"> PAGEREF _Toc327967931 \h </w:instrText>
            </w:r>
            <w:r>
              <w:rPr>
                <w:noProof/>
                <w:webHidden/>
              </w:rPr>
            </w:r>
            <w:r>
              <w:rPr>
                <w:noProof/>
                <w:webHidden/>
              </w:rPr>
              <w:fldChar w:fldCharType="separate"/>
            </w:r>
            <w:r>
              <w:rPr>
                <w:noProof/>
                <w:webHidden/>
              </w:rPr>
              <w:t>9</w:t>
            </w:r>
            <w:r>
              <w:rPr>
                <w:noProof/>
                <w:webHidden/>
              </w:rPr>
              <w:fldChar w:fldCharType="end"/>
            </w:r>
          </w:hyperlink>
        </w:p>
        <w:p w:rsidR="00673625" w:rsidRDefault="00673625">
          <w:pPr>
            <w:pStyle w:val="Indholdsfortegnelse2"/>
            <w:tabs>
              <w:tab w:val="left" w:pos="880"/>
              <w:tab w:val="right" w:leader="dot" w:pos="9719"/>
            </w:tabs>
            <w:rPr>
              <w:noProof/>
            </w:rPr>
          </w:pPr>
          <w:hyperlink w:anchor="_Toc327967932" w:history="1">
            <w:r w:rsidRPr="000C4AC9">
              <w:rPr>
                <w:rStyle w:val="Hyperlink"/>
                <w:noProof/>
              </w:rPr>
              <w:t>3.1</w:t>
            </w:r>
            <w:r>
              <w:rPr>
                <w:noProof/>
              </w:rPr>
              <w:tab/>
            </w:r>
            <w:r w:rsidRPr="000C4AC9">
              <w:rPr>
                <w:rStyle w:val="Hyperlink"/>
                <w:noProof/>
              </w:rPr>
              <w:t>18.05 Send opdatering til inddrivelse</w:t>
            </w:r>
            <w:r>
              <w:rPr>
                <w:noProof/>
                <w:webHidden/>
              </w:rPr>
              <w:tab/>
            </w:r>
            <w:r>
              <w:rPr>
                <w:noProof/>
                <w:webHidden/>
              </w:rPr>
              <w:fldChar w:fldCharType="begin"/>
            </w:r>
            <w:r>
              <w:rPr>
                <w:noProof/>
                <w:webHidden/>
              </w:rPr>
              <w:instrText xml:space="preserve"> PAGEREF _Toc327967932 \h </w:instrText>
            </w:r>
            <w:r>
              <w:rPr>
                <w:noProof/>
                <w:webHidden/>
              </w:rPr>
            </w:r>
            <w:r>
              <w:rPr>
                <w:noProof/>
                <w:webHidden/>
              </w:rPr>
              <w:fldChar w:fldCharType="separate"/>
            </w:r>
            <w:r>
              <w:rPr>
                <w:noProof/>
                <w:webHidden/>
              </w:rPr>
              <w:t>10</w:t>
            </w:r>
            <w:r>
              <w:rPr>
                <w:noProof/>
                <w:webHidden/>
              </w:rPr>
              <w:fldChar w:fldCharType="end"/>
            </w:r>
          </w:hyperlink>
        </w:p>
        <w:p w:rsidR="00673625" w:rsidRDefault="00673625">
          <w:r>
            <w:rPr>
              <w:b/>
              <w:bCs/>
            </w:rPr>
            <w:fldChar w:fldCharType="end"/>
          </w:r>
        </w:p>
      </w:sdtContent>
    </w:sdt>
    <w:p w:rsidR="00673625" w:rsidRDefault="00673625">
      <w:pPr>
        <w:rPr>
          <w:rFonts w:ascii="Arial" w:eastAsia="Times New Roman" w:hAnsi="Arial" w:cs="Arial"/>
          <w:b/>
          <w:bCs/>
          <w:sz w:val="30"/>
          <w:szCs w:val="32"/>
          <w:lang w:eastAsia="da-DK"/>
        </w:rPr>
      </w:pPr>
      <w:bookmarkStart w:id="0" w:name="_GoBack"/>
      <w:bookmarkEnd w:id="0"/>
      <w:r>
        <w:br w:type="page"/>
      </w:r>
    </w:p>
    <w:p w:rsidR="003B68D7" w:rsidRDefault="00AA6095" w:rsidP="00AA6095">
      <w:pPr>
        <w:pStyle w:val="Overskrift1"/>
      </w:pPr>
      <w:bookmarkStart w:id="1" w:name="_Toc327967926"/>
      <w:r>
        <w:rPr>
          <w:noProof/>
        </w:rPr>
        <w:drawing>
          <wp:anchor distT="0" distB="0" distL="114300" distR="114300" simplePos="0" relativeHeight="251658240" behindDoc="1" locked="0" layoutInCell="1" allowOverlap="1">
            <wp:simplePos x="0" y="0"/>
            <wp:positionH relativeFrom="column">
              <wp:posOffset>-59690</wp:posOffset>
            </wp:positionH>
            <wp:positionV relativeFrom="paragraph">
              <wp:posOffset>256540</wp:posOffset>
            </wp:positionV>
            <wp:extent cx="6177915" cy="4756785"/>
            <wp:effectExtent l="0" t="0" r="0" b="0"/>
            <wp:wrapTight wrapText="bothSides">
              <wp:wrapPolygon edited="0">
                <wp:start x="2598" y="779"/>
                <wp:lineTo x="1998" y="2163"/>
                <wp:lineTo x="1998" y="2336"/>
                <wp:lineTo x="2664" y="2336"/>
                <wp:lineTo x="2198" y="3720"/>
                <wp:lineTo x="2065" y="4758"/>
                <wp:lineTo x="2664" y="5104"/>
                <wp:lineTo x="4596" y="5104"/>
                <wp:lineTo x="7526" y="9256"/>
                <wp:lineTo x="7327" y="10640"/>
                <wp:lineTo x="5528" y="12024"/>
                <wp:lineTo x="2731" y="12457"/>
                <wp:lineTo x="2531" y="12716"/>
                <wp:lineTo x="2797" y="13408"/>
                <wp:lineTo x="2065" y="13668"/>
                <wp:lineTo x="2598" y="14792"/>
                <wp:lineTo x="2198" y="15571"/>
                <wp:lineTo x="2065" y="16436"/>
                <wp:lineTo x="9391" y="17560"/>
                <wp:lineTo x="466" y="17820"/>
                <wp:lineTo x="466" y="20761"/>
                <wp:lineTo x="10857" y="20761"/>
                <wp:lineTo x="10790" y="17647"/>
                <wp:lineTo x="3730" y="16176"/>
                <wp:lineTo x="8725" y="16176"/>
                <wp:lineTo x="14253" y="15484"/>
                <wp:lineTo x="14187" y="14792"/>
                <wp:lineTo x="14853" y="14100"/>
                <wp:lineTo x="14920" y="13754"/>
                <wp:lineTo x="14387" y="13408"/>
                <wp:lineTo x="12855" y="12024"/>
                <wp:lineTo x="16918" y="7872"/>
                <wp:lineTo x="19382" y="7699"/>
                <wp:lineTo x="20581" y="7180"/>
                <wp:lineTo x="19648" y="5104"/>
                <wp:lineTo x="20514" y="4931"/>
                <wp:lineTo x="20581" y="4585"/>
                <wp:lineTo x="19915" y="3720"/>
                <wp:lineTo x="20181" y="2509"/>
                <wp:lineTo x="20115" y="2249"/>
                <wp:lineTo x="11656" y="1644"/>
                <wp:lineTo x="2997" y="779"/>
                <wp:lineTo x="2598" y="779"/>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4756785"/>
                    </a:xfrm>
                    <a:prstGeom prst="rect">
                      <a:avLst/>
                    </a:prstGeom>
                  </pic:spPr>
                </pic:pic>
              </a:graphicData>
            </a:graphic>
          </wp:anchor>
        </w:drawing>
      </w:r>
      <w:r>
        <w:t>12.14 Tilbagekald fordring</w:t>
      </w:r>
      <w:bookmarkEnd w:id="1"/>
    </w:p>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p>
        </w:tc>
      </w:tr>
    </w:tbl>
    <w:p w:rsidR="00AA6095" w:rsidRDefault="00AA6095" w:rsidP="00AA6095">
      <w:pPr>
        <w:pStyle w:val="Normal11"/>
        <w:rPr>
          <w:lang w:eastAsia="da-DK"/>
        </w:rPr>
      </w:pPr>
    </w:p>
    <w:p w:rsidR="00AA6095" w:rsidRDefault="00AA6095" w:rsidP="00AA6095">
      <w:pPr>
        <w:pStyle w:val="Normal11"/>
        <w:rPr>
          <w:lang w:eastAsia="da-DK"/>
        </w:rPr>
        <w:sectPr w:rsidR="00AA6095" w:rsidSect="00AA6095">
          <w:headerReference w:type="default" r:id="rId10"/>
          <w:footerReference w:type="default" r:id="rId11"/>
          <w:pgSz w:w="11906" w:h="16838"/>
          <w:pgMar w:top="1417" w:right="986" w:bottom="1417" w:left="1134" w:header="556" w:footer="850" w:gutter="57"/>
          <w:paperSrc w:first="2" w:other="2"/>
          <w:cols w:space="708"/>
          <w:docGrid w:linePitch="360"/>
        </w:sectPr>
      </w:pPr>
    </w:p>
    <w:p w:rsidR="00AA6095" w:rsidRDefault="00AA6095" w:rsidP="00AA6095">
      <w:pPr>
        <w:pStyle w:val="Overskrift2"/>
      </w:pPr>
      <w:bookmarkStart w:id="2" w:name="_Toc327967927"/>
      <w:r>
        <w:lastRenderedPageBreak/>
        <w:t>12.14 Tilbagekald fordring (web)</w:t>
      </w:r>
      <w:bookmarkEnd w:id="2"/>
    </w:p>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Formål</w:t>
            </w:r>
          </w:p>
          <w:p w:rsidR="00AA6095" w:rsidRDefault="00AA6095" w:rsidP="00AA6095">
            <w:pPr>
              <w:pStyle w:val="Normal11"/>
              <w:rPr>
                <w:lang w:eastAsia="da-DK"/>
              </w:rPr>
            </w:pPr>
            <w:r>
              <w:rPr>
                <w:lang w:eastAsia="da-DK"/>
              </w:rPr>
              <w:t xml:space="preserve"> At returnere en eller flere fordringer som fordringshaver manuelt har oprettet.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Beskrivelse </w:t>
            </w:r>
          </w:p>
          <w:p w:rsidR="00AA6095" w:rsidRDefault="00AA6095" w:rsidP="00AA6095">
            <w:pPr>
              <w:pStyle w:val="Normal11"/>
              <w:rPr>
                <w:lang w:eastAsia="da-DK"/>
              </w:rPr>
            </w:pPr>
            <w:r>
              <w:rPr>
                <w:lang w:eastAsia="da-DK"/>
              </w:rPr>
              <w:t xml:space="preserve">Ved tilbagekaldelsen skal det fremgå, at der skal ske en kreditering af fordringen. Fordeling af negativ fordring gennemføres via </w:t>
            </w:r>
            <w:proofErr w:type="spellStart"/>
            <w:r>
              <w:rPr>
                <w:lang w:eastAsia="da-DK"/>
              </w:rPr>
              <w:t>use</w:t>
            </w:r>
            <w:proofErr w:type="spellEnd"/>
            <w:r>
              <w:rPr>
                <w:lang w:eastAsia="da-DK"/>
              </w:rPr>
              <w:t xml:space="preserve"> case 12.16. Denne </w:t>
            </w:r>
            <w:proofErr w:type="spellStart"/>
            <w:r>
              <w:rPr>
                <w:lang w:eastAsia="da-DK"/>
              </w:rPr>
              <w:t>use</w:t>
            </w:r>
            <w:proofErr w:type="spellEnd"/>
            <w:r>
              <w:rPr>
                <w:lang w:eastAsia="da-DK"/>
              </w:rPr>
              <w:t xml:space="preserve"> case indeholder funktionalitet til at matche debet og kredit indestående på kontoen. Tilbagekaldelsen skal derfor indeholde oplysninger der gør det muligt at matche den oprindelige fordring (dette vil typisk være et </w:t>
            </w:r>
            <w:proofErr w:type="spellStart"/>
            <w:r>
              <w:rPr>
                <w:lang w:eastAsia="da-DK"/>
              </w:rPr>
              <w:t>FordringsID</w:t>
            </w:r>
            <w:proofErr w:type="spellEnd"/>
            <w:r>
              <w:rPr>
                <w:lang w:eastAsia="da-DK"/>
              </w:rPr>
              <w:t>). Eventuelle indbetalinger der har dækket fordringen indgår i kontoens saldo og behandles efter kontoens principper.</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Hvis der er beregnet og tilskrevet renter på den/de fordringer der tilbagekaldes skal disse renter tilbagerulles automatisk inkl. eventuelle dækninger.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Hvis fordringen er oprettet fra et internt fagsystem f eks DR eller SAP38 og denne "tilbagekaldes" op/nedskrives fra fagsystemet, vil der ligeledes ske op/nedskrivning i EFI. Dette håndteres ikke af denne </w:t>
            </w:r>
            <w:proofErr w:type="spellStart"/>
            <w:r>
              <w:rPr>
                <w:lang w:eastAsia="da-DK"/>
              </w:rPr>
              <w:t>use</w:t>
            </w:r>
            <w:proofErr w:type="spellEnd"/>
            <w:r>
              <w:rPr>
                <w:lang w:eastAsia="da-DK"/>
              </w:rPr>
              <w:t xml:space="preserve"> case, </w:t>
            </w:r>
            <w:proofErr w:type="gramStart"/>
            <w:r>
              <w:rPr>
                <w:lang w:eastAsia="da-DK"/>
              </w:rPr>
              <w:t>men  via</w:t>
            </w:r>
            <w:proofErr w:type="gramEnd"/>
            <w:r>
              <w:rPr>
                <w:lang w:eastAsia="da-DK"/>
              </w:rPr>
              <w:t xml:space="preserve"> </w:t>
            </w:r>
            <w:proofErr w:type="spellStart"/>
            <w:r>
              <w:rPr>
                <w:lang w:eastAsia="da-DK"/>
              </w:rPr>
              <w:t>use</w:t>
            </w:r>
            <w:proofErr w:type="spellEnd"/>
            <w:r>
              <w:rPr>
                <w:lang w:eastAsia="da-DK"/>
              </w:rPr>
              <w:t xml:space="preserve"> case 12.15.</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Hvis en fordring skal tilbagekaldes fra EFI (annullere overdragelsen til EFI) og forblive på skattekontoen, skal der via </w:t>
            </w:r>
            <w:proofErr w:type="gramStart"/>
            <w:r>
              <w:rPr>
                <w:lang w:eastAsia="da-DK"/>
              </w:rPr>
              <w:t>DMO  manuelt</w:t>
            </w:r>
            <w:proofErr w:type="gramEnd"/>
            <w:r>
              <w:rPr>
                <w:lang w:eastAsia="da-DK"/>
              </w:rPr>
              <w:t xml:space="preserve"> foretages en tilbagekaldelse fra EFI. Her vil der ikke ske op/nedskrivning i EFI, men kun tilbagekaldelse til skattekontoen. Denne tilbagekaldelse skal kunne foretages på både maskinelle og manuelt oprettede fordringen.  </w:t>
            </w:r>
          </w:p>
          <w:p w:rsidR="00AA6095" w:rsidRDefault="00AA6095" w:rsidP="00AA6095">
            <w:pPr>
              <w:pStyle w:val="Normal11"/>
              <w:rPr>
                <w:lang w:eastAsia="da-DK"/>
              </w:rPr>
            </w:pP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Frekvens</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Aktører</w:t>
            </w:r>
          </w:p>
          <w:p w:rsidR="00AA6095" w:rsidRPr="00AA6095" w:rsidRDefault="00AA6095" w:rsidP="00AA6095">
            <w:pPr>
              <w:pStyle w:val="Normal11"/>
              <w:rPr>
                <w:lang w:eastAsia="da-DK"/>
              </w:rPr>
            </w:pPr>
            <w:r>
              <w:rPr>
                <w:lang w:eastAsia="da-DK"/>
              </w:rPr>
              <w:t>Sagsbehandler, Bogholder, DMO-Basis</w:t>
            </w: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Startbetingelser</w:t>
            </w:r>
          </w:p>
          <w:p w:rsidR="00AA6095" w:rsidRPr="00AA6095" w:rsidRDefault="00AA6095" w:rsidP="00AA6095">
            <w:pPr>
              <w:pStyle w:val="Normal11"/>
              <w:rPr>
                <w:lang w:eastAsia="da-DK"/>
              </w:rPr>
            </w:pPr>
            <w:r>
              <w:rPr>
                <w:lang w:eastAsia="da-DK"/>
              </w:rPr>
              <w:t>Aktøren er logget på systemet. og der er valgt kunde</w:t>
            </w:r>
          </w:p>
        </w:tc>
      </w:tr>
    </w:tbl>
    <w:p w:rsidR="00AA6095" w:rsidRDefault="00AA6095" w:rsidP="00AA6095">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A6095" w:rsidTr="00AA6095">
        <w:tblPrEx>
          <w:tblCellMar>
            <w:top w:w="0" w:type="dxa"/>
            <w:bottom w:w="0" w:type="dxa"/>
          </w:tblCellMar>
        </w:tblPrEx>
        <w:tc>
          <w:tcPr>
            <w:tcW w:w="9909" w:type="dxa"/>
            <w:gridSpan w:val="3"/>
          </w:tcPr>
          <w:p w:rsidR="00AA6095" w:rsidRPr="00AA6095" w:rsidRDefault="00AA6095" w:rsidP="00AA6095">
            <w:pPr>
              <w:pStyle w:val="Normal11"/>
              <w:rPr>
                <w:lang w:eastAsia="da-DK"/>
              </w:rPr>
            </w:pPr>
            <w:r>
              <w:rPr>
                <w:b/>
                <w:lang w:eastAsia="da-DK"/>
              </w:rPr>
              <w:t>Hovedvej</w:t>
            </w:r>
          </w:p>
        </w:tc>
      </w:tr>
      <w:tr w:rsidR="00AA6095" w:rsidTr="00AA6095">
        <w:tblPrEx>
          <w:tblCellMar>
            <w:top w:w="0" w:type="dxa"/>
            <w:bottom w:w="0" w:type="dxa"/>
          </w:tblCellMar>
        </w:tblPrEx>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Aktør</w:t>
            </w:r>
          </w:p>
        </w:tc>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Løsning</w:t>
            </w:r>
          </w:p>
        </w:tc>
        <w:tc>
          <w:tcPr>
            <w:tcW w:w="3197" w:type="dxa"/>
            <w:shd w:val="pct20" w:color="auto" w:fill="0000FF"/>
          </w:tcPr>
          <w:p w:rsidR="00AA6095" w:rsidRPr="00AA6095" w:rsidRDefault="00AA6095" w:rsidP="00AA6095">
            <w:pPr>
              <w:pStyle w:val="Normal11"/>
              <w:rPr>
                <w:color w:val="FFFFFF"/>
                <w:lang w:eastAsia="da-DK"/>
              </w:rPr>
            </w:pPr>
            <w:r>
              <w:rPr>
                <w:color w:val="FFFFFF"/>
                <w:lang w:eastAsia="da-DK"/>
              </w:rPr>
              <w:t>Service/Service operationer</w:t>
            </w: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1: Vælg menupunkt tilbagekald fordring</w:t>
            </w:r>
          </w:p>
        </w:tc>
      </w:tr>
      <w:tr w:rsidR="00AA6095" w:rsidTr="00AA6095">
        <w:tblPrEx>
          <w:tblCellMar>
            <w:top w:w="0" w:type="dxa"/>
            <w:bottom w:w="0" w:type="dxa"/>
          </w:tblCellMar>
        </w:tblPrEx>
        <w:tc>
          <w:tcPr>
            <w:tcW w:w="3356" w:type="dxa"/>
            <w:shd w:val="clear" w:color="auto" w:fill="FFFFFF"/>
          </w:tcPr>
          <w:p w:rsidR="00AA6095" w:rsidRPr="00AA6095" w:rsidRDefault="00AA6095" w:rsidP="00AA6095">
            <w:pPr>
              <w:pStyle w:val="Normal11"/>
              <w:rPr>
                <w:color w:val="000000"/>
                <w:lang w:eastAsia="da-DK"/>
              </w:rPr>
            </w:pPr>
            <w:r>
              <w:rPr>
                <w:color w:val="000000"/>
                <w:lang w:eastAsia="da-DK"/>
              </w:rPr>
              <w:t>Vælger 'Tilbagekald fordring'</w:t>
            </w:r>
          </w:p>
        </w:tc>
        <w:tc>
          <w:tcPr>
            <w:tcW w:w="3356" w:type="dxa"/>
            <w:shd w:val="clear" w:color="auto" w:fill="FFFFFF"/>
          </w:tcPr>
          <w:p w:rsidR="00AA6095" w:rsidRDefault="00AA6095" w:rsidP="00AA6095">
            <w:pPr>
              <w:pStyle w:val="Normal11"/>
              <w:rPr>
                <w:lang w:eastAsia="da-DK"/>
              </w:rPr>
            </w:pPr>
            <w:r>
              <w:rPr>
                <w:lang w:eastAsia="da-DK"/>
              </w:rPr>
              <w:t xml:space="preserve">Viser alle kundens udækkede positive og negative </w:t>
            </w:r>
            <w:proofErr w:type="gramStart"/>
            <w:r>
              <w:rPr>
                <w:lang w:eastAsia="da-DK"/>
              </w:rPr>
              <w:t>fordringer .</w:t>
            </w:r>
            <w:proofErr w:type="gramEnd"/>
            <w:r>
              <w:rPr>
                <w:lang w:eastAsia="da-DK"/>
              </w:rPr>
              <w:t xml:space="preserve"> </w:t>
            </w:r>
          </w:p>
          <w:p w:rsidR="00AA6095" w:rsidRDefault="00AA6095" w:rsidP="00AA6095">
            <w:pPr>
              <w:pStyle w:val="Normal11"/>
              <w:rPr>
                <w:lang w:eastAsia="da-DK"/>
              </w:rPr>
            </w:pPr>
            <w:r>
              <w:rPr>
                <w:lang w:eastAsia="da-DK"/>
              </w:rPr>
              <w:t>Fordringer overdraget til inddrivelse samt både frigivne og ikke frigivne skal kunne tilbagekaldes.</w:t>
            </w:r>
          </w:p>
          <w:p w:rsidR="00AA6095" w:rsidRDefault="00AA6095" w:rsidP="00AA6095">
            <w:pPr>
              <w:pStyle w:val="Normal11"/>
              <w:rPr>
                <w:lang w:eastAsia="da-DK"/>
              </w:rPr>
            </w:pPr>
          </w:p>
          <w:p w:rsidR="00AA6095" w:rsidRDefault="00AA6095" w:rsidP="00AA6095">
            <w:pPr>
              <w:pStyle w:val="Normal11"/>
              <w:rPr>
                <w:lang w:eastAsia="da-DK"/>
              </w:rPr>
            </w:pPr>
            <w:r>
              <w:rPr>
                <w:lang w:eastAsia="da-DK"/>
              </w:rPr>
              <w:t>Der må kun vises fordringer, der manuelt er oprettet fra Portalen eller i SAP-GUI.</w:t>
            </w:r>
          </w:p>
          <w:p w:rsidR="00AA6095" w:rsidRDefault="00AA6095" w:rsidP="00AA6095">
            <w:pPr>
              <w:pStyle w:val="Normal11"/>
              <w:rPr>
                <w:lang w:eastAsia="da-DK"/>
              </w:rPr>
            </w:pPr>
            <w:r>
              <w:rPr>
                <w:lang w:eastAsia="da-DK"/>
              </w:rPr>
              <w:t xml:space="preserve"> </w:t>
            </w:r>
          </w:p>
          <w:p w:rsidR="00AA6095" w:rsidRDefault="00AA6095" w:rsidP="00AA6095">
            <w:pPr>
              <w:pStyle w:val="Normal11"/>
              <w:rPr>
                <w:lang w:eastAsia="da-DK"/>
              </w:rPr>
            </w:pPr>
            <w:r>
              <w:rPr>
                <w:lang w:eastAsia="da-DK"/>
              </w:rPr>
              <w:t>Der gives mulighed for at vælge den fordring, der skal tilbagekaldes.</w:t>
            </w:r>
          </w:p>
          <w:p w:rsidR="00AA6095" w:rsidRDefault="00AA6095" w:rsidP="00AA6095">
            <w:pPr>
              <w:pStyle w:val="Normal11"/>
              <w:rPr>
                <w:lang w:eastAsia="da-DK"/>
              </w:rPr>
            </w:pPr>
          </w:p>
        </w:tc>
        <w:tc>
          <w:tcPr>
            <w:tcW w:w="3197" w:type="dxa"/>
            <w:shd w:val="clear" w:color="auto" w:fill="FFFFFF"/>
          </w:tcPr>
          <w:p w:rsidR="00AA6095" w:rsidRDefault="00AA6095" w:rsidP="00AA6095">
            <w:pPr>
              <w:pStyle w:val="Normal11"/>
              <w:rPr>
                <w:lang w:eastAsia="da-DK"/>
              </w:rPr>
            </w:pPr>
            <w:proofErr w:type="spellStart"/>
            <w:r>
              <w:rPr>
                <w:lang w:eastAsia="da-DK"/>
              </w:rPr>
              <w:t>DMS</w:t>
            </w:r>
            <w:proofErr w:type="gramStart"/>
            <w:r>
              <w:rPr>
                <w:lang w:eastAsia="da-DK"/>
              </w:rPr>
              <w:t>.OpkrævningFordringUdækketList</w:t>
            </w:r>
            <w:proofErr w:type="spellEnd"/>
            <w:proofErr w:type="gramEnd"/>
          </w:p>
        </w:tc>
      </w:tr>
      <w:tr w:rsidR="00AA6095" w:rsidTr="00AA6095">
        <w:tblPrEx>
          <w:tblCellMar>
            <w:top w:w="0" w:type="dxa"/>
            <w:bottom w:w="0" w:type="dxa"/>
          </w:tblCellMar>
        </w:tblPrEx>
        <w:tc>
          <w:tcPr>
            <w:tcW w:w="3356" w:type="dxa"/>
            <w:shd w:val="clear" w:color="auto" w:fill="FFFFFF"/>
          </w:tcPr>
          <w:p w:rsidR="00AA6095" w:rsidRDefault="00AA6095" w:rsidP="00AA6095">
            <w:pPr>
              <w:pStyle w:val="Normal11"/>
              <w:rPr>
                <w:color w:val="000000"/>
                <w:lang w:eastAsia="da-DK"/>
              </w:rPr>
            </w:pPr>
            <w:r>
              <w:rPr>
                <w:color w:val="000000"/>
                <w:lang w:eastAsia="da-DK"/>
              </w:rPr>
              <w:t>[Detailfordring]</w:t>
            </w:r>
          </w:p>
        </w:tc>
        <w:tc>
          <w:tcPr>
            <w:tcW w:w="3356" w:type="dxa"/>
            <w:shd w:val="clear" w:color="auto" w:fill="FFFFFF"/>
          </w:tcPr>
          <w:p w:rsidR="00AA6095" w:rsidRDefault="00AA6095" w:rsidP="00AA6095">
            <w:pPr>
              <w:pStyle w:val="Normal11"/>
              <w:rPr>
                <w:lang w:eastAsia="da-DK"/>
              </w:rPr>
            </w:pPr>
          </w:p>
        </w:tc>
        <w:tc>
          <w:tcPr>
            <w:tcW w:w="3197" w:type="dxa"/>
            <w:shd w:val="clear" w:color="auto" w:fill="FFFFFF"/>
          </w:tcPr>
          <w:p w:rsidR="00AA6095" w:rsidRDefault="00AA6095" w:rsidP="00AA6095">
            <w:pPr>
              <w:pStyle w:val="Normal11"/>
              <w:rPr>
                <w:lang w:eastAsia="da-DK"/>
              </w:rPr>
            </w:pP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2: Marker fordring</w:t>
            </w:r>
          </w:p>
        </w:tc>
      </w:tr>
      <w:tr w:rsidR="00AA6095" w:rsidTr="00AA6095">
        <w:tblPrEx>
          <w:tblCellMar>
            <w:top w:w="0" w:type="dxa"/>
            <w:bottom w:w="0" w:type="dxa"/>
          </w:tblCellMar>
        </w:tblPrEx>
        <w:tc>
          <w:tcPr>
            <w:tcW w:w="3356" w:type="dxa"/>
            <w:shd w:val="clear" w:color="auto" w:fill="FFFFFF"/>
          </w:tcPr>
          <w:p w:rsidR="00AA6095" w:rsidRDefault="00AA6095" w:rsidP="00AA6095">
            <w:pPr>
              <w:pStyle w:val="Normal11"/>
              <w:rPr>
                <w:color w:val="000000"/>
                <w:lang w:eastAsia="da-DK"/>
              </w:rPr>
            </w:pPr>
            <w:r>
              <w:rPr>
                <w:color w:val="000000"/>
                <w:lang w:eastAsia="da-DK"/>
              </w:rPr>
              <w:t xml:space="preserve">Markerer fordring </w:t>
            </w:r>
          </w:p>
        </w:tc>
        <w:tc>
          <w:tcPr>
            <w:tcW w:w="3356" w:type="dxa"/>
            <w:shd w:val="clear" w:color="auto" w:fill="FFFFFF"/>
          </w:tcPr>
          <w:p w:rsidR="00AA6095" w:rsidRDefault="00AA6095" w:rsidP="00AA6095">
            <w:pPr>
              <w:pStyle w:val="Normal11"/>
              <w:rPr>
                <w:lang w:eastAsia="da-DK"/>
              </w:rPr>
            </w:pPr>
            <w:r>
              <w:rPr>
                <w:lang w:eastAsia="da-DK"/>
              </w:rPr>
              <w:t>Marker fordringen, der skal tilbagekaldes</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Det skal være muligt at nulstille </w:t>
            </w:r>
            <w:r>
              <w:rPr>
                <w:lang w:eastAsia="da-DK"/>
              </w:rPr>
              <w:lastRenderedPageBreak/>
              <w:t>indtastede felter.</w:t>
            </w:r>
          </w:p>
          <w:p w:rsidR="00AA6095" w:rsidRDefault="00AA6095" w:rsidP="00AA6095">
            <w:pPr>
              <w:pStyle w:val="Normal11"/>
              <w:rPr>
                <w:lang w:eastAsia="da-DK"/>
              </w:rPr>
            </w:pPr>
          </w:p>
        </w:tc>
        <w:tc>
          <w:tcPr>
            <w:tcW w:w="3197" w:type="dxa"/>
            <w:shd w:val="clear" w:color="auto" w:fill="FFFFFF"/>
          </w:tcPr>
          <w:p w:rsidR="00AA6095" w:rsidRDefault="00AA6095" w:rsidP="00AA6095">
            <w:pPr>
              <w:pStyle w:val="Normal11"/>
              <w:rPr>
                <w:lang w:eastAsia="da-DK"/>
              </w:rPr>
            </w:pP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lastRenderedPageBreak/>
              <w:t>Trin 3: Tilbagekald fordring</w:t>
            </w:r>
          </w:p>
        </w:tc>
      </w:tr>
      <w:tr w:rsidR="00AA6095" w:rsidTr="00AA6095">
        <w:tblPrEx>
          <w:tblCellMar>
            <w:top w:w="0" w:type="dxa"/>
            <w:bottom w:w="0" w:type="dxa"/>
          </w:tblCellMar>
        </w:tblPrEx>
        <w:tc>
          <w:tcPr>
            <w:tcW w:w="3356" w:type="dxa"/>
            <w:shd w:val="clear" w:color="auto" w:fill="FFFFFF"/>
          </w:tcPr>
          <w:p w:rsidR="00AA6095" w:rsidRDefault="00AA6095" w:rsidP="00AA6095">
            <w:pPr>
              <w:pStyle w:val="Normal11"/>
              <w:rPr>
                <w:color w:val="000000"/>
                <w:lang w:eastAsia="da-DK"/>
              </w:rPr>
            </w:pPr>
            <w:r>
              <w:rPr>
                <w:color w:val="000000"/>
                <w:lang w:eastAsia="da-DK"/>
              </w:rPr>
              <w:t xml:space="preserve">Vælger </w:t>
            </w:r>
            <w:proofErr w:type="gramStart"/>
            <w:r>
              <w:rPr>
                <w:color w:val="000000"/>
                <w:lang w:eastAsia="da-DK"/>
              </w:rPr>
              <w:t>godkende</w:t>
            </w:r>
            <w:proofErr w:type="gramEnd"/>
          </w:p>
        </w:tc>
        <w:tc>
          <w:tcPr>
            <w:tcW w:w="3356" w:type="dxa"/>
            <w:shd w:val="clear" w:color="auto" w:fill="FFFFFF"/>
          </w:tcPr>
          <w:p w:rsidR="00AA6095" w:rsidRDefault="00AA6095" w:rsidP="00AA6095">
            <w:pPr>
              <w:pStyle w:val="Normal11"/>
              <w:rPr>
                <w:lang w:eastAsia="da-DK"/>
              </w:rPr>
            </w:pPr>
            <w:r>
              <w:rPr>
                <w:lang w:eastAsia="da-DK"/>
              </w:rPr>
              <w:t>Der gemmes oplysninger og der returneres til UC 13.07 kontostatus</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Den </w:t>
            </w:r>
            <w:proofErr w:type="gramStart"/>
            <w:r>
              <w:rPr>
                <w:lang w:eastAsia="da-DK"/>
              </w:rPr>
              <w:t>oprindelig</w:t>
            </w:r>
            <w:proofErr w:type="gramEnd"/>
            <w:r>
              <w:rPr>
                <w:lang w:eastAsia="da-DK"/>
              </w:rPr>
              <w:t xml:space="preserve"> fordring tilbageføres inkl. påløbne renter. </w:t>
            </w:r>
            <w:proofErr w:type="spellStart"/>
            <w:r>
              <w:rPr>
                <w:lang w:eastAsia="da-DK"/>
              </w:rPr>
              <w:t>Evt</w:t>
            </w:r>
            <w:proofErr w:type="spellEnd"/>
            <w:r>
              <w:rPr>
                <w:lang w:eastAsia="da-DK"/>
              </w:rPr>
              <w:t xml:space="preserve"> tidligere dækning (indbetaling) indgår rent bogføringsmæssigt i kontoens saldo som en kreditering.(</w:t>
            </w:r>
            <w:proofErr w:type="spellStart"/>
            <w:r>
              <w:rPr>
                <w:lang w:eastAsia="da-DK"/>
              </w:rPr>
              <w:t>Sapfunktionalitet</w:t>
            </w:r>
            <w:proofErr w:type="spellEnd"/>
            <w:r>
              <w:rPr>
                <w:lang w:eastAsia="da-DK"/>
              </w:rPr>
              <w:t xml:space="preserve"> medtaget for overblikket)</w:t>
            </w:r>
          </w:p>
          <w:p w:rsidR="00AA6095" w:rsidRDefault="00AA6095" w:rsidP="00AA6095">
            <w:pPr>
              <w:pStyle w:val="Normal11"/>
              <w:rPr>
                <w:lang w:eastAsia="da-DK"/>
              </w:rPr>
            </w:pPr>
          </w:p>
          <w:p w:rsidR="00AA6095" w:rsidRDefault="00AA6095" w:rsidP="00AA6095">
            <w:pPr>
              <w:pStyle w:val="Normal11"/>
              <w:rPr>
                <w:lang w:eastAsia="da-DK"/>
              </w:rPr>
            </w:pPr>
            <w:r>
              <w:rPr>
                <w:lang w:eastAsia="da-DK"/>
              </w:rPr>
              <w:t>Hvis fordring er overdraget til EFI, tilbagekalder løsningen fordringen fra EFI.(</w:t>
            </w:r>
            <w:proofErr w:type="spellStart"/>
            <w:r>
              <w:rPr>
                <w:lang w:eastAsia="da-DK"/>
              </w:rPr>
              <w:t>Sapfunktionalitet</w:t>
            </w:r>
            <w:proofErr w:type="spellEnd"/>
            <w:r>
              <w:rPr>
                <w:lang w:eastAsia="da-DK"/>
              </w:rPr>
              <w:t xml:space="preserve"> medtaget for overblikket)</w:t>
            </w:r>
          </w:p>
        </w:tc>
        <w:tc>
          <w:tcPr>
            <w:tcW w:w="3197" w:type="dxa"/>
            <w:shd w:val="clear" w:color="auto" w:fill="FFFFFF"/>
          </w:tcPr>
          <w:p w:rsidR="00AA6095" w:rsidRDefault="00AA6095" w:rsidP="00AA6095">
            <w:pPr>
              <w:pStyle w:val="Normal11"/>
              <w:rPr>
                <w:lang w:eastAsia="da-DK"/>
              </w:rPr>
            </w:pPr>
            <w:proofErr w:type="spellStart"/>
            <w:r>
              <w:rPr>
                <w:lang w:eastAsia="da-DK"/>
              </w:rPr>
              <w:t>DMS</w:t>
            </w:r>
            <w:proofErr w:type="gramStart"/>
            <w:r>
              <w:rPr>
                <w:lang w:eastAsia="da-DK"/>
              </w:rPr>
              <w:t>.OpkrævningFordringTilbagekald</w:t>
            </w:r>
            <w:proofErr w:type="spellEnd"/>
            <w:proofErr w:type="gramEnd"/>
          </w:p>
        </w:tc>
      </w:tr>
    </w:tbl>
    <w:p w:rsidR="00AA6095" w:rsidRDefault="00AA6095" w:rsidP="00AA6095">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A6095" w:rsidTr="00AA6095">
        <w:tblPrEx>
          <w:tblCellMar>
            <w:top w:w="0" w:type="dxa"/>
            <w:bottom w:w="0" w:type="dxa"/>
          </w:tblCellMar>
        </w:tblPrEx>
        <w:tc>
          <w:tcPr>
            <w:tcW w:w="9909" w:type="dxa"/>
            <w:gridSpan w:val="3"/>
          </w:tcPr>
          <w:p w:rsidR="00AA6095" w:rsidRPr="00AA6095" w:rsidRDefault="00AA6095" w:rsidP="00AA6095">
            <w:pPr>
              <w:pStyle w:val="Normal11"/>
              <w:rPr>
                <w:lang w:eastAsia="da-DK"/>
              </w:rPr>
            </w:pPr>
            <w:r>
              <w:rPr>
                <w:b/>
                <w:lang w:eastAsia="da-DK"/>
              </w:rPr>
              <w:t>Undtagelser</w:t>
            </w:r>
          </w:p>
        </w:tc>
      </w:tr>
      <w:tr w:rsidR="00AA6095" w:rsidTr="00AA6095">
        <w:tblPrEx>
          <w:tblCellMar>
            <w:top w:w="0" w:type="dxa"/>
            <w:bottom w:w="0" w:type="dxa"/>
          </w:tblCellMar>
        </w:tblPrEx>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Aktør</w:t>
            </w:r>
          </w:p>
        </w:tc>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Løsning</w:t>
            </w:r>
          </w:p>
        </w:tc>
        <w:tc>
          <w:tcPr>
            <w:tcW w:w="3197" w:type="dxa"/>
            <w:shd w:val="pct20" w:color="auto" w:fill="0000FF"/>
          </w:tcPr>
          <w:p w:rsidR="00AA6095" w:rsidRPr="00AA6095" w:rsidRDefault="00AA6095" w:rsidP="00AA6095">
            <w:pPr>
              <w:pStyle w:val="Normal11"/>
              <w:rPr>
                <w:color w:val="FFFFFF"/>
                <w:lang w:eastAsia="da-DK"/>
              </w:rPr>
            </w:pPr>
            <w:r>
              <w:rPr>
                <w:color w:val="FFFFFF"/>
                <w:lang w:eastAsia="da-DK"/>
              </w:rPr>
              <w:t>Service/Service operationer</w:t>
            </w: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color w:val="000000"/>
                <w:lang w:eastAsia="da-DK"/>
              </w:rPr>
            </w:pPr>
            <w:r>
              <w:rPr>
                <w:b/>
                <w:color w:val="000000"/>
                <w:lang w:eastAsia="da-DK"/>
              </w:rPr>
              <w:t>Detailfordring</w:t>
            </w:r>
          </w:p>
        </w:tc>
      </w:tr>
      <w:tr w:rsidR="00AA6095" w:rsidTr="00AA6095">
        <w:tblPrEx>
          <w:tblCellMar>
            <w:top w:w="0" w:type="dxa"/>
            <w:bottom w:w="0" w:type="dxa"/>
          </w:tblCellMar>
        </w:tblPrEx>
        <w:tc>
          <w:tcPr>
            <w:tcW w:w="3356" w:type="dxa"/>
            <w:shd w:val="clear" w:color="auto" w:fill="FFFFFF"/>
          </w:tcPr>
          <w:p w:rsidR="00AA6095" w:rsidRPr="00AA6095" w:rsidRDefault="00AA6095" w:rsidP="00AA6095">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AA6095" w:rsidRPr="00AA6095" w:rsidRDefault="00AA6095" w:rsidP="00AA6095">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19.04 Hent Fordring</w:t>
            </w:r>
          </w:p>
        </w:tc>
        <w:tc>
          <w:tcPr>
            <w:tcW w:w="3197" w:type="dxa"/>
            <w:shd w:val="clear" w:color="auto" w:fill="FFFFFF"/>
          </w:tcPr>
          <w:p w:rsidR="00AA6095" w:rsidRPr="00AA6095" w:rsidRDefault="00AA6095" w:rsidP="00AA6095">
            <w:pPr>
              <w:pStyle w:val="Normal11"/>
              <w:rPr>
                <w:color w:val="000000"/>
                <w:lang w:eastAsia="da-DK"/>
              </w:rPr>
            </w:pPr>
            <w:proofErr w:type="spellStart"/>
            <w:r>
              <w:rPr>
                <w:color w:val="000000"/>
                <w:lang w:eastAsia="da-DK"/>
              </w:rPr>
              <w:t>DMS</w:t>
            </w:r>
            <w:proofErr w:type="gramStart"/>
            <w:r>
              <w:rPr>
                <w:color w:val="000000"/>
                <w:lang w:eastAsia="da-DK"/>
              </w:rPr>
              <w:t>.OpkrævningFordringHent</w:t>
            </w:r>
            <w:proofErr w:type="spellEnd"/>
            <w:proofErr w:type="gramEnd"/>
          </w:p>
        </w:tc>
      </w:tr>
      <w:tr w:rsidR="00AA6095" w:rsidTr="00AA6095">
        <w:tblPrEx>
          <w:tblCellMar>
            <w:top w:w="0" w:type="dxa"/>
            <w:bottom w:w="0" w:type="dxa"/>
          </w:tblCellMar>
        </w:tblPrEx>
        <w:tc>
          <w:tcPr>
            <w:tcW w:w="3356" w:type="dxa"/>
            <w:shd w:val="clear" w:color="auto" w:fill="FFFFFF"/>
          </w:tcPr>
          <w:p w:rsidR="00AA6095" w:rsidRDefault="00AA6095" w:rsidP="00AA6095">
            <w:pPr>
              <w:pStyle w:val="Normal11"/>
              <w:rPr>
                <w:color w:val="000000"/>
                <w:lang w:eastAsia="da-DK"/>
              </w:rPr>
            </w:pPr>
          </w:p>
        </w:tc>
        <w:tc>
          <w:tcPr>
            <w:tcW w:w="3356" w:type="dxa"/>
            <w:shd w:val="clear" w:color="auto" w:fill="FFFFFF"/>
          </w:tcPr>
          <w:p w:rsidR="00AA6095" w:rsidRDefault="00AA6095" w:rsidP="00AA6095">
            <w:pPr>
              <w:pStyle w:val="Normal11"/>
              <w:rPr>
                <w:color w:val="000000"/>
                <w:lang w:eastAsia="da-DK"/>
              </w:rPr>
            </w:pPr>
          </w:p>
        </w:tc>
        <w:tc>
          <w:tcPr>
            <w:tcW w:w="3197" w:type="dxa"/>
            <w:shd w:val="clear" w:color="auto" w:fill="FFFFFF"/>
          </w:tcPr>
          <w:p w:rsidR="00AA6095" w:rsidRDefault="00AA6095" w:rsidP="00AA6095">
            <w:pPr>
              <w:pStyle w:val="Normal11"/>
              <w:rPr>
                <w:color w:val="000000"/>
                <w:lang w:eastAsia="da-DK"/>
              </w:rPr>
            </w:pPr>
          </w:p>
        </w:tc>
      </w:tr>
    </w:tbl>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Slutbetingelser</w:t>
            </w:r>
          </w:p>
          <w:p w:rsidR="00AA6095" w:rsidRDefault="00AA6095" w:rsidP="00AA6095">
            <w:pPr>
              <w:pStyle w:val="Normal11"/>
              <w:rPr>
                <w:lang w:eastAsia="da-DK"/>
              </w:rPr>
            </w:pPr>
            <w:r>
              <w:rPr>
                <w:lang w:eastAsia="da-DK"/>
              </w:rPr>
              <w:t xml:space="preserve">Fordringen er tilbagekaldt, og der er sket en modpostering.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Det fremgår af fordringen, at denne er tilbagekaldt.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Eventuelle indbetalinger, der har dækket den returnerede fordring er omfattet af kontoens principper og håndteres i </w:t>
            </w:r>
            <w:proofErr w:type="spellStart"/>
            <w:r>
              <w:rPr>
                <w:lang w:eastAsia="da-DK"/>
              </w:rPr>
              <w:t>usecase</w:t>
            </w:r>
            <w:proofErr w:type="spellEnd"/>
            <w:r>
              <w:rPr>
                <w:lang w:eastAsia="da-DK"/>
              </w:rPr>
              <w:t xml:space="preserve"> 12.16.</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Renter, som er påløbet den/de fordringer der tilbagekaldes, er tilbagerullet, </w:t>
            </w:r>
            <w:proofErr w:type="spellStart"/>
            <w:r>
              <w:rPr>
                <w:lang w:eastAsia="da-DK"/>
              </w:rPr>
              <w:t>incl</w:t>
            </w:r>
            <w:proofErr w:type="spellEnd"/>
            <w:r>
              <w:rPr>
                <w:lang w:eastAsia="da-DK"/>
              </w:rPr>
              <w:t xml:space="preserve"> </w:t>
            </w:r>
            <w:proofErr w:type="spellStart"/>
            <w:r>
              <w:rPr>
                <w:lang w:eastAsia="da-DK"/>
              </w:rPr>
              <w:t>evtentuelle</w:t>
            </w:r>
            <w:proofErr w:type="spellEnd"/>
            <w:r>
              <w:rPr>
                <w:lang w:eastAsia="da-DK"/>
              </w:rPr>
              <w:t xml:space="preserve"> dækninger af disse.</w:t>
            </w:r>
          </w:p>
          <w:p w:rsidR="00AA6095" w:rsidRDefault="00AA6095" w:rsidP="00AA6095">
            <w:pPr>
              <w:pStyle w:val="Normal11"/>
              <w:rPr>
                <w:lang w:eastAsia="da-DK"/>
              </w:rPr>
            </w:pPr>
          </w:p>
          <w:p w:rsidR="00AA6095" w:rsidRDefault="00AA6095" w:rsidP="00AA6095">
            <w:pPr>
              <w:pStyle w:val="Normal11"/>
              <w:rPr>
                <w:lang w:eastAsia="da-DK"/>
              </w:rPr>
            </w:pPr>
            <w:r>
              <w:rPr>
                <w:lang w:eastAsia="da-DK"/>
              </w:rPr>
              <w:t>Hvis den tilbagekaldte fordring var overdraget til inddrivelse skal løsningen have tilbagekaldt denne</w:t>
            </w:r>
          </w:p>
          <w:p w:rsidR="00AA6095" w:rsidRDefault="00AA6095" w:rsidP="00AA6095">
            <w:pPr>
              <w:pStyle w:val="Normal11"/>
              <w:rPr>
                <w:lang w:eastAsia="da-DK"/>
              </w:rPr>
            </w:pPr>
          </w:p>
          <w:p w:rsidR="00AA6095" w:rsidRPr="00AA6095" w:rsidRDefault="00AA6095" w:rsidP="00AA6095">
            <w:pPr>
              <w:pStyle w:val="Normal11"/>
              <w:rPr>
                <w:lang w:eastAsia="da-DK"/>
              </w:rPr>
            </w:pPr>
            <w:r>
              <w:rPr>
                <w:lang w:eastAsia="da-DK"/>
              </w:rPr>
              <w:t xml:space="preserve">Der er foretaget de relevante regnskabsmæssige posteringer. </w:t>
            </w: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Noter</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Servicebeskrivelse</w:t>
            </w:r>
          </w:p>
          <w:p w:rsidR="00AA6095" w:rsidRPr="00AA6095" w:rsidRDefault="00AA6095" w:rsidP="00AA6095">
            <w:pPr>
              <w:pStyle w:val="Normal11"/>
              <w:rPr>
                <w:lang w:eastAsia="da-DK"/>
              </w:rPr>
            </w:pPr>
          </w:p>
        </w:tc>
      </w:tr>
    </w:tbl>
    <w:p w:rsidR="00AA6095" w:rsidRDefault="00AA6095" w:rsidP="00AA6095">
      <w:pPr>
        <w:pStyle w:val="Overskrift2"/>
      </w:pPr>
      <w:bookmarkStart w:id="3" w:name="_Toc327967928"/>
      <w:r>
        <w:t>12.14 Tilbagekald fordring fra inddrivelse - DMO</w:t>
      </w:r>
      <w:bookmarkEnd w:id="3"/>
    </w:p>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Formål</w:t>
            </w:r>
          </w:p>
          <w:p w:rsidR="00AA6095" w:rsidRDefault="00AA6095" w:rsidP="00AA6095">
            <w:pPr>
              <w:pStyle w:val="Normal11"/>
              <w:rPr>
                <w:lang w:eastAsia="da-DK"/>
              </w:rPr>
            </w:pPr>
            <w:r>
              <w:rPr>
                <w:lang w:eastAsia="da-DK"/>
              </w:rPr>
              <w:t>Formål</w:t>
            </w:r>
          </w:p>
          <w:p w:rsidR="00AA6095" w:rsidRDefault="00AA6095" w:rsidP="00AA6095">
            <w:pPr>
              <w:pStyle w:val="Normal11"/>
              <w:rPr>
                <w:lang w:eastAsia="da-DK"/>
              </w:rPr>
            </w:pPr>
            <w:r>
              <w:rPr>
                <w:lang w:eastAsia="da-DK"/>
              </w:rPr>
              <w:t>At tilbagekalde en eller flere fordringer fra inddrivelse</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Beskrivelse </w:t>
            </w:r>
          </w:p>
          <w:p w:rsidR="00AA6095" w:rsidRDefault="00AA6095" w:rsidP="00AA6095">
            <w:pPr>
              <w:pStyle w:val="Normal11"/>
              <w:rPr>
                <w:lang w:eastAsia="da-DK"/>
              </w:rPr>
            </w:pPr>
            <w:r>
              <w:rPr>
                <w:lang w:eastAsia="da-DK"/>
              </w:rPr>
              <w:t xml:space="preserve">Løsningen skal give mulighed for en manuel tilbagekaldelse af en eller flere fordringer som er overdraget til inddrivelse. </w:t>
            </w:r>
          </w:p>
          <w:p w:rsidR="00AA6095" w:rsidRDefault="00AA6095" w:rsidP="00AA6095">
            <w:pPr>
              <w:pStyle w:val="Normal11"/>
              <w:rPr>
                <w:lang w:eastAsia="da-DK"/>
              </w:rPr>
            </w:pPr>
            <w:r>
              <w:rPr>
                <w:lang w:eastAsia="da-DK"/>
              </w:rPr>
              <w:t>Tilbagekaldelse kan kun anvendes når hele fordringen tilbagekaldes.</w:t>
            </w:r>
          </w:p>
          <w:p w:rsidR="00AA6095" w:rsidRDefault="00AA6095" w:rsidP="00AA6095">
            <w:pPr>
              <w:pStyle w:val="Normal11"/>
              <w:rPr>
                <w:lang w:eastAsia="da-DK"/>
              </w:rPr>
            </w:pPr>
          </w:p>
          <w:p w:rsidR="00AA6095" w:rsidRDefault="00AA6095" w:rsidP="00AA6095">
            <w:pPr>
              <w:pStyle w:val="Normal11"/>
              <w:rPr>
                <w:lang w:eastAsia="da-DK"/>
              </w:rPr>
            </w:pPr>
            <w:r>
              <w:rPr>
                <w:lang w:eastAsia="da-DK"/>
              </w:rPr>
              <w:t>Resultatet af tilbagekaldelsen, at fordringen/</w:t>
            </w:r>
            <w:proofErr w:type="spellStart"/>
            <w:r>
              <w:rPr>
                <w:lang w:eastAsia="da-DK"/>
              </w:rPr>
              <w:t>erne</w:t>
            </w:r>
            <w:proofErr w:type="spellEnd"/>
            <w:r>
              <w:rPr>
                <w:lang w:eastAsia="da-DK"/>
              </w:rPr>
              <w:t xml:space="preserve"> er tilbageført fra inddrivelse og igen er underlagt Skattekontoens regelsæt(Opkrævningsloven).</w:t>
            </w:r>
          </w:p>
          <w:p w:rsidR="00AA6095" w:rsidRDefault="00AA6095" w:rsidP="00AA6095">
            <w:pPr>
              <w:pStyle w:val="Normal11"/>
              <w:rPr>
                <w:lang w:eastAsia="da-DK"/>
              </w:rPr>
            </w:pPr>
          </w:p>
          <w:p w:rsidR="00AA6095" w:rsidRDefault="00AA6095" w:rsidP="00AA6095">
            <w:pPr>
              <w:pStyle w:val="Normal11"/>
              <w:rPr>
                <w:lang w:eastAsia="da-DK"/>
              </w:rPr>
            </w:pPr>
            <w:r>
              <w:rPr>
                <w:lang w:eastAsia="da-DK"/>
              </w:rPr>
              <w:t>Tilbagekaldelse skal ledsages af en årsag og en rentevirkningsdato til brug for inddrivelsesmyndighedens behandling af tilbagekaldelsen.</w:t>
            </w:r>
          </w:p>
          <w:p w:rsidR="00AA6095" w:rsidRDefault="00AA6095" w:rsidP="00AA6095">
            <w:pPr>
              <w:pStyle w:val="Normal11"/>
              <w:rPr>
                <w:lang w:eastAsia="da-DK"/>
              </w:rPr>
            </w:pPr>
          </w:p>
          <w:p w:rsidR="00AA6095" w:rsidRDefault="00AA6095" w:rsidP="00AA6095">
            <w:pPr>
              <w:pStyle w:val="Normal11"/>
              <w:rPr>
                <w:lang w:eastAsia="da-DK"/>
              </w:rPr>
            </w:pPr>
            <w:r>
              <w:rPr>
                <w:lang w:eastAsia="da-DK"/>
              </w:rPr>
              <w:t>Når tilbagekaldelsen er effektueret skal Løsningen sikre, at der sker opdatering af rente frem til sidste ordinære rentetilskrivning.</w:t>
            </w:r>
          </w:p>
          <w:p w:rsidR="00AA6095" w:rsidRDefault="00AA6095" w:rsidP="00AA6095">
            <w:pPr>
              <w:pStyle w:val="Normal11"/>
              <w:rPr>
                <w:lang w:eastAsia="da-DK"/>
              </w:rPr>
            </w:pPr>
          </w:p>
          <w:p w:rsidR="00AA6095" w:rsidRDefault="00AA6095" w:rsidP="00AA6095">
            <w:pPr>
              <w:pStyle w:val="Normal11"/>
              <w:rPr>
                <w:lang w:eastAsia="da-DK"/>
              </w:rPr>
            </w:pPr>
            <w:r>
              <w:rPr>
                <w:lang w:eastAsia="da-DK"/>
              </w:rPr>
              <w:t>For at undgå at fordringen/</w:t>
            </w:r>
            <w:proofErr w:type="spellStart"/>
            <w:r>
              <w:rPr>
                <w:lang w:eastAsia="da-DK"/>
              </w:rPr>
              <w:t>erne</w:t>
            </w:r>
            <w:proofErr w:type="spellEnd"/>
            <w:r>
              <w:rPr>
                <w:lang w:eastAsia="da-DK"/>
              </w:rPr>
              <w:t xml:space="preserve"> vil indgå i næste kørsel der overdrager fordringer til inddrivelse skal en arbejdsproces sikre at aktøren indsætter et stop for overdragelse til inddrivelse(rykkerstop). </w:t>
            </w:r>
          </w:p>
          <w:p w:rsidR="00AA6095" w:rsidRDefault="00AA6095" w:rsidP="00AA6095">
            <w:pPr>
              <w:pStyle w:val="Normal11"/>
              <w:rPr>
                <w:lang w:eastAsia="da-DK"/>
              </w:rPr>
            </w:pP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Frekvens</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Aktører</w:t>
            </w:r>
          </w:p>
          <w:p w:rsidR="00AA6095" w:rsidRPr="00AA6095" w:rsidRDefault="00AA6095" w:rsidP="00AA6095">
            <w:pPr>
              <w:pStyle w:val="Normal11"/>
              <w:rPr>
                <w:lang w:eastAsia="da-DK"/>
              </w:rPr>
            </w:pPr>
            <w:r>
              <w:rPr>
                <w:lang w:eastAsia="da-DK"/>
              </w:rPr>
              <w:t>DMO-Basis, Sagsbehandler, Bogholder</w:t>
            </w: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Startbetingelser</w:t>
            </w:r>
          </w:p>
          <w:p w:rsidR="00AA6095" w:rsidRDefault="00AA6095" w:rsidP="00AA6095">
            <w:pPr>
              <w:pStyle w:val="Normal11"/>
              <w:rPr>
                <w:lang w:eastAsia="da-DK"/>
              </w:rPr>
            </w:pPr>
            <w:r>
              <w:rPr>
                <w:lang w:eastAsia="da-DK"/>
              </w:rPr>
              <w:t>Aktøren er logget på systemet. og der er valgt kunde</w:t>
            </w:r>
          </w:p>
          <w:p w:rsidR="00AA6095" w:rsidRPr="00AA6095" w:rsidRDefault="00AA6095" w:rsidP="00AA6095">
            <w:pPr>
              <w:pStyle w:val="Normal11"/>
              <w:rPr>
                <w:lang w:eastAsia="da-DK"/>
              </w:rPr>
            </w:pPr>
          </w:p>
        </w:tc>
      </w:tr>
    </w:tbl>
    <w:p w:rsidR="00AA6095" w:rsidRDefault="00AA6095" w:rsidP="00AA6095">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A6095" w:rsidTr="00AA6095">
        <w:tblPrEx>
          <w:tblCellMar>
            <w:top w:w="0" w:type="dxa"/>
            <w:bottom w:w="0" w:type="dxa"/>
          </w:tblCellMar>
        </w:tblPrEx>
        <w:tc>
          <w:tcPr>
            <w:tcW w:w="9909" w:type="dxa"/>
            <w:gridSpan w:val="3"/>
          </w:tcPr>
          <w:p w:rsidR="00AA6095" w:rsidRPr="00AA6095" w:rsidRDefault="00AA6095" w:rsidP="00AA6095">
            <w:pPr>
              <w:pStyle w:val="Normal11"/>
              <w:rPr>
                <w:lang w:eastAsia="da-DK"/>
              </w:rPr>
            </w:pPr>
            <w:r>
              <w:rPr>
                <w:b/>
                <w:lang w:eastAsia="da-DK"/>
              </w:rPr>
              <w:t>Hovedvej</w:t>
            </w:r>
          </w:p>
        </w:tc>
      </w:tr>
      <w:tr w:rsidR="00AA6095" w:rsidTr="00AA6095">
        <w:tblPrEx>
          <w:tblCellMar>
            <w:top w:w="0" w:type="dxa"/>
            <w:bottom w:w="0" w:type="dxa"/>
          </w:tblCellMar>
        </w:tblPrEx>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Aktør</w:t>
            </w:r>
          </w:p>
        </w:tc>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Løsning</w:t>
            </w:r>
          </w:p>
        </w:tc>
        <w:tc>
          <w:tcPr>
            <w:tcW w:w="3197" w:type="dxa"/>
            <w:shd w:val="pct20" w:color="auto" w:fill="0000FF"/>
          </w:tcPr>
          <w:p w:rsidR="00AA6095" w:rsidRPr="00AA6095" w:rsidRDefault="00AA6095" w:rsidP="00AA6095">
            <w:pPr>
              <w:pStyle w:val="Normal11"/>
              <w:rPr>
                <w:color w:val="FFFFFF"/>
                <w:lang w:eastAsia="da-DK"/>
              </w:rPr>
            </w:pPr>
            <w:r>
              <w:rPr>
                <w:color w:val="FFFFFF"/>
                <w:lang w:eastAsia="da-DK"/>
              </w:rPr>
              <w:t>Service/Service operationer</w:t>
            </w: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1: Vælg tilbagekald fordring</w:t>
            </w:r>
          </w:p>
        </w:tc>
      </w:tr>
      <w:tr w:rsidR="00AA6095" w:rsidTr="00AA6095">
        <w:tblPrEx>
          <w:tblCellMar>
            <w:top w:w="0" w:type="dxa"/>
            <w:bottom w:w="0" w:type="dxa"/>
          </w:tblCellMar>
        </w:tblPrEx>
        <w:tc>
          <w:tcPr>
            <w:tcW w:w="3356" w:type="dxa"/>
            <w:shd w:val="clear" w:color="auto" w:fill="FFFFFF"/>
          </w:tcPr>
          <w:p w:rsidR="00AA6095" w:rsidRPr="00AA6095" w:rsidRDefault="00AA6095" w:rsidP="00AA6095">
            <w:pPr>
              <w:pStyle w:val="Normal11"/>
              <w:rPr>
                <w:color w:val="000000"/>
                <w:lang w:eastAsia="da-DK"/>
              </w:rPr>
            </w:pPr>
            <w:r>
              <w:rPr>
                <w:color w:val="000000"/>
                <w:lang w:eastAsia="da-DK"/>
              </w:rPr>
              <w:t>Vælger 'Tilbagekald fordring'</w:t>
            </w:r>
          </w:p>
        </w:tc>
        <w:tc>
          <w:tcPr>
            <w:tcW w:w="3356" w:type="dxa"/>
            <w:shd w:val="clear" w:color="auto" w:fill="FFFFFF"/>
          </w:tcPr>
          <w:p w:rsidR="00AA6095" w:rsidRDefault="00AA6095" w:rsidP="00AA6095">
            <w:pPr>
              <w:pStyle w:val="Normal11"/>
              <w:rPr>
                <w:lang w:eastAsia="da-DK"/>
              </w:rPr>
            </w:pPr>
            <w:r>
              <w:rPr>
                <w:lang w:eastAsia="da-DK"/>
              </w:rPr>
              <w:t xml:space="preserve">Viser alle kundens Fordringer overdraget til inddrivelse </w:t>
            </w:r>
          </w:p>
          <w:p w:rsidR="00AA6095" w:rsidRDefault="00AA6095" w:rsidP="00AA6095">
            <w:pPr>
              <w:pStyle w:val="Normal11"/>
              <w:rPr>
                <w:lang w:eastAsia="da-DK"/>
              </w:rPr>
            </w:pPr>
            <w:r>
              <w:rPr>
                <w:lang w:eastAsia="da-DK"/>
              </w:rPr>
              <w:t>Der gives mulighed for at vælge den fordring, der skal tilbagekaldes.</w:t>
            </w:r>
          </w:p>
          <w:p w:rsidR="00AA6095" w:rsidRDefault="00AA6095" w:rsidP="00AA6095">
            <w:pPr>
              <w:pStyle w:val="Normal11"/>
              <w:rPr>
                <w:lang w:eastAsia="da-DK"/>
              </w:rPr>
            </w:pPr>
          </w:p>
        </w:tc>
        <w:tc>
          <w:tcPr>
            <w:tcW w:w="3197" w:type="dxa"/>
            <w:shd w:val="clear" w:color="auto" w:fill="FFFFFF"/>
          </w:tcPr>
          <w:p w:rsidR="00AA6095" w:rsidRDefault="00AA6095" w:rsidP="00AA6095">
            <w:pPr>
              <w:pStyle w:val="Normal11"/>
              <w:rPr>
                <w:lang w:eastAsia="da-DK"/>
              </w:rPr>
            </w:pP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2: Marker fordring</w:t>
            </w:r>
          </w:p>
        </w:tc>
      </w:tr>
      <w:tr w:rsidR="00AA6095" w:rsidTr="00AA6095">
        <w:tblPrEx>
          <w:tblCellMar>
            <w:top w:w="0" w:type="dxa"/>
            <w:bottom w:w="0" w:type="dxa"/>
          </w:tblCellMar>
        </w:tblPrEx>
        <w:tc>
          <w:tcPr>
            <w:tcW w:w="3356" w:type="dxa"/>
            <w:shd w:val="clear" w:color="auto" w:fill="FFFFFF"/>
          </w:tcPr>
          <w:p w:rsidR="00AA6095" w:rsidRDefault="00AA6095" w:rsidP="00AA6095">
            <w:pPr>
              <w:pStyle w:val="Normal11"/>
              <w:rPr>
                <w:color w:val="000000"/>
                <w:lang w:eastAsia="da-DK"/>
              </w:rPr>
            </w:pPr>
            <w:r>
              <w:rPr>
                <w:color w:val="000000"/>
                <w:lang w:eastAsia="da-DK"/>
              </w:rPr>
              <w:t xml:space="preserve">Markerer fordring </w:t>
            </w:r>
          </w:p>
        </w:tc>
        <w:tc>
          <w:tcPr>
            <w:tcW w:w="3356" w:type="dxa"/>
            <w:shd w:val="clear" w:color="auto" w:fill="FFFFFF"/>
          </w:tcPr>
          <w:p w:rsidR="00AA6095" w:rsidRDefault="00AA6095" w:rsidP="00AA6095">
            <w:pPr>
              <w:pStyle w:val="Normal11"/>
              <w:rPr>
                <w:lang w:eastAsia="da-DK"/>
              </w:rPr>
            </w:pPr>
            <w:r>
              <w:rPr>
                <w:lang w:eastAsia="da-DK"/>
              </w:rPr>
              <w:t>Marker fordringen/</w:t>
            </w:r>
            <w:proofErr w:type="spellStart"/>
            <w:r>
              <w:rPr>
                <w:lang w:eastAsia="da-DK"/>
              </w:rPr>
              <w:t>erne</w:t>
            </w:r>
            <w:proofErr w:type="spellEnd"/>
            <w:r>
              <w:rPr>
                <w:lang w:eastAsia="da-DK"/>
              </w:rPr>
              <w:t>, der skal tilbagekaldes</w:t>
            </w:r>
          </w:p>
          <w:p w:rsidR="00AA6095" w:rsidRDefault="00AA6095" w:rsidP="00AA6095">
            <w:pPr>
              <w:pStyle w:val="Normal11"/>
              <w:rPr>
                <w:lang w:eastAsia="da-DK"/>
              </w:rPr>
            </w:pPr>
            <w:r>
              <w:rPr>
                <w:lang w:eastAsia="da-DK"/>
              </w:rPr>
              <w:t>Det er ikke muligt at tilbagekalde en fordring delvist</w:t>
            </w:r>
          </w:p>
          <w:p w:rsidR="00AA6095" w:rsidRDefault="00AA6095" w:rsidP="00AA6095">
            <w:pPr>
              <w:pStyle w:val="Normal11"/>
              <w:rPr>
                <w:lang w:eastAsia="da-DK"/>
              </w:rPr>
            </w:pPr>
          </w:p>
        </w:tc>
        <w:tc>
          <w:tcPr>
            <w:tcW w:w="3197" w:type="dxa"/>
            <w:shd w:val="clear" w:color="auto" w:fill="FFFFFF"/>
          </w:tcPr>
          <w:p w:rsidR="00AA6095" w:rsidRDefault="00AA6095" w:rsidP="00AA6095">
            <w:pPr>
              <w:pStyle w:val="Normal11"/>
              <w:rPr>
                <w:lang w:eastAsia="da-DK"/>
              </w:rPr>
            </w:pP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3: Tilbagekald fordring</w:t>
            </w:r>
          </w:p>
        </w:tc>
      </w:tr>
      <w:tr w:rsidR="00AA6095" w:rsidTr="00AA6095">
        <w:tblPrEx>
          <w:tblCellMar>
            <w:top w:w="0" w:type="dxa"/>
            <w:bottom w:w="0" w:type="dxa"/>
          </w:tblCellMar>
        </w:tblPrEx>
        <w:tc>
          <w:tcPr>
            <w:tcW w:w="3356" w:type="dxa"/>
            <w:shd w:val="clear" w:color="auto" w:fill="FFFFFF"/>
          </w:tcPr>
          <w:p w:rsidR="00AA6095" w:rsidRDefault="00AA6095" w:rsidP="00AA6095">
            <w:pPr>
              <w:pStyle w:val="Normal11"/>
              <w:rPr>
                <w:color w:val="000000"/>
                <w:lang w:eastAsia="da-DK"/>
              </w:rPr>
            </w:pPr>
            <w:r>
              <w:rPr>
                <w:color w:val="000000"/>
                <w:lang w:eastAsia="da-DK"/>
              </w:rPr>
              <w:t xml:space="preserve">Vælger </w:t>
            </w:r>
            <w:proofErr w:type="gramStart"/>
            <w:r>
              <w:rPr>
                <w:color w:val="000000"/>
                <w:lang w:eastAsia="da-DK"/>
              </w:rPr>
              <w:t>godkende</w:t>
            </w:r>
            <w:proofErr w:type="gramEnd"/>
          </w:p>
        </w:tc>
        <w:tc>
          <w:tcPr>
            <w:tcW w:w="3356" w:type="dxa"/>
            <w:shd w:val="clear" w:color="auto" w:fill="FFFFFF"/>
          </w:tcPr>
          <w:p w:rsidR="00AA6095" w:rsidRDefault="00AA6095" w:rsidP="00AA6095">
            <w:pPr>
              <w:pStyle w:val="Normal11"/>
              <w:rPr>
                <w:lang w:eastAsia="da-DK"/>
              </w:rPr>
            </w:pPr>
            <w:r>
              <w:rPr>
                <w:lang w:eastAsia="da-DK"/>
              </w:rPr>
              <w:t>Den oprindelige fordring tilbageføres og rentetilskrivning frem til sidste ordinære rentetilskrivning er initieret</w:t>
            </w:r>
          </w:p>
        </w:tc>
        <w:tc>
          <w:tcPr>
            <w:tcW w:w="3197" w:type="dxa"/>
            <w:shd w:val="clear" w:color="auto" w:fill="FFFFFF"/>
          </w:tcPr>
          <w:p w:rsidR="00AA6095" w:rsidRDefault="00AA6095" w:rsidP="00AA6095">
            <w:pPr>
              <w:pStyle w:val="Normal11"/>
              <w:rPr>
                <w:lang w:eastAsia="da-DK"/>
              </w:rPr>
            </w:pPr>
            <w:proofErr w:type="spellStart"/>
            <w:r>
              <w:rPr>
                <w:lang w:eastAsia="da-DK"/>
              </w:rPr>
              <w:t>EFI</w:t>
            </w:r>
            <w:proofErr w:type="gramStart"/>
            <w:r>
              <w:rPr>
                <w:lang w:eastAsia="da-DK"/>
              </w:rPr>
              <w:t>.MFFordringIndberet</w:t>
            </w:r>
            <w:proofErr w:type="spellEnd"/>
            <w:proofErr w:type="gramEnd"/>
          </w:p>
        </w:tc>
      </w:tr>
    </w:tbl>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Slutbetingelser</w:t>
            </w:r>
          </w:p>
          <w:p w:rsidR="00AA6095" w:rsidRDefault="00AA6095" w:rsidP="00AA6095">
            <w:pPr>
              <w:pStyle w:val="Normal11"/>
              <w:rPr>
                <w:lang w:eastAsia="da-DK"/>
              </w:rPr>
            </w:pPr>
            <w:r>
              <w:rPr>
                <w:lang w:eastAsia="da-DK"/>
              </w:rPr>
              <w:t xml:space="preserve">Fordringen er tilbagekaldt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Det fremgår af fordringen, at denne er tilbagekaldt.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Rentetilskrivning frem til sidste </w:t>
            </w:r>
            <w:proofErr w:type="gramStart"/>
            <w:r>
              <w:rPr>
                <w:lang w:eastAsia="da-DK"/>
              </w:rPr>
              <w:t>ordinære</w:t>
            </w:r>
            <w:proofErr w:type="gramEnd"/>
            <w:r>
              <w:rPr>
                <w:lang w:eastAsia="da-DK"/>
              </w:rPr>
              <w:t xml:space="preserve"> rentetilskrivning er initieret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Der er foretaget de relevante regnskabsmæssige posteringer. </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Noter</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Servicebeskrivelse</w:t>
            </w:r>
          </w:p>
          <w:p w:rsidR="00AA6095" w:rsidRPr="00AA6095" w:rsidRDefault="00AA6095" w:rsidP="00AA6095">
            <w:pPr>
              <w:pStyle w:val="Normal11"/>
              <w:rPr>
                <w:lang w:eastAsia="da-DK"/>
              </w:rPr>
            </w:pPr>
          </w:p>
        </w:tc>
      </w:tr>
    </w:tbl>
    <w:p w:rsidR="00AA6095" w:rsidRDefault="00AA6095" w:rsidP="00AA6095">
      <w:pPr>
        <w:pStyle w:val="Normal11"/>
        <w:rPr>
          <w:lang w:eastAsia="da-DK"/>
        </w:rPr>
        <w:sectPr w:rsidR="00AA6095" w:rsidSect="00AA6095">
          <w:pgSz w:w="11906" w:h="16838"/>
          <w:pgMar w:top="1417" w:right="986" w:bottom="1417" w:left="1134" w:header="556" w:footer="850" w:gutter="57"/>
          <w:paperSrc w:first="2" w:other="2"/>
          <w:cols w:space="708"/>
          <w:docGrid w:linePitch="360"/>
        </w:sectPr>
      </w:pPr>
    </w:p>
    <w:p w:rsidR="00AA6095" w:rsidRDefault="00AA6095" w:rsidP="00AA6095">
      <w:pPr>
        <w:pStyle w:val="Overskrift1"/>
      </w:pPr>
      <w:bookmarkStart w:id="4" w:name="_Toc327967929"/>
      <w:r>
        <w:t>12.15 Op-/nedskriv fordring</w:t>
      </w:r>
      <w:bookmarkEnd w:id="4"/>
    </w:p>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noProof/>
                <w:lang w:eastAsia="da-DK"/>
              </w:rPr>
              <w:drawing>
                <wp:anchor distT="0" distB="0" distL="114300" distR="114300" simplePos="0" relativeHeight="251659264" behindDoc="1" locked="0" layoutInCell="1" allowOverlap="1" wp14:anchorId="56A06EB4" wp14:editId="63C3C8C7">
                  <wp:simplePos x="0" y="0"/>
                  <wp:positionH relativeFrom="column">
                    <wp:posOffset>0</wp:posOffset>
                  </wp:positionH>
                  <wp:positionV relativeFrom="paragraph">
                    <wp:posOffset>-854075</wp:posOffset>
                  </wp:positionV>
                  <wp:extent cx="6177915" cy="3551555"/>
                  <wp:effectExtent l="0" t="0" r="0" b="0"/>
                  <wp:wrapTight wrapText="bothSides">
                    <wp:wrapPolygon edited="0">
                      <wp:start x="14253" y="695"/>
                      <wp:lineTo x="333" y="1159"/>
                      <wp:lineTo x="333" y="8574"/>
                      <wp:lineTo x="14253" y="10196"/>
                      <wp:lineTo x="14920" y="10891"/>
                      <wp:lineTo x="14920" y="12049"/>
                      <wp:lineTo x="0" y="12860"/>
                      <wp:lineTo x="0" y="20739"/>
                      <wp:lineTo x="19582" y="20739"/>
                      <wp:lineTo x="19715" y="13092"/>
                      <wp:lineTo x="19382" y="12860"/>
                      <wp:lineTo x="17251" y="12049"/>
                      <wp:lineTo x="17317" y="11354"/>
                      <wp:lineTo x="16784" y="10543"/>
                      <wp:lineTo x="16052" y="10196"/>
                      <wp:lineTo x="17584" y="8342"/>
                      <wp:lineTo x="18050" y="8342"/>
                      <wp:lineTo x="20115" y="6836"/>
                      <wp:lineTo x="20181" y="6488"/>
                      <wp:lineTo x="20714" y="4634"/>
                      <wp:lineTo x="20248" y="3476"/>
                      <wp:lineTo x="19848" y="2781"/>
                      <wp:lineTo x="19915" y="2317"/>
                      <wp:lineTo x="17184" y="1043"/>
                      <wp:lineTo x="16052" y="695"/>
                      <wp:lineTo x="14253" y="695"/>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3551555"/>
                          </a:xfrm>
                          <a:prstGeom prst="rect">
                            <a:avLst/>
                          </a:prstGeom>
                        </pic:spPr>
                      </pic:pic>
                    </a:graphicData>
                  </a:graphic>
                </wp:anchor>
              </w:drawing>
            </w:r>
          </w:p>
        </w:tc>
      </w:tr>
    </w:tbl>
    <w:p w:rsidR="00AA6095" w:rsidRDefault="00AA6095" w:rsidP="00AA6095">
      <w:pPr>
        <w:pStyle w:val="Normal11"/>
        <w:rPr>
          <w:lang w:eastAsia="da-DK"/>
        </w:rPr>
      </w:pPr>
    </w:p>
    <w:p w:rsidR="00AA6095" w:rsidRDefault="00AA6095" w:rsidP="00AA6095">
      <w:pPr>
        <w:pStyle w:val="Normal11"/>
        <w:rPr>
          <w:lang w:eastAsia="da-DK"/>
        </w:rPr>
        <w:sectPr w:rsidR="00AA6095" w:rsidSect="00AA6095">
          <w:pgSz w:w="11906" w:h="16838"/>
          <w:pgMar w:top="1417" w:right="986" w:bottom="1417" w:left="1134" w:header="556" w:footer="850" w:gutter="57"/>
          <w:paperSrc w:first="2" w:other="2"/>
          <w:cols w:space="708"/>
          <w:docGrid w:linePitch="360"/>
        </w:sectPr>
      </w:pPr>
    </w:p>
    <w:p w:rsidR="00AA6095" w:rsidRDefault="00AA6095" w:rsidP="00AA6095">
      <w:pPr>
        <w:pStyle w:val="Overskrift2"/>
      </w:pPr>
      <w:bookmarkStart w:id="5" w:name="_Toc327967930"/>
      <w:r>
        <w:t>12.15 Op-/nedskriv fordring</w:t>
      </w:r>
      <w:bookmarkEnd w:id="5"/>
    </w:p>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Formål</w:t>
            </w:r>
          </w:p>
          <w:p w:rsidR="00AA6095" w:rsidRDefault="00AA6095" w:rsidP="00AA6095">
            <w:pPr>
              <w:pStyle w:val="Normal11"/>
              <w:rPr>
                <w:lang w:eastAsia="da-DK"/>
              </w:rPr>
            </w:pPr>
            <w:r>
              <w:rPr>
                <w:lang w:eastAsia="da-DK"/>
              </w:rPr>
              <w:t xml:space="preserve">At op eller nedskrive en eller flere fordringer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Beskrivelse </w:t>
            </w:r>
          </w:p>
          <w:p w:rsidR="00AA6095" w:rsidRDefault="00AA6095" w:rsidP="00AA6095">
            <w:pPr>
              <w:pStyle w:val="Normal11"/>
              <w:rPr>
                <w:lang w:eastAsia="da-DK"/>
              </w:rPr>
            </w:pPr>
            <w:r>
              <w:rPr>
                <w:lang w:eastAsia="da-DK"/>
              </w:rPr>
              <w:t>Når et fordringsafleverende system (fordringshaver) har behov for at ændre ved en fordring som de har overdraget til Skattekontoen sker det ikke ved en reel tilbagekaldelse, men ved en op/nedskrivning af fordringens beløb..</w:t>
            </w:r>
          </w:p>
          <w:p w:rsidR="00AA6095" w:rsidRDefault="00AA6095" w:rsidP="00AA6095">
            <w:pPr>
              <w:pStyle w:val="Normal11"/>
              <w:rPr>
                <w:lang w:eastAsia="da-DK"/>
              </w:rPr>
            </w:pPr>
          </w:p>
          <w:p w:rsidR="00AA6095" w:rsidRDefault="00AA6095" w:rsidP="00AA6095">
            <w:pPr>
              <w:pStyle w:val="Normal11"/>
              <w:rPr>
                <w:lang w:eastAsia="da-DK"/>
              </w:rPr>
            </w:pPr>
            <w:r>
              <w:rPr>
                <w:lang w:eastAsia="da-DK"/>
              </w:rP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AA6095" w:rsidRDefault="00AA6095" w:rsidP="00AA6095">
            <w:pPr>
              <w:pStyle w:val="Normal11"/>
              <w:rPr>
                <w:lang w:eastAsia="da-DK"/>
              </w:rPr>
            </w:pPr>
            <w:r>
              <w:rPr>
                <w:lang w:eastAsia="da-DK"/>
              </w:rPr>
              <w:t xml:space="preserve">Så fra fordringshaver skal de fremtidige værdier for et </w:t>
            </w:r>
            <w:proofErr w:type="spellStart"/>
            <w:r>
              <w:rPr>
                <w:lang w:eastAsia="da-DK"/>
              </w:rPr>
              <w:t>fordringsID</w:t>
            </w:r>
            <w:proofErr w:type="spellEnd"/>
            <w:r>
              <w:rPr>
                <w:lang w:eastAsia="da-DK"/>
              </w:rPr>
              <w:t xml:space="preserve">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AA6095" w:rsidRDefault="00AA6095" w:rsidP="00AA6095">
            <w:pPr>
              <w:pStyle w:val="Normal11"/>
              <w:rPr>
                <w:lang w:eastAsia="da-DK"/>
              </w:rPr>
            </w:pPr>
            <w:r>
              <w:rPr>
                <w:lang w:eastAsia="da-DK"/>
              </w:rPr>
              <w:t xml:space="preserve">I forhold til ovenstående model vil der være en undtagelse i forbindelse med situationen, hvor en FF beregning erstattes af en ordinær angivelse ved ændring af det felt der angiver at dette var en </w:t>
            </w:r>
            <w:proofErr w:type="spellStart"/>
            <w:r>
              <w:rPr>
                <w:lang w:eastAsia="da-DK"/>
              </w:rPr>
              <w:t>FF'er</w:t>
            </w:r>
            <w:proofErr w:type="spellEnd"/>
            <w:r>
              <w:rPr>
                <w:lang w:eastAsia="da-DK"/>
              </w:rPr>
              <w:t>. I denne situation vil der som loven foreskriver, blive foretaget en tilbagerulning oprettelse af en ny fordring."</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Hvis der er beregnet og tilskrevet renter på den/de fordringer der op/nedskrives skal disse renter tilbagerulles automatisk inkl. eventuelle dækninger.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Når en fordring op/nedskrives fra et internt fagsystem, f.eks. DMR, SAP 38, DR eller andre) og fordringen er overdraget til inddrivelse skal løsningen sikre at der automatisk sker en op/nedskrivning fra inddrivelsesmyndigheden, således at der er </w:t>
            </w:r>
            <w:proofErr w:type="spellStart"/>
            <w:r>
              <w:rPr>
                <w:lang w:eastAsia="da-DK"/>
              </w:rPr>
              <w:t>synkronitet</w:t>
            </w:r>
            <w:proofErr w:type="spellEnd"/>
            <w:r>
              <w:rPr>
                <w:lang w:eastAsia="da-DK"/>
              </w:rPr>
              <w:t xml:space="preserve"> mellem fordringen i henholdsvis Opkrævnings- og Inddrivelsesmyndigheden.</w:t>
            </w:r>
          </w:p>
          <w:p w:rsidR="00AA6095" w:rsidRDefault="00AA6095" w:rsidP="00AA6095">
            <w:pPr>
              <w:pStyle w:val="Normal11"/>
              <w:rPr>
                <w:lang w:eastAsia="da-DK"/>
              </w:rPr>
            </w:pPr>
          </w:p>
          <w:p w:rsidR="00AA6095" w:rsidRDefault="00AA6095" w:rsidP="00AA6095">
            <w:pPr>
              <w:pStyle w:val="Normal11"/>
              <w:rPr>
                <w:lang w:eastAsia="da-DK"/>
              </w:rPr>
            </w:pPr>
            <w:r>
              <w:rPr>
                <w:lang w:eastAsia="da-DK"/>
              </w:rP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AA6095" w:rsidRDefault="00AA6095" w:rsidP="00AA6095">
            <w:pPr>
              <w:pStyle w:val="Normal11"/>
              <w:rPr>
                <w:lang w:eastAsia="da-DK"/>
              </w:rPr>
            </w:pP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Frekvens</w:t>
            </w:r>
          </w:p>
          <w:p w:rsidR="00AA6095" w:rsidRPr="00AA6095" w:rsidRDefault="00AA6095" w:rsidP="00AA6095">
            <w:pPr>
              <w:pStyle w:val="Normal11"/>
              <w:rPr>
                <w:lang w:eastAsia="da-DK"/>
              </w:rPr>
            </w:pPr>
            <w:r>
              <w:rPr>
                <w:lang w:eastAsia="da-DK"/>
              </w:rPr>
              <w:t>Ad hoc</w:t>
            </w: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Aktører</w:t>
            </w:r>
          </w:p>
          <w:p w:rsidR="00AA6095" w:rsidRPr="00AA6095" w:rsidRDefault="00AA6095" w:rsidP="00AA6095">
            <w:pPr>
              <w:pStyle w:val="Normal11"/>
              <w:rPr>
                <w:lang w:eastAsia="da-DK"/>
              </w:rPr>
            </w:pPr>
            <w:r>
              <w:rPr>
                <w:lang w:eastAsia="da-DK"/>
              </w:rPr>
              <w:t>Systemaktør</w:t>
            </w: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Startbetingelser</w:t>
            </w:r>
          </w:p>
          <w:p w:rsidR="00AA6095" w:rsidRPr="00AA6095" w:rsidRDefault="00AA6095" w:rsidP="00AA6095">
            <w:pPr>
              <w:pStyle w:val="Normal11"/>
              <w:rPr>
                <w:lang w:eastAsia="da-DK"/>
              </w:rPr>
            </w:pPr>
            <w:r>
              <w:rPr>
                <w:lang w:eastAsia="da-DK"/>
              </w:rPr>
              <w:t xml:space="preserve">Der er modtaget en elektronisk anmodning om op/nedskrivning(tilbagekaldelse) af fordring til opkrævningsmyndigheden. </w:t>
            </w:r>
          </w:p>
        </w:tc>
      </w:tr>
    </w:tbl>
    <w:p w:rsidR="00AA6095" w:rsidRDefault="00AA6095" w:rsidP="00AA6095">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A6095" w:rsidTr="00AA6095">
        <w:tblPrEx>
          <w:tblCellMar>
            <w:top w:w="0" w:type="dxa"/>
            <w:bottom w:w="0" w:type="dxa"/>
          </w:tblCellMar>
        </w:tblPrEx>
        <w:tc>
          <w:tcPr>
            <w:tcW w:w="9909" w:type="dxa"/>
            <w:gridSpan w:val="3"/>
          </w:tcPr>
          <w:p w:rsidR="00AA6095" w:rsidRPr="00AA6095" w:rsidRDefault="00AA6095" w:rsidP="00AA6095">
            <w:pPr>
              <w:pStyle w:val="Normal11"/>
              <w:rPr>
                <w:lang w:eastAsia="da-DK"/>
              </w:rPr>
            </w:pPr>
            <w:r>
              <w:rPr>
                <w:b/>
                <w:lang w:eastAsia="da-DK"/>
              </w:rPr>
              <w:t>Hovedvej</w:t>
            </w:r>
          </w:p>
        </w:tc>
      </w:tr>
      <w:tr w:rsidR="00AA6095" w:rsidTr="00AA6095">
        <w:tblPrEx>
          <w:tblCellMar>
            <w:top w:w="0" w:type="dxa"/>
            <w:bottom w:w="0" w:type="dxa"/>
          </w:tblCellMar>
        </w:tblPrEx>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Aktør</w:t>
            </w:r>
          </w:p>
        </w:tc>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Løsning</w:t>
            </w:r>
          </w:p>
        </w:tc>
        <w:tc>
          <w:tcPr>
            <w:tcW w:w="3197" w:type="dxa"/>
            <w:shd w:val="pct20" w:color="auto" w:fill="0000FF"/>
          </w:tcPr>
          <w:p w:rsidR="00AA6095" w:rsidRPr="00AA6095" w:rsidRDefault="00AA6095" w:rsidP="00AA6095">
            <w:pPr>
              <w:pStyle w:val="Normal11"/>
              <w:rPr>
                <w:color w:val="FFFFFF"/>
                <w:lang w:eastAsia="da-DK"/>
              </w:rPr>
            </w:pPr>
            <w:r>
              <w:rPr>
                <w:color w:val="FFFFFF"/>
                <w:lang w:eastAsia="da-DK"/>
              </w:rPr>
              <w:t>Service/Service operationer</w:t>
            </w: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1: Valider oplysninger</w:t>
            </w:r>
          </w:p>
        </w:tc>
      </w:tr>
      <w:tr w:rsidR="00AA6095" w:rsidTr="00AA6095">
        <w:tblPrEx>
          <w:tblCellMar>
            <w:top w:w="0" w:type="dxa"/>
            <w:bottom w:w="0" w:type="dxa"/>
          </w:tblCellMar>
        </w:tblPrEx>
        <w:tc>
          <w:tcPr>
            <w:tcW w:w="3356" w:type="dxa"/>
            <w:shd w:val="clear" w:color="auto" w:fill="FFFFFF"/>
          </w:tcPr>
          <w:p w:rsidR="00AA6095" w:rsidRPr="00AA6095" w:rsidRDefault="00AA6095" w:rsidP="00AA6095">
            <w:pPr>
              <w:pStyle w:val="Normal11"/>
              <w:rPr>
                <w:color w:val="000000"/>
                <w:lang w:eastAsia="da-DK"/>
              </w:rPr>
            </w:pPr>
          </w:p>
        </w:tc>
        <w:tc>
          <w:tcPr>
            <w:tcW w:w="3356" w:type="dxa"/>
            <w:shd w:val="clear" w:color="auto" w:fill="FFFFFF"/>
          </w:tcPr>
          <w:p w:rsidR="00AA6095" w:rsidRDefault="00AA6095" w:rsidP="00AA6095">
            <w:pPr>
              <w:pStyle w:val="Normal11"/>
              <w:rPr>
                <w:lang w:eastAsia="da-DK"/>
              </w:rPr>
            </w:pPr>
            <w:r>
              <w:rPr>
                <w:lang w:eastAsia="da-DK"/>
              </w:rPr>
              <w:t xml:space="preserve">Valider om </w:t>
            </w:r>
            <w:proofErr w:type="spellStart"/>
            <w:r>
              <w:rPr>
                <w:lang w:eastAsia="da-DK"/>
              </w:rPr>
              <w:t>fordringsID</w:t>
            </w:r>
            <w:proofErr w:type="spellEnd"/>
            <w:r>
              <w:rPr>
                <w:lang w:eastAsia="da-DK"/>
              </w:rPr>
              <w:t xml:space="preserve"> fremgår af ændringen. Hvis </w:t>
            </w:r>
            <w:proofErr w:type="spellStart"/>
            <w:r>
              <w:rPr>
                <w:lang w:eastAsia="da-DK"/>
              </w:rPr>
              <w:t>FordringsID</w:t>
            </w:r>
            <w:proofErr w:type="spellEnd"/>
            <w:r>
              <w:rPr>
                <w:lang w:eastAsia="da-DK"/>
              </w:rPr>
              <w:t xml:space="preserve"> ikke fremgår afvises ændringen umiddelbart.</w:t>
            </w:r>
          </w:p>
        </w:tc>
        <w:tc>
          <w:tcPr>
            <w:tcW w:w="3197" w:type="dxa"/>
            <w:shd w:val="clear" w:color="auto" w:fill="FFFFFF"/>
          </w:tcPr>
          <w:p w:rsidR="00AA6095" w:rsidRDefault="00AA6095" w:rsidP="00AA6095">
            <w:pPr>
              <w:pStyle w:val="Normal11"/>
              <w:rPr>
                <w:lang w:eastAsia="da-DK"/>
              </w:rPr>
            </w:pP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2: Returner fordring</w:t>
            </w:r>
          </w:p>
        </w:tc>
      </w:tr>
      <w:tr w:rsidR="00AA6095" w:rsidTr="00AA6095">
        <w:tblPrEx>
          <w:tblCellMar>
            <w:top w:w="0" w:type="dxa"/>
            <w:bottom w:w="0" w:type="dxa"/>
          </w:tblCellMar>
        </w:tblPrEx>
        <w:tc>
          <w:tcPr>
            <w:tcW w:w="3356" w:type="dxa"/>
            <w:shd w:val="clear" w:color="auto" w:fill="FFFFFF"/>
          </w:tcPr>
          <w:p w:rsidR="00AA6095" w:rsidRPr="00AA6095" w:rsidRDefault="00AA6095" w:rsidP="00AA6095">
            <w:pPr>
              <w:pStyle w:val="Normal11"/>
              <w:rPr>
                <w:color w:val="000000"/>
                <w:lang w:eastAsia="da-DK"/>
              </w:rPr>
            </w:pPr>
          </w:p>
        </w:tc>
        <w:tc>
          <w:tcPr>
            <w:tcW w:w="3356" w:type="dxa"/>
            <w:shd w:val="clear" w:color="auto" w:fill="FFFFFF"/>
          </w:tcPr>
          <w:p w:rsidR="00AA6095" w:rsidRDefault="00AA6095" w:rsidP="00AA6095">
            <w:pPr>
              <w:pStyle w:val="Normal11"/>
              <w:rPr>
                <w:lang w:eastAsia="da-DK"/>
              </w:rPr>
            </w:pPr>
            <w:r>
              <w:rPr>
                <w:lang w:eastAsia="da-DK"/>
              </w:rPr>
              <w:t xml:space="preserve">Den oprindelig fordring tilbageføres - op/nedskrives inkl. påløbne renter. </w:t>
            </w:r>
            <w:proofErr w:type="spellStart"/>
            <w:r>
              <w:rPr>
                <w:lang w:eastAsia="da-DK"/>
              </w:rPr>
              <w:t>Evt</w:t>
            </w:r>
            <w:proofErr w:type="spellEnd"/>
            <w:r>
              <w:rPr>
                <w:lang w:eastAsia="da-DK"/>
              </w:rPr>
              <w:t xml:space="preserve"> tidligere dækning (indbetaling) indgår rent bogføringsmæssigt i kontoens saldo som en kreditering.</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Hvis fordring er overdraget til EFI, sikrer løsningen meddelelse om fordringen til EFI. </w:t>
            </w:r>
          </w:p>
        </w:tc>
        <w:tc>
          <w:tcPr>
            <w:tcW w:w="3197" w:type="dxa"/>
            <w:shd w:val="clear" w:color="auto" w:fill="FFFFFF"/>
          </w:tcPr>
          <w:p w:rsidR="00AA6095" w:rsidRDefault="00AA6095" w:rsidP="00AA6095">
            <w:pPr>
              <w:pStyle w:val="Normal11"/>
              <w:rPr>
                <w:lang w:eastAsia="da-DK"/>
              </w:rPr>
            </w:pPr>
            <w:proofErr w:type="spellStart"/>
            <w:r>
              <w:rPr>
                <w:lang w:eastAsia="da-DK"/>
              </w:rPr>
              <w:t>DMO</w:t>
            </w:r>
            <w:proofErr w:type="gramStart"/>
            <w:r>
              <w:rPr>
                <w:lang w:eastAsia="da-DK"/>
              </w:rPr>
              <w:t>.OpkrævningFordringListeOpdater</w:t>
            </w:r>
            <w:proofErr w:type="spellEnd"/>
            <w:proofErr w:type="gramEnd"/>
          </w:p>
          <w:p w:rsidR="00AA6095" w:rsidRDefault="00AA6095" w:rsidP="00AA6095">
            <w:pPr>
              <w:pStyle w:val="Normal11"/>
              <w:rPr>
                <w:lang w:eastAsia="da-DK"/>
              </w:rPr>
            </w:pPr>
            <w:proofErr w:type="spellStart"/>
            <w:r>
              <w:rPr>
                <w:lang w:eastAsia="da-DK"/>
              </w:rPr>
              <w:t>EFI</w:t>
            </w:r>
            <w:proofErr w:type="gramStart"/>
            <w:r>
              <w:rPr>
                <w:lang w:eastAsia="da-DK"/>
              </w:rPr>
              <w:t>.MFFordringIndberet</w:t>
            </w:r>
            <w:proofErr w:type="spellEnd"/>
            <w:proofErr w:type="gramEnd"/>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3: Send fordring retur</w:t>
            </w:r>
          </w:p>
        </w:tc>
      </w:tr>
      <w:tr w:rsidR="00AA6095" w:rsidTr="00AA6095">
        <w:tblPrEx>
          <w:tblCellMar>
            <w:top w:w="0" w:type="dxa"/>
            <w:bottom w:w="0" w:type="dxa"/>
          </w:tblCellMar>
        </w:tblPrEx>
        <w:tc>
          <w:tcPr>
            <w:tcW w:w="3356" w:type="dxa"/>
            <w:shd w:val="clear" w:color="auto" w:fill="FFFFFF"/>
          </w:tcPr>
          <w:p w:rsidR="00AA6095" w:rsidRPr="00AA6095" w:rsidRDefault="00AA6095" w:rsidP="00AA6095">
            <w:pPr>
              <w:pStyle w:val="Normal11"/>
              <w:rPr>
                <w:color w:val="000000"/>
                <w:lang w:eastAsia="da-DK"/>
              </w:rPr>
            </w:pPr>
          </w:p>
        </w:tc>
        <w:tc>
          <w:tcPr>
            <w:tcW w:w="3356" w:type="dxa"/>
            <w:shd w:val="clear" w:color="auto" w:fill="FFFFFF"/>
          </w:tcPr>
          <w:p w:rsidR="00AA6095" w:rsidRDefault="00AA6095" w:rsidP="00AA6095">
            <w:pPr>
              <w:pStyle w:val="Normal11"/>
              <w:rPr>
                <w:lang w:eastAsia="da-DK"/>
              </w:rPr>
            </w:pPr>
            <w:r>
              <w:rPr>
                <w:lang w:eastAsia="da-DK"/>
              </w:rPr>
              <w:t>Send system til system meddelelse til fordringshaver (interface) indeholdende</w:t>
            </w:r>
          </w:p>
          <w:p w:rsidR="00AA6095" w:rsidRDefault="00AA6095" w:rsidP="00AA6095">
            <w:pPr>
              <w:pStyle w:val="Normal11"/>
              <w:rPr>
                <w:lang w:eastAsia="da-DK"/>
              </w:rPr>
            </w:pPr>
            <w:r>
              <w:rPr>
                <w:lang w:eastAsia="da-DK"/>
              </w:rPr>
              <w:t>-</w:t>
            </w:r>
            <w:r>
              <w:rPr>
                <w:lang w:eastAsia="da-DK"/>
              </w:rPr>
              <w:tab/>
            </w:r>
            <w:proofErr w:type="spellStart"/>
            <w:r>
              <w:rPr>
                <w:lang w:eastAsia="da-DK"/>
              </w:rPr>
              <w:t>FordringsID</w:t>
            </w:r>
            <w:proofErr w:type="spellEnd"/>
            <w:r>
              <w:rPr>
                <w:lang w:eastAsia="da-DK"/>
              </w:rPr>
              <w:t xml:space="preserve"> </w:t>
            </w:r>
          </w:p>
          <w:p w:rsidR="00AA6095" w:rsidRDefault="00AA6095" w:rsidP="00AA6095">
            <w:pPr>
              <w:pStyle w:val="Normal11"/>
              <w:rPr>
                <w:lang w:eastAsia="da-DK"/>
              </w:rPr>
            </w:pPr>
            <w:r>
              <w:rPr>
                <w:lang w:eastAsia="da-DK"/>
              </w:rPr>
              <w:t>-</w:t>
            </w:r>
            <w:r>
              <w:rPr>
                <w:lang w:eastAsia="da-DK"/>
              </w:rPr>
              <w:tab/>
              <w:t xml:space="preserve">Fordringshavers </w:t>
            </w:r>
            <w:proofErr w:type="spellStart"/>
            <w:r>
              <w:rPr>
                <w:lang w:eastAsia="da-DK"/>
              </w:rPr>
              <w:t>Referencenr</w:t>
            </w:r>
            <w:proofErr w:type="spellEnd"/>
          </w:p>
        </w:tc>
        <w:tc>
          <w:tcPr>
            <w:tcW w:w="3197" w:type="dxa"/>
            <w:shd w:val="clear" w:color="auto" w:fill="FFFFFF"/>
          </w:tcPr>
          <w:p w:rsidR="00AA6095" w:rsidRDefault="00AA6095" w:rsidP="00AA6095">
            <w:pPr>
              <w:pStyle w:val="Normal11"/>
              <w:rPr>
                <w:lang w:eastAsia="da-DK"/>
              </w:rPr>
            </w:pP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4: Annuller igangværende indsatser på fordringen</w:t>
            </w:r>
          </w:p>
        </w:tc>
      </w:tr>
      <w:tr w:rsidR="00AA6095" w:rsidTr="00AA6095">
        <w:tblPrEx>
          <w:tblCellMar>
            <w:top w:w="0" w:type="dxa"/>
            <w:bottom w:w="0" w:type="dxa"/>
          </w:tblCellMar>
        </w:tblPrEx>
        <w:tc>
          <w:tcPr>
            <w:tcW w:w="3356" w:type="dxa"/>
            <w:shd w:val="clear" w:color="auto" w:fill="FFFFFF"/>
          </w:tcPr>
          <w:p w:rsidR="00AA6095" w:rsidRPr="00AA6095" w:rsidRDefault="00AA6095" w:rsidP="00AA6095">
            <w:pPr>
              <w:pStyle w:val="Normal11"/>
              <w:rPr>
                <w:color w:val="000000"/>
                <w:lang w:eastAsia="da-DK"/>
              </w:rPr>
            </w:pPr>
          </w:p>
        </w:tc>
        <w:tc>
          <w:tcPr>
            <w:tcW w:w="3356" w:type="dxa"/>
            <w:shd w:val="clear" w:color="auto" w:fill="FFFFFF"/>
          </w:tcPr>
          <w:p w:rsidR="00AA6095" w:rsidRDefault="00AA6095" w:rsidP="00AA6095">
            <w:pPr>
              <w:pStyle w:val="Normal11"/>
              <w:rPr>
                <w:lang w:eastAsia="da-DK"/>
              </w:rPr>
            </w:pPr>
            <w:r>
              <w:rPr>
                <w:lang w:eastAsia="da-DK"/>
              </w:rPr>
              <w:t>Hvis der er igangværende indsatser på den ændrede fordring ophører disse (fx betalingsordning). såfremt fordring nedskrives til &lt;==0</w:t>
            </w:r>
          </w:p>
        </w:tc>
        <w:tc>
          <w:tcPr>
            <w:tcW w:w="3197" w:type="dxa"/>
            <w:shd w:val="clear" w:color="auto" w:fill="FFFFFF"/>
          </w:tcPr>
          <w:p w:rsidR="00AA6095" w:rsidRDefault="00AA6095" w:rsidP="00AA6095">
            <w:pPr>
              <w:pStyle w:val="Normal11"/>
              <w:rPr>
                <w:lang w:eastAsia="da-DK"/>
              </w:rPr>
            </w:pPr>
          </w:p>
        </w:tc>
      </w:tr>
    </w:tbl>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Slutbetingelser</w:t>
            </w:r>
          </w:p>
          <w:p w:rsidR="00AA6095" w:rsidRDefault="00AA6095" w:rsidP="00AA6095">
            <w:pPr>
              <w:pStyle w:val="Normal11"/>
              <w:rPr>
                <w:lang w:eastAsia="da-DK"/>
              </w:rPr>
            </w:pPr>
            <w:r>
              <w:rPr>
                <w:lang w:eastAsia="da-DK"/>
              </w:rPr>
              <w:t xml:space="preserve">Fordringen er op/nedskrevet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Eventuelle indbetalinger, der har dækket den returnerede fordring er omfattet af kontoens principper og håndteres i </w:t>
            </w:r>
            <w:proofErr w:type="spellStart"/>
            <w:r>
              <w:rPr>
                <w:lang w:eastAsia="da-DK"/>
              </w:rPr>
              <w:t>usecase</w:t>
            </w:r>
            <w:proofErr w:type="spellEnd"/>
            <w:r>
              <w:rPr>
                <w:lang w:eastAsia="da-DK"/>
              </w:rPr>
              <w:t xml:space="preserve"> 12.16.</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Renter, som er påløbet den/de fordringer der tilbagekaldes, er tilbagerullet, </w:t>
            </w:r>
            <w:proofErr w:type="spellStart"/>
            <w:r>
              <w:rPr>
                <w:lang w:eastAsia="da-DK"/>
              </w:rPr>
              <w:t>incl</w:t>
            </w:r>
            <w:proofErr w:type="spellEnd"/>
            <w:r>
              <w:rPr>
                <w:lang w:eastAsia="da-DK"/>
              </w:rPr>
              <w:t xml:space="preserve"> </w:t>
            </w:r>
            <w:proofErr w:type="spellStart"/>
            <w:r>
              <w:rPr>
                <w:lang w:eastAsia="da-DK"/>
              </w:rPr>
              <w:t>evtentuelle</w:t>
            </w:r>
            <w:proofErr w:type="spellEnd"/>
            <w:r>
              <w:rPr>
                <w:lang w:eastAsia="da-DK"/>
              </w:rPr>
              <w:t xml:space="preserve"> dækninger af disse.</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 Hvis fordring er overdraget til inddrivelse, er der initieret funktionalitet til at op/nedskrive fordringer i Inddrivelsesmyndigheden der sikrer </w:t>
            </w:r>
            <w:proofErr w:type="spellStart"/>
            <w:r>
              <w:rPr>
                <w:lang w:eastAsia="da-DK"/>
              </w:rPr>
              <w:t>synkronitet</w:t>
            </w:r>
            <w:proofErr w:type="spellEnd"/>
            <w:r>
              <w:rPr>
                <w:lang w:eastAsia="da-DK"/>
              </w:rPr>
              <w:t xml:space="preserve"> </w:t>
            </w:r>
          </w:p>
          <w:p w:rsidR="00AA6095" w:rsidRDefault="00AA6095" w:rsidP="00AA6095">
            <w:pPr>
              <w:pStyle w:val="Normal11"/>
              <w:rPr>
                <w:lang w:eastAsia="da-DK"/>
              </w:rPr>
            </w:pPr>
          </w:p>
          <w:p w:rsidR="00AA6095" w:rsidRPr="00AA6095" w:rsidRDefault="00AA6095" w:rsidP="00AA6095">
            <w:pPr>
              <w:pStyle w:val="Normal11"/>
              <w:rPr>
                <w:lang w:eastAsia="da-DK"/>
              </w:rPr>
            </w:pPr>
            <w:r>
              <w:rPr>
                <w:lang w:eastAsia="da-DK"/>
              </w:rPr>
              <w:t xml:space="preserve">Der er foretaget de relevante regnskabsmæssige posteringer. </w:t>
            </w: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Noter</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Servicebeskrivelse</w:t>
            </w:r>
          </w:p>
          <w:p w:rsidR="00AA6095" w:rsidRPr="00AA6095" w:rsidRDefault="00AA6095" w:rsidP="00AA6095">
            <w:pPr>
              <w:pStyle w:val="Normal11"/>
              <w:rPr>
                <w:lang w:eastAsia="da-DK"/>
              </w:rPr>
            </w:pPr>
            <w:proofErr w:type="spellStart"/>
            <w:r>
              <w:rPr>
                <w:lang w:eastAsia="da-DK"/>
              </w:rPr>
              <w:t>DMO</w:t>
            </w:r>
            <w:proofErr w:type="gramStart"/>
            <w:r>
              <w:rPr>
                <w:lang w:eastAsia="da-DK"/>
              </w:rPr>
              <w:t>.OpkrævningFordringListeOpdater</w:t>
            </w:r>
            <w:proofErr w:type="spellEnd"/>
            <w:proofErr w:type="gramEnd"/>
          </w:p>
        </w:tc>
      </w:tr>
    </w:tbl>
    <w:p w:rsidR="00AA6095" w:rsidRDefault="00AA6095" w:rsidP="00AA6095">
      <w:pPr>
        <w:pStyle w:val="Normal11"/>
        <w:rPr>
          <w:lang w:eastAsia="da-DK"/>
        </w:rPr>
        <w:sectPr w:rsidR="00AA6095" w:rsidSect="00AA6095">
          <w:pgSz w:w="11906" w:h="16838"/>
          <w:pgMar w:top="1417" w:right="986" w:bottom="1417" w:left="1134" w:header="556" w:footer="850" w:gutter="57"/>
          <w:paperSrc w:first="2" w:other="2"/>
          <w:cols w:space="708"/>
          <w:docGrid w:linePitch="360"/>
        </w:sectPr>
      </w:pPr>
    </w:p>
    <w:p w:rsidR="00AA6095" w:rsidRDefault="00AA6095" w:rsidP="00AA6095">
      <w:pPr>
        <w:pStyle w:val="Overskrift1"/>
      </w:pPr>
      <w:bookmarkStart w:id="6" w:name="_Toc327967931"/>
      <w:r>
        <w:t>18.05 Send optering til inddrivelse</w:t>
      </w:r>
      <w:bookmarkEnd w:id="6"/>
    </w:p>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noProof/>
                <w:lang w:eastAsia="da-DK"/>
              </w:rPr>
              <w:drawing>
                <wp:anchor distT="0" distB="0" distL="114300" distR="114300" simplePos="0" relativeHeight="251660288" behindDoc="1" locked="0" layoutInCell="1" allowOverlap="1" wp14:anchorId="23A6A6C5" wp14:editId="4B589B0C">
                  <wp:simplePos x="0" y="0"/>
                  <wp:positionH relativeFrom="column">
                    <wp:posOffset>233</wp:posOffset>
                  </wp:positionH>
                  <wp:positionV relativeFrom="paragraph">
                    <wp:posOffset>-2787</wp:posOffset>
                  </wp:positionV>
                  <wp:extent cx="6177915" cy="2192020"/>
                  <wp:effectExtent l="0" t="0" r="0" b="0"/>
                  <wp:wrapTight wrapText="bothSides">
                    <wp:wrapPolygon edited="0">
                      <wp:start x="14054" y="563"/>
                      <wp:lineTo x="12921" y="1126"/>
                      <wp:lineTo x="10390" y="3191"/>
                      <wp:lineTo x="10390" y="3942"/>
                      <wp:lineTo x="2598" y="4130"/>
                      <wp:lineTo x="2598" y="5068"/>
                      <wp:lineTo x="9258" y="6946"/>
                      <wp:lineTo x="3064" y="7133"/>
                      <wp:lineTo x="1732" y="7696"/>
                      <wp:lineTo x="1732" y="10888"/>
                      <wp:lineTo x="1932" y="12952"/>
                      <wp:lineTo x="2065" y="13703"/>
                      <wp:lineTo x="7993" y="15956"/>
                      <wp:lineTo x="9724" y="16331"/>
                      <wp:lineTo x="11456" y="19335"/>
                      <wp:lineTo x="14054" y="20837"/>
                      <wp:lineTo x="15386" y="20837"/>
                      <wp:lineTo x="17983" y="19335"/>
                      <wp:lineTo x="19782" y="15956"/>
                      <wp:lineTo x="20514" y="12952"/>
                      <wp:lineTo x="20581" y="9949"/>
                      <wp:lineTo x="20315" y="7696"/>
                      <wp:lineTo x="20181" y="6946"/>
                      <wp:lineTo x="19315" y="4505"/>
                      <wp:lineTo x="19049" y="3942"/>
                      <wp:lineTo x="19116" y="3191"/>
                      <wp:lineTo x="16451" y="1126"/>
                      <wp:lineTo x="15386" y="563"/>
                      <wp:lineTo x="14054" y="563"/>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7915" cy="2192020"/>
                          </a:xfrm>
                          <a:prstGeom prst="rect">
                            <a:avLst/>
                          </a:prstGeom>
                        </pic:spPr>
                      </pic:pic>
                    </a:graphicData>
                  </a:graphic>
                </wp:anchor>
              </w:drawing>
            </w:r>
          </w:p>
        </w:tc>
      </w:tr>
    </w:tbl>
    <w:p w:rsidR="00AA6095" w:rsidRDefault="00AA6095" w:rsidP="00AA6095">
      <w:pPr>
        <w:pStyle w:val="Normal11"/>
        <w:rPr>
          <w:lang w:eastAsia="da-DK"/>
        </w:rPr>
      </w:pPr>
    </w:p>
    <w:p w:rsidR="00AA6095" w:rsidRDefault="00AA6095" w:rsidP="00AA6095">
      <w:pPr>
        <w:pStyle w:val="Normal11"/>
        <w:rPr>
          <w:lang w:eastAsia="da-DK"/>
        </w:rPr>
        <w:sectPr w:rsidR="00AA6095" w:rsidSect="00AA6095">
          <w:pgSz w:w="11906" w:h="16838"/>
          <w:pgMar w:top="1417" w:right="986" w:bottom="1417" w:left="1134" w:header="556" w:footer="850" w:gutter="57"/>
          <w:paperSrc w:first="2" w:other="2"/>
          <w:cols w:space="708"/>
          <w:docGrid w:linePitch="360"/>
        </w:sectPr>
      </w:pPr>
    </w:p>
    <w:p w:rsidR="00AA6095" w:rsidRDefault="00AA6095" w:rsidP="00AA6095">
      <w:pPr>
        <w:pStyle w:val="Overskrift2"/>
      </w:pPr>
      <w:bookmarkStart w:id="7" w:name="_Toc327967932"/>
      <w:r>
        <w:t>18.05 Send opdatering til inddrivelse</w:t>
      </w:r>
      <w:bookmarkEnd w:id="7"/>
    </w:p>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Formål</w:t>
            </w:r>
          </w:p>
          <w:p w:rsidR="00AA6095" w:rsidRDefault="00AA6095" w:rsidP="00AA6095">
            <w:pPr>
              <w:pStyle w:val="Normal11"/>
              <w:rPr>
                <w:lang w:eastAsia="da-DK"/>
              </w:rPr>
            </w:pPr>
            <w:r>
              <w:rPr>
                <w:lang w:eastAsia="da-DK"/>
              </w:rPr>
              <w:t xml:space="preserve">Omhandlende </w:t>
            </w:r>
            <w:proofErr w:type="spellStart"/>
            <w:r>
              <w:rPr>
                <w:lang w:eastAsia="da-DK"/>
              </w:rPr>
              <w:t>use</w:t>
            </w:r>
            <w:proofErr w:type="spellEnd"/>
            <w:r>
              <w:rPr>
                <w:lang w:eastAsia="da-DK"/>
              </w:rPr>
              <w:t xml:space="preserve"> cases håndterer funktionalitet der skal sikre at der er overensstemmelse mellem fordringer overdraget fra DMO til inddrivelse og/eller modregning i de tilfælde hvor der sker en eller anden form for dækning i DMO.</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Når der kommer en indbetaling til Debitormotoren skal fordringen samtidig nedskrives i EFI med det beløb, som fordringen er dækket med i DMO.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Beskrivelse </w:t>
            </w:r>
          </w:p>
          <w:p w:rsidR="00AA6095" w:rsidRDefault="00AA6095" w:rsidP="00AA6095">
            <w:pPr>
              <w:pStyle w:val="Normal11"/>
              <w:rPr>
                <w:lang w:eastAsia="da-DK"/>
              </w:rPr>
            </w:pPr>
            <w:r>
              <w:rPr>
                <w:lang w:eastAsia="da-DK"/>
              </w:rPr>
              <w:t>Håndterer kommunikation fra Debitormotoren (DMO) til Inddrivelsesmyndigheden(EFI)</w:t>
            </w:r>
          </w:p>
          <w:p w:rsidR="00AA6095" w:rsidRDefault="00AA6095" w:rsidP="00AA6095">
            <w:pPr>
              <w:pStyle w:val="Normal11"/>
              <w:rPr>
                <w:lang w:eastAsia="da-DK"/>
              </w:rPr>
            </w:pPr>
          </w:p>
          <w:p w:rsidR="00AA6095" w:rsidRDefault="00AA6095" w:rsidP="00AA6095">
            <w:pPr>
              <w:pStyle w:val="Normal11"/>
              <w:rPr>
                <w:lang w:eastAsia="da-DK"/>
              </w:rPr>
            </w:pPr>
            <w:r>
              <w:rPr>
                <w:lang w:eastAsia="da-DK"/>
              </w:rPr>
              <w:t>Når der sker en eller anden form for dækning/ændring af fordringer som er overdraget fra opkrævning til inddrivelse skal dette afspejles i Inddrivelsesmyndigheden. Dette skal ske for at sikre, at en fordring altid er registreret med samme beløb i henholdsvis DMO og EFI.</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Når der sendes information om </w:t>
            </w:r>
            <w:proofErr w:type="gramStart"/>
            <w:r>
              <w:rPr>
                <w:lang w:eastAsia="da-DK"/>
              </w:rPr>
              <w:t>nedskrivning  til</w:t>
            </w:r>
            <w:proofErr w:type="gramEnd"/>
            <w:r>
              <w:rPr>
                <w:lang w:eastAsia="da-DK"/>
              </w:rPr>
              <w:t xml:space="preserve"> EFI skal det fremgå hvilken type dækning der er foretaget Afskrivning, Indbetaling, nedskrivning, opskrivning</w:t>
            </w:r>
          </w:p>
          <w:p w:rsidR="00AA6095" w:rsidRDefault="00AA6095" w:rsidP="00AA6095">
            <w:pPr>
              <w:pStyle w:val="Normal11"/>
              <w:rPr>
                <w:lang w:eastAsia="da-DK"/>
              </w:rPr>
            </w:pPr>
          </w:p>
          <w:p w:rsidR="00AA6095" w:rsidRDefault="00AA6095" w:rsidP="00AA6095">
            <w:pPr>
              <w:pStyle w:val="Normal11"/>
              <w:rPr>
                <w:lang w:eastAsia="da-DK"/>
              </w:rPr>
            </w:pPr>
            <w:r>
              <w:rPr>
                <w:lang w:eastAsia="da-DK"/>
              </w:rP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AA6095" w:rsidRDefault="00AA6095" w:rsidP="00AA6095">
            <w:pPr>
              <w:pStyle w:val="Normal11"/>
              <w:rPr>
                <w:lang w:eastAsia="da-DK"/>
              </w:rPr>
            </w:pPr>
          </w:p>
          <w:p w:rsidR="00AA6095" w:rsidRDefault="00AA6095" w:rsidP="00AA6095">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DMO behandles således:</w:t>
            </w:r>
          </w:p>
          <w:p w:rsidR="00AA6095" w:rsidRDefault="00AA6095" w:rsidP="00AA6095">
            <w:pPr>
              <w:pStyle w:val="Normal11"/>
              <w:rPr>
                <w:lang w:eastAsia="da-DK"/>
              </w:rPr>
            </w:pPr>
            <w:r>
              <w:rPr>
                <w:lang w:eastAsia="da-DK"/>
              </w:rPr>
              <w:t>Fordringen nedskrives til 0 i EFI og for meget indbetalt forbliver i DMO.</w:t>
            </w:r>
          </w:p>
          <w:p w:rsidR="00AA6095" w:rsidRDefault="00AA6095" w:rsidP="00AA6095">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EFI behandles således:</w:t>
            </w:r>
          </w:p>
          <w:p w:rsidR="00AA6095" w:rsidRDefault="00AA6095" w:rsidP="00AA6095">
            <w:pPr>
              <w:pStyle w:val="Normal11"/>
              <w:rPr>
                <w:lang w:eastAsia="da-DK"/>
              </w:rPr>
            </w:pPr>
            <w:r>
              <w:rPr>
                <w:lang w:eastAsia="da-DK"/>
              </w:rPr>
              <w:t>Fordringen nedskrives til 0 i EFI og indbetalingen skal "rulles" tilbage til EFI via mellemregning.</w:t>
            </w:r>
          </w:p>
          <w:p w:rsidR="00AA6095" w:rsidRDefault="00AA6095" w:rsidP="00AA6095">
            <w:pPr>
              <w:pStyle w:val="Normal11"/>
              <w:rPr>
                <w:lang w:eastAsia="da-DK"/>
              </w:rPr>
            </w:pP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 </w:t>
            </w:r>
          </w:p>
          <w:p w:rsidR="00AA6095" w:rsidRDefault="00AA6095" w:rsidP="00AA6095">
            <w:pPr>
              <w:pStyle w:val="Normal11"/>
              <w:rPr>
                <w:lang w:eastAsia="da-DK"/>
              </w:rPr>
            </w:pP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Frekvens</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Aktører</w:t>
            </w:r>
          </w:p>
          <w:p w:rsidR="00AA6095" w:rsidRPr="00AA6095" w:rsidRDefault="00AA6095" w:rsidP="00AA6095">
            <w:pPr>
              <w:pStyle w:val="Normal11"/>
              <w:rPr>
                <w:lang w:eastAsia="da-DK"/>
              </w:rPr>
            </w:pPr>
            <w:r>
              <w:rPr>
                <w:lang w:eastAsia="da-DK"/>
              </w:rPr>
              <w:t>Tid</w:t>
            </w: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Startbetingelser</w:t>
            </w:r>
          </w:p>
          <w:p w:rsidR="00AA6095" w:rsidRDefault="00AA6095" w:rsidP="00AA6095">
            <w:pPr>
              <w:pStyle w:val="Normal11"/>
              <w:rPr>
                <w:lang w:eastAsia="da-DK"/>
              </w:rPr>
            </w:pPr>
            <w:r>
              <w:rPr>
                <w:lang w:eastAsia="da-DK"/>
              </w:rPr>
              <w:t>Der er sket bevægelse på fordringer overdraget til EFI</w:t>
            </w:r>
          </w:p>
          <w:p w:rsidR="00AA6095" w:rsidRDefault="00AA6095" w:rsidP="00AA6095">
            <w:pPr>
              <w:pStyle w:val="Normal11"/>
              <w:rPr>
                <w:lang w:eastAsia="da-DK"/>
              </w:rPr>
            </w:pPr>
            <w:r>
              <w:rPr>
                <w:lang w:eastAsia="da-DK"/>
              </w:rPr>
              <w:t>Eller</w:t>
            </w:r>
          </w:p>
          <w:p w:rsidR="00AA6095" w:rsidRPr="00AA6095" w:rsidRDefault="00AA6095" w:rsidP="00AA6095">
            <w:pPr>
              <w:pStyle w:val="Normal11"/>
              <w:rPr>
                <w:lang w:eastAsia="da-DK"/>
              </w:rPr>
            </w:pPr>
            <w:r>
              <w:rPr>
                <w:lang w:eastAsia="da-DK"/>
              </w:rPr>
              <w:t>Der er sket bevægelser for fordringer overdraget til modregning</w:t>
            </w:r>
          </w:p>
        </w:tc>
      </w:tr>
    </w:tbl>
    <w:p w:rsidR="00AA6095" w:rsidRDefault="00AA6095" w:rsidP="00AA6095">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A6095" w:rsidTr="00AA6095">
        <w:tblPrEx>
          <w:tblCellMar>
            <w:top w:w="0" w:type="dxa"/>
            <w:bottom w:w="0" w:type="dxa"/>
          </w:tblCellMar>
        </w:tblPrEx>
        <w:tc>
          <w:tcPr>
            <w:tcW w:w="9909" w:type="dxa"/>
            <w:gridSpan w:val="3"/>
          </w:tcPr>
          <w:p w:rsidR="00AA6095" w:rsidRPr="00AA6095" w:rsidRDefault="00AA6095" w:rsidP="00AA6095">
            <w:pPr>
              <w:pStyle w:val="Normal11"/>
              <w:rPr>
                <w:lang w:eastAsia="da-DK"/>
              </w:rPr>
            </w:pPr>
            <w:r>
              <w:rPr>
                <w:b/>
                <w:lang w:eastAsia="da-DK"/>
              </w:rPr>
              <w:t>Hovedvej</w:t>
            </w:r>
          </w:p>
        </w:tc>
      </w:tr>
      <w:tr w:rsidR="00AA6095" w:rsidTr="00AA6095">
        <w:tblPrEx>
          <w:tblCellMar>
            <w:top w:w="0" w:type="dxa"/>
            <w:bottom w:w="0" w:type="dxa"/>
          </w:tblCellMar>
        </w:tblPrEx>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Aktør</w:t>
            </w:r>
          </w:p>
        </w:tc>
        <w:tc>
          <w:tcPr>
            <w:tcW w:w="3356" w:type="dxa"/>
            <w:shd w:val="pct20" w:color="auto" w:fill="0000FF"/>
          </w:tcPr>
          <w:p w:rsidR="00AA6095" w:rsidRPr="00AA6095" w:rsidRDefault="00AA6095" w:rsidP="00AA6095">
            <w:pPr>
              <w:pStyle w:val="Normal11"/>
              <w:rPr>
                <w:color w:val="FFFFFF"/>
                <w:lang w:eastAsia="da-DK"/>
              </w:rPr>
            </w:pPr>
            <w:r>
              <w:rPr>
                <w:color w:val="FFFFFF"/>
                <w:lang w:eastAsia="da-DK"/>
              </w:rPr>
              <w:t>Løsning</w:t>
            </w:r>
          </w:p>
        </w:tc>
        <w:tc>
          <w:tcPr>
            <w:tcW w:w="3197" w:type="dxa"/>
            <w:shd w:val="pct20" w:color="auto" w:fill="0000FF"/>
          </w:tcPr>
          <w:p w:rsidR="00AA6095" w:rsidRPr="00AA6095" w:rsidRDefault="00AA6095" w:rsidP="00AA6095">
            <w:pPr>
              <w:pStyle w:val="Normal11"/>
              <w:rPr>
                <w:color w:val="FFFFFF"/>
                <w:lang w:eastAsia="da-DK"/>
              </w:rPr>
            </w:pPr>
            <w:r>
              <w:rPr>
                <w:color w:val="FFFFFF"/>
                <w:lang w:eastAsia="da-DK"/>
              </w:rPr>
              <w:t>Service/Service operationer</w:t>
            </w:r>
          </w:p>
        </w:tc>
      </w:tr>
      <w:tr w:rsidR="00AA6095" w:rsidTr="00AA6095">
        <w:tblPrEx>
          <w:tblCellMar>
            <w:top w:w="0" w:type="dxa"/>
            <w:bottom w:w="0" w:type="dxa"/>
          </w:tblCellMar>
        </w:tblPrEx>
        <w:tc>
          <w:tcPr>
            <w:tcW w:w="9909" w:type="dxa"/>
            <w:gridSpan w:val="3"/>
            <w:shd w:val="clear" w:color="auto" w:fill="FFFFFF"/>
          </w:tcPr>
          <w:p w:rsidR="00AA6095" w:rsidRPr="00AA6095" w:rsidRDefault="00AA6095" w:rsidP="00AA6095">
            <w:pPr>
              <w:pStyle w:val="Normal11"/>
              <w:rPr>
                <w:b/>
                <w:lang w:eastAsia="da-DK"/>
              </w:rPr>
            </w:pPr>
            <w:r>
              <w:rPr>
                <w:b/>
                <w:lang w:eastAsia="da-DK"/>
              </w:rPr>
              <w:t>Trin 1: Send information til Inddrivelsesmyndigheden</w:t>
            </w:r>
          </w:p>
        </w:tc>
      </w:tr>
      <w:tr w:rsidR="00AA6095" w:rsidTr="00AA6095">
        <w:tblPrEx>
          <w:tblCellMar>
            <w:top w:w="0" w:type="dxa"/>
            <w:bottom w:w="0" w:type="dxa"/>
          </w:tblCellMar>
        </w:tblPrEx>
        <w:tc>
          <w:tcPr>
            <w:tcW w:w="3356" w:type="dxa"/>
            <w:shd w:val="clear" w:color="auto" w:fill="FFFFFF"/>
          </w:tcPr>
          <w:p w:rsidR="00AA6095" w:rsidRPr="00AA6095" w:rsidRDefault="00AA6095" w:rsidP="00AA6095">
            <w:pPr>
              <w:pStyle w:val="Normal11"/>
              <w:rPr>
                <w:color w:val="000000"/>
                <w:lang w:eastAsia="da-DK"/>
              </w:rPr>
            </w:pPr>
          </w:p>
        </w:tc>
        <w:tc>
          <w:tcPr>
            <w:tcW w:w="3356" w:type="dxa"/>
            <w:shd w:val="clear" w:color="auto" w:fill="FFFFFF"/>
          </w:tcPr>
          <w:p w:rsidR="00AA6095" w:rsidRDefault="00AA6095" w:rsidP="00AA6095">
            <w:pPr>
              <w:pStyle w:val="Normal11"/>
              <w:rPr>
                <w:lang w:eastAsia="da-DK"/>
              </w:rPr>
            </w:pPr>
            <w:r>
              <w:rPr>
                <w:lang w:eastAsia="da-DK"/>
              </w:rPr>
              <w:t>Send information (opdatering) om indbetalinger, afskrivninger, nedskrivninger til Inddrivelsesmyndigheden</w:t>
            </w:r>
          </w:p>
          <w:p w:rsidR="00AA6095" w:rsidRDefault="00AA6095" w:rsidP="00AA6095">
            <w:pPr>
              <w:pStyle w:val="Normal11"/>
              <w:rPr>
                <w:lang w:eastAsia="da-DK"/>
              </w:rPr>
            </w:pPr>
          </w:p>
          <w:p w:rsidR="00AA6095" w:rsidRDefault="00AA6095" w:rsidP="00AA6095">
            <w:pPr>
              <w:pStyle w:val="Normal11"/>
              <w:rPr>
                <w:lang w:eastAsia="da-DK"/>
              </w:rPr>
            </w:pPr>
            <w:r>
              <w:rPr>
                <w:lang w:eastAsia="da-DK"/>
              </w:rPr>
              <w:t>Der spørges efter kvittering indtil der er modtaget kvittering for alle</w:t>
            </w:r>
          </w:p>
        </w:tc>
        <w:tc>
          <w:tcPr>
            <w:tcW w:w="3197" w:type="dxa"/>
            <w:shd w:val="clear" w:color="auto" w:fill="FFFFFF"/>
          </w:tcPr>
          <w:p w:rsidR="00AA6095" w:rsidRDefault="00AA6095" w:rsidP="00AA6095">
            <w:pPr>
              <w:pStyle w:val="Normal11"/>
              <w:rPr>
                <w:lang w:eastAsia="da-DK"/>
              </w:rPr>
            </w:pPr>
            <w:proofErr w:type="spellStart"/>
            <w:r>
              <w:rPr>
                <w:lang w:eastAsia="da-DK"/>
              </w:rPr>
              <w:t>EFI</w:t>
            </w:r>
            <w:proofErr w:type="gramStart"/>
            <w:r>
              <w:rPr>
                <w:lang w:eastAsia="da-DK"/>
              </w:rPr>
              <w:t>.MFFordringIndberet</w:t>
            </w:r>
            <w:proofErr w:type="spellEnd"/>
            <w:proofErr w:type="gramEnd"/>
          </w:p>
          <w:p w:rsidR="00AA6095" w:rsidRDefault="00AA6095" w:rsidP="00AA6095">
            <w:pPr>
              <w:pStyle w:val="Normal11"/>
              <w:rPr>
                <w:lang w:eastAsia="da-DK"/>
              </w:rPr>
            </w:pPr>
            <w:proofErr w:type="spellStart"/>
            <w:r>
              <w:rPr>
                <w:lang w:eastAsia="da-DK"/>
              </w:rPr>
              <w:t>EFI</w:t>
            </w:r>
            <w:proofErr w:type="gramStart"/>
            <w:r>
              <w:rPr>
                <w:lang w:eastAsia="da-DK"/>
              </w:rPr>
              <w:t>.MFKvitteringHent</w:t>
            </w:r>
            <w:proofErr w:type="spellEnd"/>
            <w:proofErr w:type="gramEnd"/>
          </w:p>
        </w:tc>
      </w:tr>
    </w:tbl>
    <w:p w:rsidR="00AA6095" w:rsidRDefault="00AA6095" w:rsidP="00AA6095">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Slutbetingelser</w:t>
            </w:r>
          </w:p>
          <w:p w:rsidR="00AA6095" w:rsidRDefault="00AA6095" w:rsidP="00AA6095">
            <w:pPr>
              <w:pStyle w:val="Normal11"/>
              <w:rPr>
                <w:lang w:eastAsia="da-DK"/>
              </w:rPr>
            </w:pPr>
            <w:r>
              <w:rPr>
                <w:lang w:eastAsia="da-DK"/>
              </w:rPr>
              <w:t xml:space="preserve">At der er sendt </w:t>
            </w:r>
            <w:proofErr w:type="gramStart"/>
            <w:r>
              <w:rPr>
                <w:lang w:eastAsia="da-DK"/>
              </w:rPr>
              <w:t>information  til</w:t>
            </w:r>
            <w:proofErr w:type="gramEnd"/>
            <w:r>
              <w:rPr>
                <w:lang w:eastAsia="da-DK"/>
              </w:rPr>
              <w:t xml:space="preserve"> EFI om fordringer under inddrivelse er opdateret således at det sikres, at beløbet i henholdsvis DM og EFI er identiske.</w:t>
            </w:r>
          </w:p>
          <w:p w:rsidR="00AA6095" w:rsidRDefault="00AA6095" w:rsidP="00AA6095">
            <w:pPr>
              <w:pStyle w:val="Normal11"/>
              <w:rPr>
                <w:lang w:eastAsia="da-DK"/>
              </w:rPr>
            </w:pPr>
          </w:p>
          <w:p w:rsidR="00AA6095" w:rsidRDefault="00AA6095" w:rsidP="00AA6095">
            <w:pPr>
              <w:pStyle w:val="Normal11"/>
              <w:rPr>
                <w:lang w:eastAsia="da-DK"/>
              </w:rPr>
            </w:pPr>
            <w:r>
              <w:rPr>
                <w:lang w:eastAsia="da-DK"/>
              </w:rPr>
              <w:t xml:space="preserve">At der er sendt </w:t>
            </w:r>
            <w:proofErr w:type="gramStart"/>
            <w:r>
              <w:rPr>
                <w:lang w:eastAsia="da-DK"/>
              </w:rPr>
              <w:t>information  til</w:t>
            </w:r>
            <w:proofErr w:type="gramEnd"/>
            <w:r>
              <w:rPr>
                <w:lang w:eastAsia="da-DK"/>
              </w:rPr>
              <w:t xml:space="preserve"> EFI om fordringer under modregning er opdateret således at det sikres, at beløbet i henholdsvis DM og EFI er identiske.</w:t>
            </w:r>
          </w:p>
          <w:p w:rsidR="00AA6095" w:rsidRDefault="00AA6095" w:rsidP="00AA6095">
            <w:pPr>
              <w:pStyle w:val="Normal11"/>
              <w:rPr>
                <w:lang w:eastAsia="da-DK"/>
              </w:rPr>
            </w:pPr>
          </w:p>
          <w:p w:rsidR="00AA6095" w:rsidRDefault="00AA6095" w:rsidP="00AA6095">
            <w:pPr>
              <w:pStyle w:val="Normal11"/>
              <w:rPr>
                <w:lang w:eastAsia="da-DK"/>
              </w:rPr>
            </w:pPr>
            <w:r>
              <w:rPr>
                <w:lang w:eastAsia="da-DK"/>
              </w:rPr>
              <w:t>Der er foretaget de relevante regnskabsmæssige posteringer</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Noter</w:t>
            </w:r>
          </w:p>
          <w:p w:rsidR="00AA6095" w:rsidRPr="00AA6095" w:rsidRDefault="00AA6095" w:rsidP="00AA6095">
            <w:pPr>
              <w:pStyle w:val="Normal11"/>
              <w:rPr>
                <w:lang w:eastAsia="da-DK"/>
              </w:rPr>
            </w:pPr>
          </w:p>
        </w:tc>
      </w:tr>
      <w:tr w:rsidR="00AA6095" w:rsidTr="00AA6095">
        <w:tblPrEx>
          <w:tblCellMar>
            <w:top w:w="0" w:type="dxa"/>
            <w:bottom w:w="0" w:type="dxa"/>
          </w:tblCellMar>
        </w:tblPrEx>
        <w:tc>
          <w:tcPr>
            <w:tcW w:w="9869" w:type="dxa"/>
            <w:shd w:val="clear" w:color="auto" w:fill="auto"/>
          </w:tcPr>
          <w:p w:rsidR="00AA6095" w:rsidRDefault="00AA6095" w:rsidP="00AA6095">
            <w:pPr>
              <w:pStyle w:val="Normal11"/>
              <w:rPr>
                <w:lang w:eastAsia="da-DK"/>
              </w:rPr>
            </w:pPr>
            <w:r>
              <w:rPr>
                <w:b/>
                <w:lang w:eastAsia="da-DK"/>
              </w:rPr>
              <w:t>Servicebeskrivelse</w:t>
            </w:r>
          </w:p>
          <w:p w:rsidR="00AA6095" w:rsidRPr="00AA6095" w:rsidRDefault="00AA6095" w:rsidP="00AA6095">
            <w:pPr>
              <w:pStyle w:val="Normal11"/>
              <w:rPr>
                <w:lang w:eastAsia="da-DK"/>
              </w:rPr>
            </w:pPr>
          </w:p>
        </w:tc>
      </w:tr>
    </w:tbl>
    <w:p w:rsidR="00AA6095" w:rsidRDefault="00AA6095" w:rsidP="00AA6095">
      <w:pPr>
        <w:pStyle w:val="Normal11"/>
        <w:rPr>
          <w:lang w:eastAsia="da-DK"/>
        </w:rPr>
        <w:sectPr w:rsidR="00AA6095" w:rsidSect="00AA6095">
          <w:pgSz w:w="11906" w:h="16838"/>
          <w:pgMar w:top="1417" w:right="986" w:bottom="1417" w:left="1134" w:header="556" w:footer="850" w:gutter="57"/>
          <w:paperSrc w:first="2" w:other="2"/>
          <w:cols w:space="708"/>
          <w:docGrid w:linePitch="360"/>
        </w:sectPr>
      </w:pPr>
    </w:p>
    <w:p w:rsidR="00AA6095" w:rsidRPr="00AA6095" w:rsidRDefault="00AA6095" w:rsidP="00AA6095">
      <w:pPr>
        <w:pStyle w:val="Normal11"/>
        <w:rPr>
          <w:lang w:eastAsia="da-DK"/>
        </w:rPr>
      </w:pPr>
    </w:p>
    <w:sectPr w:rsidR="00AA6095" w:rsidRPr="00AA6095" w:rsidSect="00AA6095">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095" w:rsidRDefault="00AA6095" w:rsidP="00AA6095">
      <w:r>
        <w:separator/>
      </w:r>
    </w:p>
  </w:endnote>
  <w:endnote w:type="continuationSeparator" w:id="0">
    <w:p w:rsidR="00AA6095" w:rsidRDefault="00AA6095" w:rsidP="00AA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095" w:rsidRDefault="00AA6095">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sidR="00673625">
      <w:rPr>
        <w:noProof/>
      </w:rPr>
      <w:t>1</w:t>
    </w:r>
    <w:r>
      <w:fldChar w:fldCharType="end"/>
    </w:r>
    <w:r>
      <w:t xml:space="preserve"> af </w:t>
    </w:r>
    <w:fldSimple w:instr=" NUMPAGES  \* MERGEFORMAT ">
      <w:r w:rsidR="00673625">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095" w:rsidRDefault="00AA6095" w:rsidP="00AA6095">
      <w:r>
        <w:separator/>
      </w:r>
    </w:p>
  </w:footnote>
  <w:footnote w:type="continuationSeparator" w:id="0">
    <w:p w:rsidR="00AA6095" w:rsidRDefault="00AA6095" w:rsidP="00AA60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095" w:rsidRDefault="00AA6095">
    <w:pPr>
      <w:pStyle w:val="Sidehoved"/>
    </w:pPr>
    <w:r>
      <w:t xml:space="preserve">Rapport dannet den: </w:t>
    </w:r>
    <w:r>
      <w:fldChar w:fldCharType="begin"/>
    </w:r>
    <w:r>
      <w:instrText xml:space="preserve"> CREATEDATE  \@ "d. MMMM yyyy"  \* MERGEFORMAT </w:instrText>
    </w:r>
    <w:r>
      <w:fldChar w:fldCharType="separate"/>
    </w:r>
    <w:r>
      <w:rPr>
        <w:noProof/>
      </w:rPr>
      <w:t>20. juni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C558C"/>
    <w:multiLevelType w:val="multilevel"/>
    <w:tmpl w:val="E2CADE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95"/>
    <w:rsid w:val="00062E9B"/>
    <w:rsid w:val="003717A5"/>
    <w:rsid w:val="00636BE0"/>
    <w:rsid w:val="00673625"/>
    <w:rsid w:val="006F2D8E"/>
    <w:rsid w:val="00AA60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A6095"/>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A6095"/>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A6095"/>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A6095"/>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A60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A60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A60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A60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A60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A6095"/>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A6095"/>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A6095"/>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A6095"/>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A60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A60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A60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A60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A60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A609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A6095"/>
    <w:rPr>
      <w:rFonts w:ascii="Arial" w:hAnsi="Arial" w:cs="Arial"/>
      <w:b/>
      <w:sz w:val="30"/>
    </w:rPr>
  </w:style>
  <w:style w:type="paragraph" w:customStyle="1" w:styleId="Overskrift211pkt">
    <w:name w:val="Overskrift 2 + 11 pkt"/>
    <w:basedOn w:val="Normal"/>
    <w:link w:val="Overskrift211pktTegn"/>
    <w:rsid w:val="00AA6095"/>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A6095"/>
    <w:rPr>
      <w:rFonts w:ascii="Arial" w:hAnsi="Arial" w:cs="Arial"/>
      <w:b/>
    </w:rPr>
  </w:style>
  <w:style w:type="paragraph" w:customStyle="1" w:styleId="Normal11">
    <w:name w:val="Normal + 11"/>
    <w:basedOn w:val="Normal"/>
    <w:link w:val="Normal11Tegn"/>
    <w:rsid w:val="00AA6095"/>
    <w:rPr>
      <w:rFonts w:ascii="Times New Roman" w:hAnsi="Times New Roman" w:cs="Times New Roman"/>
    </w:rPr>
  </w:style>
  <w:style w:type="character" w:customStyle="1" w:styleId="Normal11Tegn">
    <w:name w:val="Normal + 11 Tegn"/>
    <w:basedOn w:val="Standardskrifttypeiafsnit"/>
    <w:link w:val="Normal11"/>
    <w:rsid w:val="00AA6095"/>
    <w:rPr>
      <w:rFonts w:ascii="Times New Roman" w:hAnsi="Times New Roman" w:cs="Times New Roman"/>
    </w:rPr>
  </w:style>
  <w:style w:type="paragraph" w:styleId="Sidehoved">
    <w:name w:val="header"/>
    <w:basedOn w:val="Normal"/>
    <w:link w:val="SidehovedTegn"/>
    <w:uiPriority w:val="99"/>
    <w:unhideWhenUsed/>
    <w:rsid w:val="00AA6095"/>
    <w:pPr>
      <w:tabs>
        <w:tab w:val="center" w:pos="4819"/>
        <w:tab w:val="right" w:pos="9638"/>
      </w:tabs>
    </w:pPr>
  </w:style>
  <w:style w:type="character" w:customStyle="1" w:styleId="SidehovedTegn">
    <w:name w:val="Sidehoved Tegn"/>
    <w:basedOn w:val="Standardskrifttypeiafsnit"/>
    <w:link w:val="Sidehoved"/>
    <w:uiPriority w:val="99"/>
    <w:rsid w:val="00AA6095"/>
  </w:style>
  <w:style w:type="paragraph" w:styleId="Sidefod">
    <w:name w:val="footer"/>
    <w:basedOn w:val="Normal"/>
    <w:link w:val="SidefodTegn"/>
    <w:uiPriority w:val="99"/>
    <w:unhideWhenUsed/>
    <w:rsid w:val="00AA6095"/>
    <w:pPr>
      <w:tabs>
        <w:tab w:val="center" w:pos="4819"/>
        <w:tab w:val="right" w:pos="9638"/>
      </w:tabs>
    </w:pPr>
  </w:style>
  <w:style w:type="character" w:customStyle="1" w:styleId="SidefodTegn">
    <w:name w:val="Sidefod Tegn"/>
    <w:basedOn w:val="Standardskrifttypeiafsnit"/>
    <w:link w:val="Sidefod"/>
    <w:uiPriority w:val="99"/>
    <w:rsid w:val="00AA6095"/>
  </w:style>
  <w:style w:type="paragraph" w:styleId="Overskrift">
    <w:name w:val="TOC Heading"/>
    <w:basedOn w:val="Overskrift1"/>
    <w:next w:val="Normal"/>
    <w:uiPriority w:val="39"/>
    <w:semiHidden/>
    <w:unhideWhenUsed/>
    <w:qFormat/>
    <w:rsid w:val="00673625"/>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673625"/>
    <w:pPr>
      <w:spacing w:after="100"/>
    </w:pPr>
  </w:style>
  <w:style w:type="paragraph" w:styleId="Indholdsfortegnelse2">
    <w:name w:val="toc 2"/>
    <w:basedOn w:val="Normal"/>
    <w:next w:val="Normal"/>
    <w:autoRedefine/>
    <w:uiPriority w:val="39"/>
    <w:unhideWhenUsed/>
    <w:rsid w:val="00673625"/>
    <w:pPr>
      <w:spacing w:after="100"/>
      <w:ind w:left="220"/>
    </w:pPr>
  </w:style>
  <w:style w:type="character" w:styleId="Hyperlink">
    <w:name w:val="Hyperlink"/>
    <w:basedOn w:val="Standardskrifttypeiafsnit"/>
    <w:uiPriority w:val="99"/>
    <w:unhideWhenUsed/>
    <w:rsid w:val="006736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A6095"/>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A6095"/>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A6095"/>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A6095"/>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A60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A60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A60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A60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A60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A6095"/>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A6095"/>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A6095"/>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A6095"/>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A60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A60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A60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A60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A60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A609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A6095"/>
    <w:rPr>
      <w:rFonts w:ascii="Arial" w:hAnsi="Arial" w:cs="Arial"/>
      <w:b/>
      <w:sz w:val="30"/>
    </w:rPr>
  </w:style>
  <w:style w:type="paragraph" w:customStyle="1" w:styleId="Overskrift211pkt">
    <w:name w:val="Overskrift 2 + 11 pkt"/>
    <w:basedOn w:val="Normal"/>
    <w:link w:val="Overskrift211pktTegn"/>
    <w:rsid w:val="00AA6095"/>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A6095"/>
    <w:rPr>
      <w:rFonts w:ascii="Arial" w:hAnsi="Arial" w:cs="Arial"/>
      <w:b/>
    </w:rPr>
  </w:style>
  <w:style w:type="paragraph" w:customStyle="1" w:styleId="Normal11">
    <w:name w:val="Normal + 11"/>
    <w:basedOn w:val="Normal"/>
    <w:link w:val="Normal11Tegn"/>
    <w:rsid w:val="00AA6095"/>
    <w:rPr>
      <w:rFonts w:ascii="Times New Roman" w:hAnsi="Times New Roman" w:cs="Times New Roman"/>
    </w:rPr>
  </w:style>
  <w:style w:type="character" w:customStyle="1" w:styleId="Normal11Tegn">
    <w:name w:val="Normal + 11 Tegn"/>
    <w:basedOn w:val="Standardskrifttypeiafsnit"/>
    <w:link w:val="Normal11"/>
    <w:rsid w:val="00AA6095"/>
    <w:rPr>
      <w:rFonts w:ascii="Times New Roman" w:hAnsi="Times New Roman" w:cs="Times New Roman"/>
    </w:rPr>
  </w:style>
  <w:style w:type="paragraph" w:styleId="Sidehoved">
    <w:name w:val="header"/>
    <w:basedOn w:val="Normal"/>
    <w:link w:val="SidehovedTegn"/>
    <w:uiPriority w:val="99"/>
    <w:unhideWhenUsed/>
    <w:rsid w:val="00AA6095"/>
    <w:pPr>
      <w:tabs>
        <w:tab w:val="center" w:pos="4819"/>
        <w:tab w:val="right" w:pos="9638"/>
      </w:tabs>
    </w:pPr>
  </w:style>
  <w:style w:type="character" w:customStyle="1" w:styleId="SidehovedTegn">
    <w:name w:val="Sidehoved Tegn"/>
    <w:basedOn w:val="Standardskrifttypeiafsnit"/>
    <w:link w:val="Sidehoved"/>
    <w:uiPriority w:val="99"/>
    <w:rsid w:val="00AA6095"/>
  </w:style>
  <w:style w:type="paragraph" w:styleId="Sidefod">
    <w:name w:val="footer"/>
    <w:basedOn w:val="Normal"/>
    <w:link w:val="SidefodTegn"/>
    <w:uiPriority w:val="99"/>
    <w:unhideWhenUsed/>
    <w:rsid w:val="00AA6095"/>
    <w:pPr>
      <w:tabs>
        <w:tab w:val="center" w:pos="4819"/>
        <w:tab w:val="right" w:pos="9638"/>
      </w:tabs>
    </w:pPr>
  </w:style>
  <w:style w:type="character" w:customStyle="1" w:styleId="SidefodTegn">
    <w:name w:val="Sidefod Tegn"/>
    <w:basedOn w:val="Standardskrifttypeiafsnit"/>
    <w:link w:val="Sidefod"/>
    <w:uiPriority w:val="99"/>
    <w:rsid w:val="00AA6095"/>
  </w:style>
  <w:style w:type="paragraph" w:styleId="Overskrift">
    <w:name w:val="TOC Heading"/>
    <w:basedOn w:val="Overskrift1"/>
    <w:next w:val="Normal"/>
    <w:uiPriority w:val="39"/>
    <w:semiHidden/>
    <w:unhideWhenUsed/>
    <w:qFormat/>
    <w:rsid w:val="00673625"/>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673625"/>
    <w:pPr>
      <w:spacing w:after="100"/>
    </w:pPr>
  </w:style>
  <w:style w:type="paragraph" w:styleId="Indholdsfortegnelse2">
    <w:name w:val="toc 2"/>
    <w:basedOn w:val="Normal"/>
    <w:next w:val="Normal"/>
    <w:autoRedefine/>
    <w:uiPriority w:val="39"/>
    <w:unhideWhenUsed/>
    <w:rsid w:val="00673625"/>
    <w:pPr>
      <w:spacing w:after="100"/>
      <w:ind w:left="220"/>
    </w:pPr>
  </w:style>
  <w:style w:type="character" w:styleId="Hyperlink">
    <w:name w:val="Hyperlink"/>
    <w:basedOn w:val="Standardskrifttypeiafsnit"/>
    <w:uiPriority w:val="99"/>
    <w:unhideWhenUsed/>
    <w:rsid w:val="006736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D193E-086B-48BC-BE5D-FBB9D8E7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1912</Words>
  <Characters>11669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dcterms:created xsi:type="dcterms:W3CDTF">2012-06-20T13:00:00Z</dcterms:created>
  <dcterms:modified xsi:type="dcterms:W3CDTF">2012-06-20T13:03:00Z</dcterms:modified>
</cp:coreProperties>
</file>