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599920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bookmarkStart w:id="0" w:name="_GoBack" w:displacedByCustomXml="prev"/>
        <w:bookmarkEnd w:id="0" w:displacedByCustomXml="prev"/>
        <w:p w:rsidR="00C91B72" w:rsidRDefault="00C91B72">
          <w:pPr>
            <w:pStyle w:val="Overskrift"/>
          </w:pPr>
          <w:r>
            <w:t>Indhold</w:t>
          </w:r>
        </w:p>
        <w:p w:rsidR="00C91B72" w:rsidRDefault="00C91B72">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51103490" w:history="1">
            <w:r w:rsidRPr="00E96771">
              <w:rPr>
                <w:rStyle w:val="Hyperlink"/>
                <w:noProof/>
              </w:rPr>
              <w:t>1</w:t>
            </w:r>
            <w:r>
              <w:rPr>
                <w:noProof/>
              </w:rPr>
              <w:tab/>
            </w:r>
            <w:r w:rsidRPr="00E96771">
              <w:rPr>
                <w:rStyle w:val="Hyperlink"/>
                <w:noProof/>
              </w:rPr>
              <w:t>14.01 Modtag opdateringer fra inddrivelse</w:t>
            </w:r>
            <w:r>
              <w:rPr>
                <w:noProof/>
                <w:webHidden/>
              </w:rPr>
              <w:tab/>
            </w:r>
            <w:r>
              <w:rPr>
                <w:noProof/>
                <w:webHidden/>
              </w:rPr>
              <w:fldChar w:fldCharType="begin"/>
            </w:r>
            <w:r>
              <w:rPr>
                <w:noProof/>
                <w:webHidden/>
              </w:rPr>
              <w:instrText xml:space="preserve"> PAGEREF _Toc351103490 \h </w:instrText>
            </w:r>
            <w:r>
              <w:rPr>
                <w:noProof/>
                <w:webHidden/>
              </w:rPr>
            </w:r>
            <w:r>
              <w:rPr>
                <w:noProof/>
                <w:webHidden/>
              </w:rPr>
              <w:fldChar w:fldCharType="separate"/>
            </w:r>
            <w:r>
              <w:rPr>
                <w:noProof/>
                <w:webHidden/>
              </w:rPr>
              <w:t>2</w:t>
            </w:r>
            <w:r>
              <w:rPr>
                <w:noProof/>
                <w:webHidden/>
              </w:rPr>
              <w:fldChar w:fldCharType="end"/>
            </w:r>
          </w:hyperlink>
        </w:p>
        <w:p w:rsidR="00C91B72" w:rsidRDefault="00C91B72">
          <w:pPr>
            <w:pStyle w:val="Indholdsfortegnelse2"/>
            <w:tabs>
              <w:tab w:val="left" w:pos="880"/>
              <w:tab w:val="right" w:leader="dot" w:pos="9719"/>
            </w:tabs>
            <w:rPr>
              <w:noProof/>
            </w:rPr>
          </w:pPr>
          <w:hyperlink w:anchor="_Toc351103491" w:history="1">
            <w:r w:rsidRPr="00E96771">
              <w:rPr>
                <w:rStyle w:val="Hyperlink"/>
                <w:noProof/>
              </w:rPr>
              <w:t>1.1</w:t>
            </w:r>
            <w:r>
              <w:rPr>
                <w:noProof/>
              </w:rPr>
              <w:tab/>
            </w:r>
            <w:r w:rsidRPr="00E96771">
              <w:rPr>
                <w:rStyle w:val="Hyperlink"/>
                <w:noProof/>
              </w:rPr>
              <w:t>14.01 Modtag opdateringer fra inddrivelse</w:t>
            </w:r>
            <w:r>
              <w:rPr>
                <w:noProof/>
                <w:webHidden/>
              </w:rPr>
              <w:tab/>
            </w:r>
            <w:r>
              <w:rPr>
                <w:noProof/>
                <w:webHidden/>
              </w:rPr>
              <w:fldChar w:fldCharType="begin"/>
            </w:r>
            <w:r>
              <w:rPr>
                <w:noProof/>
                <w:webHidden/>
              </w:rPr>
              <w:instrText xml:space="preserve"> PAGEREF _Toc351103491 \h </w:instrText>
            </w:r>
            <w:r>
              <w:rPr>
                <w:noProof/>
                <w:webHidden/>
              </w:rPr>
            </w:r>
            <w:r>
              <w:rPr>
                <w:noProof/>
                <w:webHidden/>
              </w:rPr>
              <w:fldChar w:fldCharType="separate"/>
            </w:r>
            <w:r>
              <w:rPr>
                <w:noProof/>
                <w:webHidden/>
              </w:rPr>
              <w:t>3</w:t>
            </w:r>
            <w:r>
              <w:rPr>
                <w:noProof/>
                <w:webHidden/>
              </w:rPr>
              <w:fldChar w:fldCharType="end"/>
            </w:r>
          </w:hyperlink>
        </w:p>
        <w:p w:rsidR="00C91B72" w:rsidRDefault="00C91B72">
          <w:pPr>
            <w:pStyle w:val="Indholdsfortegnelse1"/>
            <w:tabs>
              <w:tab w:val="left" w:pos="440"/>
              <w:tab w:val="right" w:leader="dot" w:pos="9719"/>
            </w:tabs>
            <w:rPr>
              <w:noProof/>
            </w:rPr>
          </w:pPr>
          <w:hyperlink w:anchor="_Toc351103492" w:history="1">
            <w:r w:rsidRPr="00E96771">
              <w:rPr>
                <w:rStyle w:val="Hyperlink"/>
                <w:noProof/>
              </w:rPr>
              <w:t>2</w:t>
            </w:r>
            <w:r>
              <w:rPr>
                <w:noProof/>
              </w:rPr>
              <w:tab/>
            </w:r>
            <w:r w:rsidRPr="00E96771">
              <w:rPr>
                <w:rStyle w:val="Hyperlink"/>
                <w:noProof/>
              </w:rPr>
              <w:t>14.02 Overdrag til inddrivelse</w:t>
            </w:r>
            <w:r>
              <w:rPr>
                <w:noProof/>
                <w:webHidden/>
              </w:rPr>
              <w:tab/>
            </w:r>
            <w:r>
              <w:rPr>
                <w:noProof/>
                <w:webHidden/>
              </w:rPr>
              <w:fldChar w:fldCharType="begin"/>
            </w:r>
            <w:r>
              <w:rPr>
                <w:noProof/>
                <w:webHidden/>
              </w:rPr>
              <w:instrText xml:space="preserve"> PAGEREF _Toc351103492 \h </w:instrText>
            </w:r>
            <w:r>
              <w:rPr>
                <w:noProof/>
                <w:webHidden/>
              </w:rPr>
            </w:r>
            <w:r>
              <w:rPr>
                <w:noProof/>
                <w:webHidden/>
              </w:rPr>
              <w:fldChar w:fldCharType="separate"/>
            </w:r>
            <w:r>
              <w:rPr>
                <w:noProof/>
                <w:webHidden/>
              </w:rPr>
              <w:t>6</w:t>
            </w:r>
            <w:r>
              <w:rPr>
                <w:noProof/>
                <w:webHidden/>
              </w:rPr>
              <w:fldChar w:fldCharType="end"/>
            </w:r>
          </w:hyperlink>
        </w:p>
        <w:p w:rsidR="00C91B72" w:rsidRDefault="00C91B72">
          <w:pPr>
            <w:pStyle w:val="Indholdsfortegnelse2"/>
            <w:tabs>
              <w:tab w:val="left" w:pos="880"/>
              <w:tab w:val="right" w:leader="dot" w:pos="9719"/>
            </w:tabs>
            <w:rPr>
              <w:noProof/>
            </w:rPr>
          </w:pPr>
          <w:hyperlink w:anchor="_Toc351103493" w:history="1">
            <w:r w:rsidRPr="00E96771">
              <w:rPr>
                <w:rStyle w:val="Hyperlink"/>
                <w:noProof/>
              </w:rPr>
              <w:t>2.1</w:t>
            </w:r>
            <w:r>
              <w:rPr>
                <w:noProof/>
              </w:rPr>
              <w:tab/>
            </w:r>
            <w:r w:rsidRPr="00E96771">
              <w:rPr>
                <w:rStyle w:val="Hyperlink"/>
                <w:noProof/>
              </w:rPr>
              <w:t>14.02 Overdrag til inddrivelse</w:t>
            </w:r>
            <w:r>
              <w:rPr>
                <w:noProof/>
                <w:webHidden/>
              </w:rPr>
              <w:tab/>
            </w:r>
            <w:r>
              <w:rPr>
                <w:noProof/>
                <w:webHidden/>
              </w:rPr>
              <w:fldChar w:fldCharType="begin"/>
            </w:r>
            <w:r>
              <w:rPr>
                <w:noProof/>
                <w:webHidden/>
              </w:rPr>
              <w:instrText xml:space="preserve"> PAGEREF _Toc351103493 \h </w:instrText>
            </w:r>
            <w:r>
              <w:rPr>
                <w:noProof/>
                <w:webHidden/>
              </w:rPr>
            </w:r>
            <w:r>
              <w:rPr>
                <w:noProof/>
                <w:webHidden/>
              </w:rPr>
              <w:fldChar w:fldCharType="separate"/>
            </w:r>
            <w:r>
              <w:rPr>
                <w:noProof/>
                <w:webHidden/>
              </w:rPr>
              <w:t>7</w:t>
            </w:r>
            <w:r>
              <w:rPr>
                <w:noProof/>
                <w:webHidden/>
              </w:rPr>
              <w:fldChar w:fldCharType="end"/>
            </w:r>
          </w:hyperlink>
        </w:p>
        <w:p w:rsidR="00C91B72" w:rsidRDefault="00C91B72">
          <w:pPr>
            <w:pStyle w:val="Indholdsfortegnelse1"/>
            <w:tabs>
              <w:tab w:val="left" w:pos="440"/>
              <w:tab w:val="right" w:leader="dot" w:pos="9719"/>
            </w:tabs>
            <w:rPr>
              <w:noProof/>
            </w:rPr>
          </w:pPr>
          <w:hyperlink w:anchor="_Toc351103494" w:history="1">
            <w:r w:rsidRPr="00E96771">
              <w:rPr>
                <w:rStyle w:val="Hyperlink"/>
                <w:noProof/>
              </w:rPr>
              <w:t>3</w:t>
            </w:r>
            <w:r>
              <w:rPr>
                <w:noProof/>
              </w:rPr>
              <w:tab/>
            </w:r>
            <w:r w:rsidRPr="00E96771">
              <w:rPr>
                <w:rStyle w:val="Hyperlink"/>
                <w:noProof/>
              </w:rPr>
              <w:t>18.05 Send optering til inddrivelse</w:t>
            </w:r>
            <w:r>
              <w:rPr>
                <w:noProof/>
                <w:webHidden/>
              </w:rPr>
              <w:tab/>
            </w:r>
            <w:r>
              <w:rPr>
                <w:noProof/>
                <w:webHidden/>
              </w:rPr>
              <w:fldChar w:fldCharType="begin"/>
            </w:r>
            <w:r>
              <w:rPr>
                <w:noProof/>
                <w:webHidden/>
              </w:rPr>
              <w:instrText xml:space="preserve"> PAGEREF _Toc351103494 \h </w:instrText>
            </w:r>
            <w:r>
              <w:rPr>
                <w:noProof/>
                <w:webHidden/>
              </w:rPr>
            </w:r>
            <w:r>
              <w:rPr>
                <w:noProof/>
                <w:webHidden/>
              </w:rPr>
              <w:fldChar w:fldCharType="separate"/>
            </w:r>
            <w:r>
              <w:rPr>
                <w:noProof/>
                <w:webHidden/>
              </w:rPr>
              <w:t>11</w:t>
            </w:r>
            <w:r>
              <w:rPr>
                <w:noProof/>
                <w:webHidden/>
              </w:rPr>
              <w:fldChar w:fldCharType="end"/>
            </w:r>
          </w:hyperlink>
        </w:p>
        <w:p w:rsidR="00C91B72" w:rsidRDefault="00C91B72">
          <w:pPr>
            <w:pStyle w:val="Indholdsfortegnelse2"/>
            <w:tabs>
              <w:tab w:val="left" w:pos="880"/>
              <w:tab w:val="right" w:leader="dot" w:pos="9719"/>
            </w:tabs>
            <w:rPr>
              <w:noProof/>
            </w:rPr>
          </w:pPr>
          <w:hyperlink w:anchor="_Toc351103495" w:history="1">
            <w:r w:rsidRPr="00E96771">
              <w:rPr>
                <w:rStyle w:val="Hyperlink"/>
                <w:noProof/>
              </w:rPr>
              <w:t>3.1</w:t>
            </w:r>
            <w:r>
              <w:rPr>
                <w:noProof/>
              </w:rPr>
              <w:tab/>
            </w:r>
            <w:r w:rsidRPr="00E96771">
              <w:rPr>
                <w:rStyle w:val="Hyperlink"/>
                <w:noProof/>
              </w:rPr>
              <w:t>18.05 Send opdatering til inddrivelse</w:t>
            </w:r>
            <w:r>
              <w:rPr>
                <w:noProof/>
                <w:webHidden/>
              </w:rPr>
              <w:tab/>
            </w:r>
            <w:r>
              <w:rPr>
                <w:noProof/>
                <w:webHidden/>
              </w:rPr>
              <w:fldChar w:fldCharType="begin"/>
            </w:r>
            <w:r>
              <w:rPr>
                <w:noProof/>
                <w:webHidden/>
              </w:rPr>
              <w:instrText xml:space="preserve"> PAGEREF _Toc351103495 \h </w:instrText>
            </w:r>
            <w:r>
              <w:rPr>
                <w:noProof/>
                <w:webHidden/>
              </w:rPr>
            </w:r>
            <w:r>
              <w:rPr>
                <w:noProof/>
                <w:webHidden/>
              </w:rPr>
              <w:fldChar w:fldCharType="separate"/>
            </w:r>
            <w:r>
              <w:rPr>
                <w:noProof/>
                <w:webHidden/>
              </w:rPr>
              <w:t>12</w:t>
            </w:r>
            <w:r>
              <w:rPr>
                <w:noProof/>
                <w:webHidden/>
              </w:rPr>
              <w:fldChar w:fldCharType="end"/>
            </w:r>
          </w:hyperlink>
        </w:p>
        <w:p w:rsidR="00C91B72" w:rsidRDefault="00C91B72">
          <w:r>
            <w:rPr>
              <w:b/>
              <w:bCs/>
            </w:rPr>
            <w:fldChar w:fldCharType="end"/>
          </w:r>
        </w:p>
      </w:sdtContent>
    </w:sdt>
    <w:p w:rsidR="00C91B72" w:rsidRDefault="00C91B72">
      <w:pPr>
        <w:rPr>
          <w:rFonts w:ascii="Arial" w:eastAsia="Times New Roman" w:hAnsi="Arial" w:cs="Arial"/>
          <w:b/>
          <w:bCs/>
          <w:sz w:val="30"/>
          <w:szCs w:val="32"/>
          <w:lang w:eastAsia="da-DK"/>
        </w:rPr>
      </w:pPr>
      <w:r>
        <w:br w:type="page"/>
      </w:r>
    </w:p>
    <w:p w:rsidR="003B68D7" w:rsidRDefault="00C91B72" w:rsidP="00C91B72">
      <w:pPr>
        <w:pStyle w:val="Overskrift1"/>
      </w:pPr>
      <w:bookmarkStart w:id="1" w:name="_Toc351103490"/>
      <w:r>
        <w:rPr>
          <w:noProof/>
        </w:rPr>
        <w:drawing>
          <wp:anchor distT="0" distB="0" distL="114300" distR="114300" simplePos="0" relativeHeight="251658240" behindDoc="1" locked="0" layoutInCell="1" allowOverlap="1" wp14:anchorId="488B153A" wp14:editId="1ABA3773">
            <wp:simplePos x="0" y="0"/>
            <wp:positionH relativeFrom="column">
              <wp:posOffset>-26670</wp:posOffset>
            </wp:positionH>
            <wp:positionV relativeFrom="paragraph">
              <wp:posOffset>324485</wp:posOffset>
            </wp:positionV>
            <wp:extent cx="6177915" cy="3215640"/>
            <wp:effectExtent l="0" t="0" r="0" b="0"/>
            <wp:wrapTight wrapText="bothSides">
              <wp:wrapPolygon edited="0">
                <wp:start x="2131" y="896"/>
                <wp:lineTo x="2131" y="1791"/>
                <wp:lineTo x="9391" y="3199"/>
                <wp:lineTo x="12255" y="3199"/>
                <wp:lineTo x="2731" y="4351"/>
                <wp:lineTo x="1532" y="4607"/>
                <wp:lineTo x="1199" y="6782"/>
                <wp:lineTo x="1265" y="8701"/>
                <wp:lineTo x="3597" y="9341"/>
                <wp:lineTo x="9191" y="9725"/>
                <wp:lineTo x="11656" y="11389"/>
                <wp:lineTo x="12255" y="11389"/>
                <wp:lineTo x="13388" y="13436"/>
                <wp:lineTo x="0" y="13692"/>
                <wp:lineTo x="0" y="20730"/>
                <wp:lineTo x="11323" y="20730"/>
                <wp:lineTo x="11323" y="15483"/>
                <wp:lineTo x="13254" y="15483"/>
                <wp:lineTo x="15919" y="14332"/>
                <wp:lineTo x="15919" y="13436"/>
                <wp:lineTo x="16851" y="11389"/>
                <wp:lineTo x="17451" y="11389"/>
                <wp:lineTo x="19915" y="9725"/>
                <wp:lineTo x="20115" y="9341"/>
                <wp:lineTo x="20714" y="7806"/>
                <wp:lineTo x="20714" y="7166"/>
                <wp:lineTo x="20381" y="6270"/>
                <wp:lineTo x="19981" y="4863"/>
                <wp:lineTo x="17784" y="3455"/>
                <wp:lineTo x="16984" y="3071"/>
                <wp:lineTo x="3064" y="896"/>
                <wp:lineTo x="2131" y="89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3215640"/>
                    </a:xfrm>
                    <a:prstGeom prst="rect">
                      <a:avLst/>
                    </a:prstGeom>
                  </pic:spPr>
                </pic:pic>
              </a:graphicData>
            </a:graphic>
          </wp:anchor>
        </w:drawing>
      </w:r>
      <w:r>
        <w:t>14.01 Modtag opdateringer fra inddrivelse</w:t>
      </w:r>
      <w:bookmarkEnd w:id="1"/>
    </w:p>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p>
        </w:tc>
      </w:tr>
    </w:tbl>
    <w:p w:rsidR="00C91B72" w:rsidRDefault="00C91B72" w:rsidP="00C91B72">
      <w:pPr>
        <w:pStyle w:val="Normal11"/>
        <w:rPr>
          <w:lang w:eastAsia="da-DK"/>
        </w:rPr>
      </w:pPr>
    </w:p>
    <w:p w:rsidR="00C91B72" w:rsidRDefault="00C91B72" w:rsidP="00C91B72">
      <w:pPr>
        <w:pStyle w:val="Normal11"/>
        <w:rPr>
          <w:lang w:eastAsia="da-DK"/>
        </w:rPr>
        <w:sectPr w:rsidR="00C91B72" w:rsidSect="00C91B72">
          <w:headerReference w:type="default" r:id="rId10"/>
          <w:footerReference w:type="default" r:id="rId11"/>
          <w:pgSz w:w="11906" w:h="16838"/>
          <w:pgMar w:top="1417" w:right="986" w:bottom="1417" w:left="1134" w:header="556" w:footer="850" w:gutter="57"/>
          <w:paperSrc w:first="2" w:other="2"/>
          <w:cols w:space="708"/>
          <w:docGrid w:linePitch="360"/>
        </w:sectPr>
      </w:pPr>
    </w:p>
    <w:p w:rsidR="00C91B72" w:rsidRDefault="00C91B72" w:rsidP="00C91B72">
      <w:pPr>
        <w:pStyle w:val="Overskrift2"/>
      </w:pPr>
      <w:bookmarkStart w:id="2" w:name="_Toc351103491"/>
      <w:r>
        <w:lastRenderedPageBreak/>
        <w:t>14.01 Modtag opdateringer fra inddrivelse</w:t>
      </w:r>
      <w:bookmarkEnd w:id="2"/>
    </w:p>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Formål</w:t>
            </w:r>
          </w:p>
          <w:p w:rsidR="00C91B72" w:rsidRDefault="00C91B72" w:rsidP="00C91B72">
            <w:pPr>
              <w:pStyle w:val="Normal11"/>
              <w:rPr>
                <w:lang w:eastAsia="da-DK"/>
              </w:rPr>
            </w:pPr>
            <w:r>
              <w:rPr>
                <w:lang w:eastAsia="da-DK"/>
              </w:rPr>
              <w:t xml:space="preserve">At </w:t>
            </w:r>
            <w:proofErr w:type="gramStart"/>
            <w:r>
              <w:rPr>
                <w:lang w:eastAsia="da-DK"/>
              </w:rPr>
              <w:t>modtage</w:t>
            </w:r>
            <w:proofErr w:type="gramEnd"/>
            <w:r>
              <w:rPr>
                <w:lang w:eastAsia="da-DK"/>
              </w:rPr>
              <w:t xml:space="preserve"> opdateringer om op/nedskrivninger foretaget til inddrivelsesmyndigheden i form af indbetalinger, Afskrivninger og modregninger.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Beskrivelse </w:t>
            </w:r>
          </w:p>
          <w:p w:rsidR="00C91B72" w:rsidRDefault="00C91B72" w:rsidP="00C91B72">
            <w:pPr>
              <w:pStyle w:val="Normal11"/>
              <w:rPr>
                <w:lang w:eastAsia="da-DK"/>
              </w:rPr>
            </w:pPr>
            <w:r>
              <w:rPr>
                <w:lang w:eastAsia="da-DK"/>
              </w:rPr>
              <w:t xml:space="preserve">Håndterer kommunikation fra Inddrivelsesmyndigheden(EFI) til Debitormotoren (DMO).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Når der modtages information om nedskrivning fra EFI skal det fremgå hvilken type dækning der er foretaget (Afskrivning, Indbetaling, </w:t>
            </w:r>
            <w:proofErr w:type="gramStart"/>
            <w:r>
              <w:rPr>
                <w:lang w:eastAsia="da-DK"/>
              </w:rPr>
              <w:t>Modregning) .</w:t>
            </w:r>
            <w:proofErr w:type="gramEnd"/>
            <w:r>
              <w:rPr>
                <w:lang w:eastAsia="da-DK"/>
              </w:rPr>
              <w:t>.</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Indbetaling: Ved modtagelse i Inddrivelsesmyndigheden på fordringer som er overdraget til behandling fra DMO initierer Inddrivelsesmyndigheden at der foretages en tilsvarende nedskrivning af den/de fordringer i DMO som er dækket af Inddrivelsesmyndigheden. Det betyder i praksis, at der ved disse nedskrivninger ikke tages højde for </w:t>
            </w:r>
            <w:proofErr w:type="spellStart"/>
            <w:r>
              <w:rPr>
                <w:lang w:eastAsia="da-DK"/>
              </w:rPr>
              <w:t>DMOs</w:t>
            </w:r>
            <w:proofErr w:type="spellEnd"/>
            <w:r>
              <w:rPr>
                <w:lang w:eastAsia="da-DK"/>
              </w:rPr>
              <w:t xml:space="preserve"> FIFO princip.</w:t>
            </w:r>
          </w:p>
          <w:p w:rsidR="00C91B72" w:rsidRDefault="00C91B72" w:rsidP="00C91B72">
            <w:pPr>
              <w:pStyle w:val="Normal11"/>
              <w:rPr>
                <w:lang w:eastAsia="da-DK"/>
              </w:rPr>
            </w:pP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Afskrivning: Der vil være situationer hvor Inddrivelsesmyndigheden kan foretage afskrivning af fordringer som er overdraget til behandling fra DMO. Det kunne eksempelvis være i forbindelse med gældssaneringer eller andre former for </w:t>
            </w:r>
            <w:proofErr w:type="spellStart"/>
            <w:r>
              <w:rPr>
                <w:lang w:eastAsia="da-DK"/>
              </w:rPr>
              <w:t>bobehandling</w:t>
            </w:r>
            <w:proofErr w:type="spellEnd"/>
            <w:r>
              <w:rPr>
                <w:lang w:eastAsia="da-DK"/>
              </w:rPr>
              <w:t xml:space="preserve">. Ydermere vil der i Inddrivelsesmyndigheden være nogle bagatelgrænser for beløb som er overdraget til Inddrivelse og efterfølgende er nedbragt til et beløb under en vis grænse. Det bevirker, at Inddrivelsesmyndigheden i disse tilfælde initierer at beløb under grænse bliver afskrevet. Inddrivelsesmyndigheden vil initiere at fordringerne afskrives tilsvarende i DMO. Årsag om at afskrivning er foretaget af inddrivelsesmyndigheden oplyses af inddrivelsesmyndigheden og det er herefter muligt at se denne årsag i DMO.. </w:t>
            </w:r>
          </w:p>
          <w:p w:rsidR="00C91B72" w:rsidRDefault="00C91B72" w:rsidP="00C91B72">
            <w:pPr>
              <w:pStyle w:val="Normal11"/>
              <w:rPr>
                <w:lang w:eastAsia="da-DK"/>
              </w:rPr>
            </w:pPr>
            <w:r>
              <w:rPr>
                <w:lang w:eastAsia="da-DK"/>
              </w:rPr>
              <w:t xml:space="preserve">. </w:t>
            </w:r>
          </w:p>
          <w:p w:rsidR="00C91B72" w:rsidRDefault="00C91B72" w:rsidP="00C91B72">
            <w:pPr>
              <w:pStyle w:val="Normal11"/>
              <w:rPr>
                <w:lang w:eastAsia="da-DK"/>
              </w:rPr>
            </w:pPr>
            <w:r>
              <w:rPr>
                <w:lang w:eastAsia="da-DK"/>
              </w:rPr>
              <w:t>Modregning: DMO har i forbindelse med udsendelse af rykker til en kunde samtidig sendt meddelelse til Inddrivelsesmyndigheden om at oprette kunden og dennes fordring/fordringer i modregningsregistret. Modregningsregistret håndteres af inddrivelsesmyndigheden.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kan modregnes, initierer Inddrivelsesmyndigheden at der sker nedskrivning i modregningsregistret og samtidig en tilsvarende nedskrivning i DMO. Meddelelse om nedskrivning skal indeholde oplysning om at nedskrivning er sket som følge af en modregning. Modregningsmeddelelse vil i disse tilfælde blive udsendt fra Inddrivelsesmyndigheden.</w:t>
            </w:r>
          </w:p>
          <w:p w:rsidR="00C91B72" w:rsidRDefault="00C91B72" w:rsidP="00C91B72">
            <w:pPr>
              <w:pStyle w:val="Normal11"/>
              <w:rPr>
                <w:lang w:eastAsia="da-DK"/>
              </w:rPr>
            </w:pPr>
            <w:r>
              <w:rPr>
                <w:lang w:eastAsia="da-DK"/>
              </w:rPr>
              <w:t xml:space="preserve"> </w:t>
            </w:r>
          </w:p>
          <w:p w:rsidR="00C91B72" w:rsidRDefault="00C91B72" w:rsidP="00C91B72">
            <w:pPr>
              <w:pStyle w:val="Normal11"/>
              <w:rPr>
                <w:lang w:eastAsia="da-DK"/>
              </w:rPr>
            </w:pPr>
            <w:r>
              <w:rPr>
                <w:lang w:eastAsia="da-DK"/>
              </w:rPr>
              <w:t xml:space="preserve">Der er valørdatoen på indbetalingen der er afgørende for håndtering af krydsende betalinger. Hvis Skattekontoens indbetalingsdato er ældre eller lig med </w:t>
            </w:r>
            <w:proofErr w:type="spellStart"/>
            <w:r>
              <w:rPr>
                <w:lang w:eastAsia="da-DK"/>
              </w:rPr>
              <w:t>EFI´s</w:t>
            </w:r>
            <w:proofErr w:type="spellEnd"/>
            <w:r>
              <w:rPr>
                <w:lang w:eastAsia="da-DK"/>
              </w:rPr>
              <w:t xml:space="preserve"> indbetalingsdato, vil EFI acceptere Skattekontoens indbetaling. Hvis EFI ikke har accepteret hele indbetalingen (nedskrivningen) vil det fremgå af kvitteringssvaret som så vil indeholde et reduceret beløb. Den videre håndtering heraf er en manuel proces.</w:t>
            </w:r>
          </w:p>
          <w:p w:rsidR="00C91B72" w:rsidRDefault="00C91B72" w:rsidP="00C91B72">
            <w:pPr>
              <w:pStyle w:val="Normal11"/>
              <w:rPr>
                <w:lang w:eastAsia="da-DK"/>
              </w:rPr>
            </w:pPr>
          </w:p>
          <w:p w:rsidR="00C91B72" w:rsidRDefault="00C91B72" w:rsidP="00C91B72">
            <w:pPr>
              <w:pStyle w:val="Normal11"/>
              <w:rPr>
                <w:lang w:eastAsia="da-DK"/>
              </w:rPr>
            </w:pPr>
            <w:r>
              <w:rPr>
                <w:lang w:eastAsia="da-DK"/>
              </w:rPr>
              <w:t>Hvis DMO foretager en nedskrivning med årsag REGU (en afskrivning) er hovedreglen at EFI altid vil acceptere en nedskrivning med årsag afskrivning, da virkningsdagen altid vil være lig SRB/oversendelsesdagen.</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Hvis der sker indbetalinger eller modregninger fra inddrivelse og der samtidig er sket en bevægelse på den/de fordringer som forventedes dækket, vil beløbet blive placeret på konto for ikke placerbare indbetalinger til manuel behandling.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Inddrivelsesmyndigheden og Statsregnskabet, og </w:t>
            </w:r>
            <w:proofErr w:type="gramStart"/>
            <w:r>
              <w:rPr>
                <w:lang w:eastAsia="da-DK"/>
              </w:rPr>
              <w:t>påvirker  dermed</w:t>
            </w:r>
            <w:proofErr w:type="gramEnd"/>
            <w:r>
              <w:rPr>
                <w:lang w:eastAsia="da-DK"/>
              </w:rPr>
              <w:t xml:space="preserve"> ikke kunden konto. Kunden vil derfor ikke kunne se sine inddrivelsesrenter på sin konto.</w:t>
            </w:r>
          </w:p>
          <w:p w:rsidR="00C91B72" w:rsidRDefault="00C91B72" w:rsidP="00C91B72">
            <w:pPr>
              <w:pStyle w:val="Normal11"/>
              <w:rPr>
                <w:lang w:eastAsia="da-DK"/>
              </w:rPr>
            </w:pPr>
          </w:p>
          <w:p w:rsidR="00C91B72" w:rsidRDefault="00C91B72" w:rsidP="00C91B72">
            <w:pPr>
              <w:pStyle w:val="Normal11"/>
              <w:rPr>
                <w:lang w:eastAsia="da-DK"/>
              </w:rPr>
            </w:pPr>
            <w:r>
              <w:rPr>
                <w:lang w:eastAsia="da-DK"/>
              </w:rPr>
              <w:t>Korrektioner: 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DMO behandles således:</w:t>
            </w:r>
          </w:p>
          <w:p w:rsidR="00C91B72" w:rsidRDefault="00C91B72" w:rsidP="00C91B72">
            <w:pPr>
              <w:pStyle w:val="Normal11"/>
              <w:rPr>
                <w:lang w:eastAsia="da-DK"/>
              </w:rPr>
            </w:pPr>
            <w:r>
              <w:rPr>
                <w:lang w:eastAsia="da-DK"/>
              </w:rPr>
              <w:t xml:space="preserve">Fordringen nedskrives til 0 i </w:t>
            </w:r>
            <w:proofErr w:type="gramStart"/>
            <w:r>
              <w:rPr>
                <w:lang w:eastAsia="da-DK"/>
              </w:rPr>
              <w:t>EFI  ved</w:t>
            </w:r>
            <w:proofErr w:type="gramEnd"/>
            <w:r>
              <w:rPr>
                <w:lang w:eastAsia="da-DK"/>
              </w:rPr>
              <w:t xml:space="preserve"> dels at nedskrive fordringen og dels at regulere den tidligere foretagne indbetaling/nedskrivning, og for meget indbetalt forbliver i DMO.</w:t>
            </w:r>
          </w:p>
          <w:p w:rsidR="00C91B72" w:rsidRDefault="00C91B72" w:rsidP="00C91B72">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EFI behandles således:</w:t>
            </w:r>
          </w:p>
          <w:p w:rsidR="00C91B72" w:rsidRDefault="00C91B72" w:rsidP="00C91B72">
            <w:pPr>
              <w:pStyle w:val="Normal11"/>
              <w:rPr>
                <w:lang w:eastAsia="da-DK"/>
              </w:rPr>
            </w:pPr>
            <w:r>
              <w:rPr>
                <w:lang w:eastAsia="da-DK"/>
              </w:rPr>
              <w:t>Fordringen nedskrives til 0 i EFI og indbetalingen skal "rulles" tilbage til EFI via mellemregning.</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Hæftelse: Bemærk, at hæftelse og </w:t>
            </w:r>
            <w:proofErr w:type="spellStart"/>
            <w:r>
              <w:rPr>
                <w:lang w:eastAsia="da-DK"/>
              </w:rPr>
              <w:t>hæftere</w:t>
            </w:r>
            <w:proofErr w:type="spellEnd"/>
            <w:r>
              <w:rPr>
                <w:lang w:eastAsia="da-DK"/>
              </w:rPr>
              <w:t xml:space="preserve"> ikke er beskrevet i denne </w:t>
            </w:r>
            <w:proofErr w:type="spellStart"/>
            <w:r>
              <w:rPr>
                <w:lang w:eastAsia="da-DK"/>
              </w:rPr>
              <w:t>use</w:t>
            </w:r>
            <w:proofErr w:type="spellEnd"/>
            <w:r>
              <w:rPr>
                <w:lang w:eastAsia="da-DK"/>
              </w:rPr>
              <w:t xml:space="preserve"> case. Konsekvenser og handler i forbindelse med hæftelse og </w:t>
            </w:r>
            <w:proofErr w:type="spellStart"/>
            <w:r>
              <w:rPr>
                <w:lang w:eastAsia="da-DK"/>
              </w:rPr>
              <w:t>hæftere</w:t>
            </w:r>
            <w:proofErr w:type="spellEnd"/>
            <w:r>
              <w:rPr>
                <w:lang w:eastAsia="da-DK"/>
              </w:rPr>
              <w:t xml:space="preserve"> er beskrevet i </w:t>
            </w:r>
            <w:proofErr w:type="spellStart"/>
            <w:r>
              <w:rPr>
                <w:lang w:eastAsia="da-DK"/>
              </w:rPr>
              <w:t>use</w:t>
            </w:r>
            <w:proofErr w:type="spellEnd"/>
            <w:r>
              <w:rPr>
                <w:lang w:eastAsia="da-DK"/>
              </w:rPr>
              <w:t xml:space="preserve"> case 12.04 ryk konto og </w:t>
            </w:r>
            <w:proofErr w:type="spellStart"/>
            <w:r>
              <w:rPr>
                <w:lang w:eastAsia="da-DK"/>
              </w:rPr>
              <w:t>use</w:t>
            </w:r>
            <w:proofErr w:type="spellEnd"/>
            <w:r>
              <w:rPr>
                <w:lang w:eastAsia="da-DK"/>
              </w:rPr>
              <w:t xml:space="preserve"> case 12.10 modtag indbetaling og dæk fordring.</w:t>
            </w:r>
          </w:p>
          <w:p w:rsidR="00C91B72" w:rsidRDefault="00C91B72" w:rsidP="00C91B72">
            <w:pPr>
              <w:pStyle w:val="Normal11"/>
              <w:rPr>
                <w:lang w:eastAsia="da-DK"/>
              </w:rPr>
            </w:pP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Frekvens</w:t>
            </w:r>
          </w:p>
          <w:p w:rsidR="00C91B72" w:rsidRPr="00C91B72" w:rsidRDefault="00C91B72" w:rsidP="00C91B72">
            <w:pPr>
              <w:pStyle w:val="Normal11"/>
              <w:rPr>
                <w:lang w:eastAsia="da-DK"/>
              </w:rPr>
            </w:pPr>
            <w:r>
              <w:rPr>
                <w:lang w:eastAsia="da-DK"/>
              </w:rPr>
              <w:t>Ad hoc</w:t>
            </w: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Aktører</w:t>
            </w:r>
          </w:p>
          <w:p w:rsidR="00C91B72" w:rsidRPr="00C91B72" w:rsidRDefault="00C91B72" w:rsidP="00C91B72">
            <w:pPr>
              <w:pStyle w:val="Normal11"/>
              <w:rPr>
                <w:lang w:eastAsia="da-DK"/>
              </w:rPr>
            </w:pPr>
            <w:r>
              <w:rPr>
                <w:lang w:eastAsia="da-DK"/>
              </w:rPr>
              <w:t>Tid</w:t>
            </w: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Startbetingelser</w:t>
            </w:r>
          </w:p>
          <w:p w:rsidR="00C91B72" w:rsidRPr="00C91B72" w:rsidRDefault="00C91B72" w:rsidP="00C91B72">
            <w:pPr>
              <w:pStyle w:val="Normal11"/>
              <w:rPr>
                <w:lang w:eastAsia="da-DK"/>
              </w:rPr>
            </w:pPr>
            <w:r>
              <w:rPr>
                <w:lang w:eastAsia="da-DK"/>
              </w:rPr>
              <w:t xml:space="preserve">At der er modtaget opdateringer fra inddrivelsesmyndigheden. </w:t>
            </w:r>
          </w:p>
        </w:tc>
      </w:tr>
    </w:tbl>
    <w:p w:rsidR="00C91B72" w:rsidRDefault="00C91B72" w:rsidP="00C91B72">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91B72" w:rsidTr="00C91B72">
        <w:tblPrEx>
          <w:tblCellMar>
            <w:top w:w="0" w:type="dxa"/>
            <w:bottom w:w="0" w:type="dxa"/>
          </w:tblCellMar>
        </w:tblPrEx>
        <w:tc>
          <w:tcPr>
            <w:tcW w:w="9909" w:type="dxa"/>
            <w:gridSpan w:val="3"/>
          </w:tcPr>
          <w:p w:rsidR="00C91B72" w:rsidRPr="00C91B72" w:rsidRDefault="00C91B72" w:rsidP="00C91B72">
            <w:pPr>
              <w:pStyle w:val="Normal11"/>
              <w:rPr>
                <w:lang w:eastAsia="da-DK"/>
              </w:rPr>
            </w:pPr>
            <w:r>
              <w:rPr>
                <w:b/>
                <w:lang w:eastAsia="da-DK"/>
              </w:rPr>
              <w:t>Hovedvej</w:t>
            </w:r>
          </w:p>
        </w:tc>
      </w:tr>
      <w:tr w:rsidR="00C91B72" w:rsidTr="00C91B72">
        <w:tblPrEx>
          <w:tblCellMar>
            <w:top w:w="0" w:type="dxa"/>
            <w:bottom w:w="0" w:type="dxa"/>
          </w:tblCellMar>
        </w:tblPrEx>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Aktør</w:t>
            </w:r>
          </w:p>
        </w:tc>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Løsning</w:t>
            </w:r>
          </w:p>
        </w:tc>
        <w:tc>
          <w:tcPr>
            <w:tcW w:w="3197" w:type="dxa"/>
            <w:shd w:val="pct20" w:color="auto" w:fill="0000FF"/>
          </w:tcPr>
          <w:p w:rsidR="00C91B72" w:rsidRPr="00C91B72" w:rsidRDefault="00C91B72" w:rsidP="00C91B72">
            <w:pPr>
              <w:pStyle w:val="Normal11"/>
              <w:rPr>
                <w:color w:val="FFFFFF"/>
                <w:lang w:eastAsia="da-DK"/>
              </w:rPr>
            </w:pPr>
            <w:r>
              <w:rPr>
                <w:color w:val="FFFFFF"/>
                <w:lang w:eastAsia="da-DK"/>
              </w:rPr>
              <w:t>Service/Service operationer</w:t>
            </w: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lang w:eastAsia="da-DK"/>
              </w:rPr>
            </w:pPr>
            <w:r>
              <w:rPr>
                <w:b/>
                <w:lang w:eastAsia="da-DK"/>
              </w:rPr>
              <w:t>Trin 1: Modtag information fra Inddrivelsesmyndigheden</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lang w:eastAsia="da-DK"/>
              </w:rPr>
            </w:pPr>
            <w:r>
              <w:rPr>
                <w:lang w:eastAsia="da-DK"/>
              </w:rPr>
              <w:t xml:space="preserve">Modtag information (opdatering) om indbetalinger, afskrivninger, nedskrivninger fra Inddrivelsesmyndigheden. </w:t>
            </w:r>
          </w:p>
        </w:tc>
        <w:tc>
          <w:tcPr>
            <w:tcW w:w="3197" w:type="dxa"/>
            <w:shd w:val="clear" w:color="auto" w:fill="FFFFFF"/>
          </w:tcPr>
          <w:p w:rsidR="00C91B72" w:rsidRDefault="00C91B72" w:rsidP="00C91B72">
            <w:pPr>
              <w:pStyle w:val="Normal11"/>
              <w:rPr>
                <w:lang w:eastAsia="da-DK"/>
              </w:rPr>
            </w:pPr>
            <w:proofErr w:type="spellStart"/>
            <w:r>
              <w:rPr>
                <w:lang w:eastAsia="da-DK"/>
              </w:rPr>
              <w:t>EFI</w:t>
            </w:r>
            <w:proofErr w:type="gramStart"/>
            <w:r>
              <w:rPr>
                <w:lang w:eastAsia="da-DK"/>
              </w:rPr>
              <w:t>.MFUnderretSamlingHent</w:t>
            </w:r>
            <w:proofErr w:type="spellEnd"/>
            <w:proofErr w:type="gramEnd"/>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lang w:eastAsia="da-DK"/>
              </w:rPr>
            </w:pPr>
            <w:r>
              <w:rPr>
                <w:b/>
                <w:lang w:eastAsia="da-DK"/>
              </w:rPr>
              <w:t>Trin 2: Behandl underretninger</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lang w:eastAsia="da-DK"/>
              </w:rPr>
            </w:pPr>
            <w:r>
              <w:rPr>
                <w:lang w:eastAsia="da-DK"/>
              </w:rPr>
              <w:t xml:space="preserve">Behandler de informationer som er modtaget </w:t>
            </w:r>
            <w:proofErr w:type="gramStart"/>
            <w:r>
              <w:rPr>
                <w:lang w:eastAsia="da-DK"/>
              </w:rPr>
              <w:t>i  Trin</w:t>
            </w:r>
            <w:proofErr w:type="gramEnd"/>
            <w:r>
              <w:rPr>
                <w:lang w:eastAsia="da-DK"/>
              </w:rPr>
              <w:t xml:space="preserve"> 1: Modtag information fra Inddrivelsesmyndigheden </w:t>
            </w:r>
          </w:p>
        </w:tc>
        <w:tc>
          <w:tcPr>
            <w:tcW w:w="3197" w:type="dxa"/>
            <w:shd w:val="clear" w:color="auto" w:fill="FFFFFF"/>
          </w:tcPr>
          <w:p w:rsidR="00C91B72" w:rsidRDefault="00C91B72" w:rsidP="00C91B72">
            <w:pPr>
              <w:pStyle w:val="Normal11"/>
              <w:rPr>
                <w:lang w:eastAsia="da-DK"/>
              </w:rPr>
            </w:pP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r>
              <w:rPr>
                <w:color w:val="000000"/>
                <w:lang w:eastAsia="da-DK"/>
              </w:rPr>
              <w:t>[Opdatering kan ikke foretages]</w:t>
            </w:r>
          </w:p>
        </w:tc>
        <w:tc>
          <w:tcPr>
            <w:tcW w:w="3356" w:type="dxa"/>
            <w:shd w:val="clear" w:color="auto" w:fill="FFFFFF"/>
          </w:tcPr>
          <w:p w:rsidR="00C91B72" w:rsidRDefault="00C91B72" w:rsidP="00C91B72">
            <w:pPr>
              <w:pStyle w:val="Normal11"/>
              <w:rPr>
                <w:lang w:eastAsia="da-DK"/>
              </w:rPr>
            </w:pPr>
          </w:p>
        </w:tc>
        <w:tc>
          <w:tcPr>
            <w:tcW w:w="3197" w:type="dxa"/>
            <w:shd w:val="clear" w:color="auto" w:fill="FFFFFF"/>
          </w:tcPr>
          <w:p w:rsidR="00C91B72" w:rsidRDefault="00C91B72" w:rsidP="00C91B72">
            <w:pPr>
              <w:pStyle w:val="Normal11"/>
              <w:rPr>
                <w:lang w:eastAsia="da-DK"/>
              </w:rPr>
            </w:pP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lang w:eastAsia="da-DK"/>
              </w:rPr>
            </w:pPr>
            <w:r>
              <w:rPr>
                <w:b/>
                <w:lang w:eastAsia="da-DK"/>
              </w:rPr>
              <w:t>Trin 3: Opret posteringer på kundes konto</w:t>
            </w:r>
          </w:p>
        </w:tc>
      </w:tr>
      <w:tr w:rsidR="00C91B72" w:rsidTr="00C91B72">
        <w:tblPrEx>
          <w:tblCellMar>
            <w:top w:w="0" w:type="dxa"/>
            <w:bottom w:w="0" w:type="dxa"/>
          </w:tblCellMar>
        </w:tblPrEx>
        <w:tc>
          <w:tcPr>
            <w:tcW w:w="3356" w:type="dxa"/>
            <w:shd w:val="clear" w:color="auto" w:fill="FFFFFF"/>
          </w:tcPr>
          <w:p w:rsid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lang w:eastAsia="da-DK"/>
              </w:rPr>
            </w:pPr>
            <w:r>
              <w:rPr>
                <w:lang w:eastAsia="da-DK"/>
              </w:rPr>
              <w:t xml:space="preserve">Der sker en opdatering af kundens konto i forhold til de oplysninger, der er modtaget. </w:t>
            </w:r>
          </w:p>
        </w:tc>
        <w:tc>
          <w:tcPr>
            <w:tcW w:w="3197" w:type="dxa"/>
            <w:shd w:val="clear" w:color="auto" w:fill="FFFFFF"/>
          </w:tcPr>
          <w:p w:rsidR="00C91B72" w:rsidRDefault="00C91B72" w:rsidP="00C91B72">
            <w:pPr>
              <w:pStyle w:val="Normal11"/>
              <w:rPr>
                <w:lang w:eastAsia="da-DK"/>
              </w:rPr>
            </w:pPr>
          </w:p>
        </w:tc>
      </w:tr>
    </w:tbl>
    <w:p w:rsidR="00C91B72" w:rsidRDefault="00C91B72" w:rsidP="00C91B72">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91B72" w:rsidTr="00C91B72">
        <w:tblPrEx>
          <w:tblCellMar>
            <w:top w:w="0" w:type="dxa"/>
            <w:bottom w:w="0" w:type="dxa"/>
          </w:tblCellMar>
        </w:tblPrEx>
        <w:tc>
          <w:tcPr>
            <w:tcW w:w="9909" w:type="dxa"/>
            <w:gridSpan w:val="3"/>
          </w:tcPr>
          <w:p w:rsidR="00C91B72" w:rsidRPr="00C91B72" w:rsidRDefault="00C91B72" w:rsidP="00C91B72">
            <w:pPr>
              <w:pStyle w:val="Normal11"/>
              <w:rPr>
                <w:lang w:eastAsia="da-DK"/>
              </w:rPr>
            </w:pPr>
            <w:r>
              <w:rPr>
                <w:b/>
                <w:lang w:eastAsia="da-DK"/>
              </w:rPr>
              <w:t>Undtagelser</w:t>
            </w:r>
          </w:p>
        </w:tc>
      </w:tr>
      <w:tr w:rsidR="00C91B72" w:rsidTr="00C91B72">
        <w:tblPrEx>
          <w:tblCellMar>
            <w:top w:w="0" w:type="dxa"/>
            <w:bottom w:w="0" w:type="dxa"/>
          </w:tblCellMar>
        </w:tblPrEx>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Aktør</w:t>
            </w:r>
          </w:p>
        </w:tc>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Løsning</w:t>
            </w:r>
          </w:p>
        </w:tc>
        <w:tc>
          <w:tcPr>
            <w:tcW w:w="3197" w:type="dxa"/>
            <w:shd w:val="pct20" w:color="auto" w:fill="0000FF"/>
          </w:tcPr>
          <w:p w:rsidR="00C91B72" w:rsidRPr="00C91B72" w:rsidRDefault="00C91B72" w:rsidP="00C91B72">
            <w:pPr>
              <w:pStyle w:val="Normal11"/>
              <w:rPr>
                <w:color w:val="FFFFFF"/>
                <w:lang w:eastAsia="da-DK"/>
              </w:rPr>
            </w:pPr>
            <w:r>
              <w:rPr>
                <w:color w:val="FFFFFF"/>
                <w:lang w:eastAsia="da-DK"/>
              </w:rPr>
              <w:t>Service/Service operationer</w:t>
            </w: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color w:val="000000"/>
                <w:lang w:eastAsia="da-DK"/>
              </w:rPr>
            </w:pPr>
            <w:r>
              <w:rPr>
                <w:b/>
                <w:color w:val="000000"/>
                <w:lang w:eastAsia="da-DK"/>
              </w:rPr>
              <w:t>Opdatering kan ikke foretages</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Pr="00C91B72" w:rsidRDefault="00C91B72" w:rsidP="00C91B72">
            <w:pPr>
              <w:pStyle w:val="Normal11"/>
              <w:rPr>
                <w:color w:val="000000"/>
                <w:lang w:eastAsia="da-DK"/>
              </w:rPr>
            </w:pPr>
            <w:r>
              <w:rPr>
                <w:color w:val="000000"/>
                <w:lang w:eastAsia="da-DK"/>
              </w:rPr>
              <w:t>Det er ikke muligt at opdatere fordring og beløbet placeres derfor på liste over ikke placerbare indbetalinger</w:t>
            </w:r>
          </w:p>
        </w:tc>
        <w:tc>
          <w:tcPr>
            <w:tcW w:w="3197" w:type="dxa"/>
            <w:shd w:val="clear" w:color="auto" w:fill="FFFFFF"/>
          </w:tcPr>
          <w:p w:rsidR="00C91B72" w:rsidRPr="00C91B72" w:rsidRDefault="00C91B72" w:rsidP="00C91B72">
            <w:pPr>
              <w:pStyle w:val="Normal11"/>
              <w:rPr>
                <w:color w:val="000000"/>
                <w:lang w:eastAsia="da-DK"/>
              </w:rPr>
            </w:pP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color w:val="000000"/>
                <w:lang w:eastAsia="da-DK"/>
              </w:rPr>
            </w:pPr>
          </w:p>
        </w:tc>
        <w:tc>
          <w:tcPr>
            <w:tcW w:w="3197" w:type="dxa"/>
            <w:shd w:val="clear" w:color="auto" w:fill="FFFFFF"/>
          </w:tcPr>
          <w:p w:rsidR="00C91B72" w:rsidRPr="00C91B72" w:rsidRDefault="00C91B72" w:rsidP="00C91B72">
            <w:pPr>
              <w:pStyle w:val="Normal11"/>
              <w:rPr>
                <w:color w:val="000000"/>
                <w:lang w:eastAsia="da-DK"/>
              </w:rPr>
            </w:pPr>
          </w:p>
        </w:tc>
      </w:tr>
    </w:tbl>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Slutbetingelser</w:t>
            </w:r>
          </w:p>
          <w:p w:rsidR="00C91B72" w:rsidRDefault="00C91B72" w:rsidP="00C91B72">
            <w:pPr>
              <w:pStyle w:val="Normal11"/>
              <w:rPr>
                <w:lang w:eastAsia="da-DK"/>
              </w:rPr>
            </w:pPr>
            <w:r>
              <w:rPr>
                <w:lang w:eastAsia="da-DK"/>
              </w:rPr>
              <w:t>At restbeløb på fordringer under inddrivelse er opdateret i opkrævningen således at det sikres, at beløbet i henholdsvis DM og EFI er identiske.</w:t>
            </w:r>
          </w:p>
          <w:p w:rsidR="00C91B72" w:rsidRDefault="00C91B72" w:rsidP="00C91B72">
            <w:pPr>
              <w:pStyle w:val="Normal11"/>
              <w:rPr>
                <w:lang w:eastAsia="da-DK"/>
              </w:rPr>
            </w:pPr>
          </w:p>
          <w:p w:rsidR="00C91B72" w:rsidRDefault="00C91B72" w:rsidP="00C91B72">
            <w:pPr>
              <w:pStyle w:val="Normal11"/>
              <w:rPr>
                <w:lang w:eastAsia="da-DK"/>
              </w:rPr>
            </w:pPr>
            <w:r>
              <w:rPr>
                <w:lang w:eastAsia="da-DK"/>
              </w:rPr>
              <w:t>At beløb som ikke kan nedskrives som forventet fra Inddrivelsesmyndigheden, er placeret på en konto for ikke placerbare indbetalinger</w:t>
            </w:r>
          </w:p>
          <w:p w:rsidR="00C91B72" w:rsidRDefault="00C91B72" w:rsidP="00C91B72">
            <w:pPr>
              <w:pStyle w:val="Normal11"/>
              <w:rPr>
                <w:lang w:eastAsia="da-DK"/>
              </w:rPr>
            </w:pPr>
          </w:p>
          <w:p w:rsidR="00C91B72" w:rsidRPr="00C91B72" w:rsidRDefault="00C91B72" w:rsidP="00C91B72">
            <w:pPr>
              <w:pStyle w:val="Normal11"/>
              <w:rPr>
                <w:lang w:eastAsia="da-DK"/>
              </w:rPr>
            </w:pPr>
            <w:r>
              <w:rPr>
                <w:lang w:eastAsia="da-DK"/>
              </w:rPr>
              <w:t>Der er foretaget de relevante regnskabsmæssige posteringer</w:t>
            </w: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Noter</w:t>
            </w: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Servicebeskrivelse</w:t>
            </w:r>
          </w:p>
          <w:p w:rsidR="00C91B72" w:rsidRPr="00C91B72" w:rsidRDefault="00C91B72" w:rsidP="00C91B72">
            <w:pPr>
              <w:pStyle w:val="Normal11"/>
              <w:rPr>
                <w:lang w:eastAsia="da-DK"/>
              </w:rPr>
            </w:pPr>
          </w:p>
        </w:tc>
      </w:tr>
    </w:tbl>
    <w:p w:rsidR="00C91B72" w:rsidRDefault="00C91B72" w:rsidP="00C91B72">
      <w:pPr>
        <w:pStyle w:val="Normal11"/>
        <w:rPr>
          <w:lang w:eastAsia="da-DK"/>
        </w:rPr>
        <w:sectPr w:rsidR="00C91B72" w:rsidSect="00C91B72">
          <w:pgSz w:w="11906" w:h="16838"/>
          <w:pgMar w:top="1417" w:right="986" w:bottom="1417" w:left="1134" w:header="556" w:footer="850" w:gutter="57"/>
          <w:paperSrc w:first="2" w:other="2"/>
          <w:cols w:space="708"/>
          <w:docGrid w:linePitch="360"/>
        </w:sectPr>
      </w:pPr>
    </w:p>
    <w:p w:rsidR="00C91B72" w:rsidRDefault="00C91B72" w:rsidP="00C91B72">
      <w:pPr>
        <w:pStyle w:val="Overskrift1"/>
      </w:pPr>
      <w:bookmarkStart w:id="3" w:name="_Toc351103492"/>
      <w:r>
        <w:t>14.02 Overdrag til inddrivelse</w:t>
      </w:r>
      <w:bookmarkEnd w:id="3"/>
    </w:p>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noProof/>
                <w:lang w:eastAsia="da-DK"/>
              </w:rPr>
              <w:drawing>
                <wp:anchor distT="0" distB="0" distL="114300" distR="114300" simplePos="0" relativeHeight="251659264" behindDoc="1" locked="0" layoutInCell="1" allowOverlap="1" wp14:anchorId="6A0E59AF" wp14:editId="43938C9B">
                  <wp:simplePos x="0" y="0"/>
                  <wp:positionH relativeFrom="column">
                    <wp:posOffset>2540</wp:posOffset>
                  </wp:positionH>
                  <wp:positionV relativeFrom="paragraph">
                    <wp:posOffset>-852805</wp:posOffset>
                  </wp:positionV>
                  <wp:extent cx="5761990" cy="7152640"/>
                  <wp:effectExtent l="0" t="0" r="0" b="0"/>
                  <wp:wrapTight wrapText="bothSides">
                    <wp:wrapPolygon edited="0">
                      <wp:start x="13711" y="1093"/>
                      <wp:lineTo x="3214" y="1496"/>
                      <wp:lineTo x="1642" y="1611"/>
                      <wp:lineTo x="1571" y="2416"/>
                      <wp:lineTo x="1642" y="3624"/>
                      <wp:lineTo x="5213" y="3969"/>
                      <wp:lineTo x="10569" y="3969"/>
                      <wp:lineTo x="12854" y="4890"/>
                      <wp:lineTo x="2499" y="4947"/>
                      <wp:lineTo x="2499" y="5293"/>
                      <wp:lineTo x="11997" y="5810"/>
                      <wp:lineTo x="8284" y="9492"/>
                      <wp:lineTo x="3142" y="9895"/>
                      <wp:lineTo x="3142" y="10298"/>
                      <wp:lineTo x="4713" y="10585"/>
                      <wp:lineTo x="3928" y="10815"/>
                      <wp:lineTo x="3928" y="11333"/>
                      <wp:lineTo x="4570" y="12254"/>
                      <wp:lineTo x="2928" y="12369"/>
                      <wp:lineTo x="2928" y="12484"/>
                      <wp:lineTo x="4642" y="13174"/>
                      <wp:lineTo x="4071" y="14094"/>
                      <wp:lineTo x="2999" y="15418"/>
                      <wp:lineTo x="10783" y="15935"/>
                      <wp:lineTo x="10783" y="16856"/>
                      <wp:lineTo x="0" y="17374"/>
                      <wp:lineTo x="0" y="20653"/>
                      <wp:lineTo x="12497" y="20653"/>
                      <wp:lineTo x="12640" y="17546"/>
                      <wp:lineTo x="12354" y="17374"/>
                      <wp:lineTo x="10712" y="16856"/>
                      <wp:lineTo x="10783" y="15935"/>
                      <wp:lineTo x="9069" y="15820"/>
                      <wp:lineTo x="6570" y="15303"/>
                      <wp:lineTo x="5499" y="14094"/>
                      <wp:lineTo x="4927" y="13174"/>
                      <wp:lineTo x="6641" y="12484"/>
                      <wp:lineTo x="6641" y="12369"/>
                      <wp:lineTo x="4999" y="12254"/>
                      <wp:lineTo x="5570" y="11333"/>
                      <wp:lineTo x="6427" y="11333"/>
                      <wp:lineTo x="7713" y="10758"/>
                      <wp:lineTo x="7713" y="10413"/>
                      <wp:lineTo x="12283" y="5810"/>
                      <wp:lineTo x="15996" y="5753"/>
                      <wp:lineTo x="16354" y="5695"/>
                      <wp:lineTo x="16139" y="4890"/>
                      <wp:lineTo x="19139" y="3969"/>
                      <wp:lineTo x="19424" y="3969"/>
                      <wp:lineTo x="20567" y="3222"/>
                      <wp:lineTo x="20638" y="2991"/>
                      <wp:lineTo x="20424" y="2474"/>
                      <wp:lineTo x="20067" y="2129"/>
                      <wp:lineTo x="20138" y="1898"/>
                      <wp:lineTo x="17210" y="1266"/>
                      <wp:lineTo x="15996" y="1093"/>
                      <wp:lineTo x="13711" y="1093"/>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990" cy="7152640"/>
                          </a:xfrm>
                          <a:prstGeom prst="rect">
                            <a:avLst/>
                          </a:prstGeom>
                        </pic:spPr>
                      </pic:pic>
                    </a:graphicData>
                  </a:graphic>
                </wp:anchor>
              </w:drawing>
            </w:r>
          </w:p>
        </w:tc>
      </w:tr>
    </w:tbl>
    <w:p w:rsidR="00C91B72" w:rsidRDefault="00C91B72" w:rsidP="00C91B72">
      <w:pPr>
        <w:pStyle w:val="Normal11"/>
        <w:rPr>
          <w:lang w:eastAsia="da-DK"/>
        </w:rPr>
      </w:pPr>
    </w:p>
    <w:p w:rsidR="00C91B72" w:rsidRDefault="00C91B72" w:rsidP="00C91B72">
      <w:pPr>
        <w:pStyle w:val="Normal11"/>
        <w:rPr>
          <w:lang w:eastAsia="da-DK"/>
        </w:rPr>
        <w:sectPr w:rsidR="00C91B72" w:rsidSect="00C91B72">
          <w:pgSz w:w="11906" w:h="16838"/>
          <w:pgMar w:top="1417" w:right="986" w:bottom="1417" w:left="1134" w:header="556" w:footer="850" w:gutter="57"/>
          <w:paperSrc w:first="2" w:other="2"/>
          <w:cols w:space="708"/>
          <w:docGrid w:linePitch="360"/>
        </w:sectPr>
      </w:pPr>
    </w:p>
    <w:p w:rsidR="00C91B72" w:rsidRDefault="00C91B72" w:rsidP="00C91B72">
      <w:pPr>
        <w:pStyle w:val="Overskrift2"/>
      </w:pPr>
      <w:bookmarkStart w:id="4" w:name="_Toc351103493"/>
      <w:r>
        <w:t>14.02 Overdrag til inddrivelse</w:t>
      </w:r>
      <w:bookmarkEnd w:id="4"/>
    </w:p>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Formål</w:t>
            </w:r>
          </w:p>
          <w:p w:rsidR="00C91B72" w:rsidRDefault="00C91B72" w:rsidP="00C91B72">
            <w:pPr>
              <w:pStyle w:val="Normal11"/>
              <w:rPr>
                <w:lang w:eastAsia="da-DK"/>
              </w:rPr>
            </w:pPr>
            <w:r>
              <w:rPr>
                <w:lang w:eastAsia="da-DK"/>
              </w:rPr>
              <w:t>At få overdraget fordringer til inddrivelse ud fra de gældende retningslinjer for iværksættelse af inddrivelsesskridt og hermed at minimere risiko for at staten lider tab.</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Beskrivelse </w:t>
            </w:r>
          </w:p>
          <w:p w:rsidR="00C91B72" w:rsidRDefault="00C91B72" w:rsidP="00C91B72">
            <w:pPr>
              <w:pStyle w:val="Normal11"/>
              <w:rPr>
                <w:lang w:eastAsia="da-DK"/>
              </w:rPr>
            </w:pPr>
            <w:r>
              <w:rPr>
                <w:lang w:eastAsia="da-DK"/>
              </w:rPr>
              <w:t>Der er en række betingelser der skal være opfyldte før overdragelse til inddrivelse kan ske. Nedenfor er beskrevet nogle situationer. Det er specifikt angivet i de enkelte startbetingelser</w:t>
            </w:r>
          </w:p>
          <w:p w:rsidR="00C91B72" w:rsidRDefault="00C91B72" w:rsidP="00C91B72">
            <w:pPr>
              <w:pStyle w:val="Normal11"/>
              <w:rPr>
                <w:lang w:eastAsia="da-DK"/>
              </w:rPr>
            </w:pPr>
          </w:p>
          <w:p w:rsidR="00C91B72" w:rsidRDefault="00C91B72" w:rsidP="00C91B72">
            <w:pPr>
              <w:pStyle w:val="Normal11"/>
              <w:rPr>
                <w:lang w:eastAsia="da-DK"/>
              </w:rPr>
            </w:pPr>
            <w:r>
              <w:rPr>
                <w:lang w:eastAsia="da-DK"/>
              </w:rP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rsidR="00C91B72" w:rsidRDefault="00C91B72" w:rsidP="00C91B72">
            <w:pPr>
              <w:pStyle w:val="Normal11"/>
              <w:rPr>
                <w:lang w:eastAsia="da-DK"/>
              </w:rPr>
            </w:pPr>
          </w:p>
          <w:p w:rsidR="00C91B72" w:rsidRDefault="00C91B72" w:rsidP="00C91B72">
            <w:pPr>
              <w:pStyle w:val="Normal11"/>
              <w:rPr>
                <w:lang w:eastAsia="da-DK"/>
              </w:rPr>
            </w:pPr>
            <w:r>
              <w:rPr>
                <w:lang w:eastAsia="da-DK"/>
              </w:rPr>
              <w:t>For virksomheder</w:t>
            </w:r>
            <w:proofErr w:type="gramStart"/>
            <w:r>
              <w:rPr>
                <w:lang w:eastAsia="da-DK"/>
              </w:rPr>
              <w:t xml:space="preserve"> (CVR-nr.</w:t>
            </w:r>
            <w:proofErr w:type="gramEnd"/>
            <w:r>
              <w:rPr>
                <w:lang w:eastAsia="da-DK"/>
              </w:rPr>
              <w:t xml:space="preserve">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w:t>
            </w:r>
            <w:proofErr w:type="gramStart"/>
            <w:r>
              <w:rPr>
                <w:lang w:eastAsia="da-DK"/>
              </w:rPr>
              <w:t>16 .</w:t>
            </w:r>
            <w:proofErr w:type="gramEnd"/>
            <w:r>
              <w:rPr>
                <w:lang w:eastAsia="da-DK"/>
              </w:rPr>
              <w:t xml:space="preserve">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Denne aktivitet/</w:t>
            </w:r>
            <w:proofErr w:type="spellStart"/>
            <w:r>
              <w:rPr>
                <w:lang w:eastAsia="da-DK"/>
              </w:rPr>
              <w:t>use</w:t>
            </w:r>
            <w:proofErr w:type="spellEnd"/>
            <w:r>
              <w:rPr>
                <w:lang w:eastAsia="da-DK"/>
              </w:rPr>
              <w:t>-case sikrer, at det ikke er muligt at oparbejde en ny gæld på 5.000 kr. før fordringen overdrages til Restanceinddrivelsesmyndigheden, hvis kunden i forvejen har fordringer til inddrivelse hvor DMO er fordringshaver.</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Nedenfor er angivet nogle eksempler. Det er specifikt angivet i de enkelte startbetingelser.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At kunden i forvejen har en fordring registreret hos Inddrivelsesmyndigheden, og SRB er overskredet med x dage (parameterstyret Bilag 3.24 tabel 16).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Rykkerproces for fordringer med 1 hæfter initierer, </w:t>
            </w:r>
            <w:proofErr w:type="spellStart"/>
            <w:r>
              <w:rPr>
                <w:lang w:eastAsia="da-DK"/>
              </w:rPr>
              <w:t>jf</w:t>
            </w:r>
            <w:proofErr w:type="spellEnd"/>
            <w:r>
              <w:rPr>
                <w:lang w:eastAsia="da-DK"/>
              </w:rPr>
              <w:t xml:space="preserve">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rPr>
                <w:lang w:eastAsia="da-DK"/>
              </w:rPr>
              <w:t>medhæftere</w:t>
            </w:r>
            <w:proofErr w:type="spellEnd"/>
            <w:r>
              <w:rPr>
                <w:lang w:eastAsia="da-DK"/>
              </w:rPr>
              <w:t xml:space="preserve"> til inddrivelse som ikke tidligere har været rykket.</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At SRB er overskredet med X dage (parameterstyret Bilag 3.24 tabel 16) for en betalingsaftale under opkrævning. Betalingsordning inaktiveres og der kigges på de bagved liggende fordringer efter de almindelige regler. Hvis o/5.000 kr. og allerede rykket 1. gang overdrages til inddrivelse. Hvis o/5.000 kr. og ej rykkes </w:t>
            </w:r>
            <w:proofErr w:type="spellStart"/>
            <w:proofErr w:type="gramStart"/>
            <w:r>
              <w:rPr>
                <w:lang w:eastAsia="da-DK"/>
              </w:rPr>
              <w:t>rykkes</w:t>
            </w:r>
            <w:proofErr w:type="spellEnd"/>
            <w:proofErr w:type="gramEnd"/>
            <w:r>
              <w:rPr>
                <w:lang w:eastAsia="da-DK"/>
              </w:rPr>
              <w:t xml:space="preserve"> 1. gang. Hvis u/5.000 kr. foretages intet I forbindelse med en ikke overholdt betalingsaftale, skal fremtidige SRB slettes, således at hele aftalen er annulleret.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At kunden er ophørt (afmeldt for virksomheder og død ved personer), og saldoen er &gt; 0 (parameterstyret Bilag 3.24 tabel 16), og der har tidligere været fremsendt en rykker.</w:t>
            </w:r>
          </w:p>
          <w:p w:rsidR="00C91B72" w:rsidRDefault="00C91B72" w:rsidP="00C91B72">
            <w:pPr>
              <w:pStyle w:val="Normal11"/>
              <w:rPr>
                <w:lang w:eastAsia="da-DK"/>
              </w:rPr>
            </w:pPr>
            <w:r>
              <w:rPr>
                <w:lang w:eastAsia="da-DK"/>
              </w:rPr>
              <w:t xml:space="preserve">Hvis der er mere end en hæfter skal primærhæfter ikke overdrages til inddrivelse før end de øvrige </w:t>
            </w:r>
            <w:proofErr w:type="spellStart"/>
            <w:r>
              <w:rPr>
                <w:lang w:eastAsia="da-DK"/>
              </w:rPr>
              <w:t>hæftere</w:t>
            </w:r>
            <w:proofErr w:type="spellEnd"/>
            <w:r>
              <w:rPr>
                <w:lang w:eastAsia="da-DK"/>
              </w:rPr>
              <w:t xml:space="preserve"> på fordringen er rykket.</w:t>
            </w:r>
          </w:p>
          <w:p w:rsidR="00C91B72" w:rsidRDefault="00C91B72" w:rsidP="00C91B72">
            <w:pPr>
              <w:pStyle w:val="Normal11"/>
              <w:rPr>
                <w:lang w:eastAsia="da-DK"/>
              </w:rPr>
            </w:pPr>
          </w:p>
          <w:p w:rsidR="00C91B72" w:rsidRDefault="00C91B72" w:rsidP="00C91B72">
            <w:pPr>
              <w:pStyle w:val="Normal11"/>
              <w:rPr>
                <w:lang w:eastAsia="da-DK"/>
              </w:rPr>
            </w:pPr>
            <w:r>
              <w:rPr>
                <w:lang w:eastAsia="da-DK"/>
              </w:rPr>
              <w:t>At saldoen &gt; 5000 kr. henholdsvis 100 kr. (parameterstyret Bilag 3.24. tabel 19 ), og der har tidligere været fremsendt en rykker.</w:t>
            </w:r>
          </w:p>
          <w:p w:rsidR="00C91B72" w:rsidRDefault="00C91B72" w:rsidP="00C91B72">
            <w:pPr>
              <w:pStyle w:val="Normal11"/>
              <w:rPr>
                <w:lang w:eastAsia="da-DK"/>
              </w:rPr>
            </w:pPr>
            <w:r>
              <w:rPr>
                <w:lang w:eastAsia="da-DK"/>
              </w:rPr>
              <w:t xml:space="preserve">Hvis der er mere end en hæfter skal primærhæfter ikke overdrages til inddrivelse før end de øvrige </w:t>
            </w:r>
            <w:proofErr w:type="spellStart"/>
            <w:r>
              <w:rPr>
                <w:lang w:eastAsia="da-DK"/>
              </w:rPr>
              <w:t>hæftere</w:t>
            </w:r>
            <w:proofErr w:type="spellEnd"/>
            <w:r>
              <w:rPr>
                <w:lang w:eastAsia="da-DK"/>
              </w:rPr>
              <w:t xml:space="preserve"> på fordringen er rykket.</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Der henvises i øvrigt til OPKL § 16c, stk. 3.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Overdragelse skal kunne ske dagligt (parameterstyret Bilag 3.24. tabel 16).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Det skal være muligt at spærre for en kunde, således at fordringen, selvom betingelserne for overdragelse er opfyldt, alligevel ikke skal overdrages. Dette kan aktiveres via </w:t>
            </w:r>
            <w:proofErr w:type="spellStart"/>
            <w:r>
              <w:rPr>
                <w:lang w:eastAsia="da-DK"/>
              </w:rPr>
              <w:t>use</w:t>
            </w:r>
            <w:proofErr w:type="spellEnd"/>
            <w:r>
              <w:rPr>
                <w:lang w:eastAsia="da-DK"/>
              </w:rPr>
              <w:t xml:space="preserve"> case 12.02 eller </w:t>
            </w:r>
            <w:proofErr w:type="spellStart"/>
            <w:r>
              <w:rPr>
                <w:lang w:eastAsia="da-DK"/>
              </w:rPr>
              <w:t>use</w:t>
            </w:r>
            <w:proofErr w:type="spellEnd"/>
            <w:r>
              <w:rPr>
                <w:lang w:eastAsia="da-DK"/>
              </w:rPr>
              <w:t xml:space="preserve"> case 13.03.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w:t>
            </w:r>
            <w:proofErr w:type="spellStart"/>
            <w:r>
              <w:rPr>
                <w:lang w:eastAsia="da-DK"/>
              </w:rPr>
              <w:t>påløber</w:t>
            </w:r>
            <w:proofErr w:type="spellEnd"/>
            <w:r>
              <w:rPr>
                <w:lang w:eastAsia="da-DK"/>
              </w:rPr>
              <w:t xml:space="preserve">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rsidR="00C91B72" w:rsidRDefault="00C91B72" w:rsidP="00C91B72">
            <w:pPr>
              <w:pStyle w:val="Normal11"/>
              <w:rPr>
                <w:lang w:eastAsia="da-DK"/>
              </w:rPr>
            </w:pPr>
            <w:r>
              <w:rPr>
                <w:lang w:eastAsia="da-DK"/>
              </w:rPr>
              <w:t>Den overdragne fordring indgår i saldo til renteberegning til og med udgangen af den måned, hvor den er blevet overdraget til inddrivelse (INDD). Mens fordringen alene er overdraget til modregning (MODR) indgår den i renteberegningen på skattekontoen</w:t>
            </w:r>
          </w:p>
          <w:p w:rsidR="00C91B72" w:rsidRDefault="00C91B72" w:rsidP="00C91B72">
            <w:pPr>
              <w:pStyle w:val="Normal11"/>
              <w:rPr>
                <w:lang w:eastAsia="da-DK"/>
              </w:rPr>
            </w:pPr>
          </w:p>
          <w:p w:rsidR="00C91B72" w:rsidRDefault="00C91B72" w:rsidP="00C91B72">
            <w:pPr>
              <w:pStyle w:val="Normal11"/>
              <w:rPr>
                <w:lang w:eastAsia="da-DK"/>
              </w:rPr>
            </w:pPr>
            <w:r>
              <w:rPr>
                <w:lang w:eastAsia="da-DK"/>
              </w:rP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rsidR="00C91B72" w:rsidRDefault="00C91B72" w:rsidP="00C91B72">
            <w:pPr>
              <w:pStyle w:val="Normal11"/>
              <w:rPr>
                <w:lang w:eastAsia="da-DK"/>
              </w:rPr>
            </w:pPr>
            <w:r>
              <w:rPr>
                <w:lang w:eastAsia="da-DK"/>
              </w:rPr>
              <w:t xml:space="preserve">Som en konsekvens af dette vil </w:t>
            </w:r>
            <w:proofErr w:type="spellStart"/>
            <w:r>
              <w:rPr>
                <w:lang w:eastAsia="da-DK"/>
              </w:rPr>
              <w:t>use</w:t>
            </w:r>
            <w:proofErr w:type="spellEnd"/>
            <w:r>
              <w:rPr>
                <w:lang w:eastAsia="da-DK"/>
              </w:rPr>
              <w:t xml:space="preserve"> cases, som nedskriver(opdaterer fordringen) overfor inddrivelse blive initieret. </w:t>
            </w:r>
          </w:p>
          <w:p w:rsidR="00C91B72" w:rsidRDefault="00C91B72" w:rsidP="00C91B72">
            <w:pPr>
              <w:pStyle w:val="Normal11"/>
              <w:rPr>
                <w:lang w:eastAsia="da-DK"/>
              </w:rPr>
            </w:pPr>
          </w:p>
          <w:p w:rsidR="00C91B72" w:rsidRDefault="00C91B72" w:rsidP="00C91B72">
            <w:pPr>
              <w:pStyle w:val="Normal11"/>
              <w:rPr>
                <w:lang w:eastAsia="da-DK"/>
              </w:rPr>
            </w:pPr>
            <w:proofErr w:type="spellStart"/>
            <w:r>
              <w:rPr>
                <w:lang w:eastAsia="da-DK"/>
              </w:rPr>
              <w:t>Bobehandling</w:t>
            </w:r>
            <w:proofErr w:type="spellEnd"/>
            <w:r>
              <w:rPr>
                <w:lang w:eastAsia="da-DK"/>
              </w:rPr>
              <w:t xml:space="preserve">: Kunder under </w:t>
            </w:r>
            <w:proofErr w:type="spellStart"/>
            <w:r>
              <w:rPr>
                <w:lang w:eastAsia="da-DK"/>
              </w:rPr>
              <w:t>bobehandling</w:t>
            </w:r>
            <w:proofErr w:type="spellEnd"/>
            <w:r>
              <w:rPr>
                <w:lang w:eastAsia="da-DK"/>
              </w:rPr>
              <w:t xml:space="preserve"> overdrages til inddrivelse under samme vilkår som alle andre kunder.</w:t>
            </w:r>
          </w:p>
          <w:p w:rsidR="00C91B72" w:rsidRDefault="00C91B72" w:rsidP="00C91B72">
            <w:pPr>
              <w:pStyle w:val="Normal11"/>
              <w:rPr>
                <w:lang w:eastAsia="da-DK"/>
              </w:rPr>
            </w:pPr>
            <w:r>
              <w:rPr>
                <w:lang w:eastAsia="da-DK"/>
              </w:rPr>
              <w:t xml:space="preserve"> </w:t>
            </w:r>
          </w:p>
          <w:p w:rsidR="00C91B72" w:rsidRDefault="00C91B72" w:rsidP="00C91B72">
            <w:pPr>
              <w:pStyle w:val="Normal11"/>
              <w:rPr>
                <w:lang w:eastAsia="da-DK"/>
              </w:rPr>
            </w:pPr>
            <w:r>
              <w:rPr>
                <w:lang w:eastAsia="da-DK"/>
              </w:rP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Det bemærkes, at service </w:t>
            </w:r>
            <w:proofErr w:type="spellStart"/>
            <w:r>
              <w:rPr>
                <w:lang w:eastAsia="da-DK"/>
              </w:rPr>
              <w:t>MFFordringIndberet</w:t>
            </w:r>
            <w:proofErr w:type="spellEnd"/>
            <w:r>
              <w:rPr>
                <w:lang w:eastAsia="da-DK"/>
              </w:rPr>
              <w:t xml:space="preserve"> sikrer, at fordringer som SKAT allerede har oprettet i modregningsregistret i forbindelse med udsendelse af rykker bliver ændret til inddrivelsesmyndigheden ved overdragelse til inddrivelse.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Såfremt en kunde har indgået en betalingsaftale efter udsendelse af rykker 1 skal der ikke ske overdragelse til inddrivelse. Hvis kunden efterfølgende misligholder betalingsaftale indgår kunden i de generelle </w:t>
            </w:r>
            <w:proofErr w:type="spellStart"/>
            <w:r>
              <w:rPr>
                <w:lang w:eastAsia="da-DK"/>
              </w:rPr>
              <w:t>betinmgelser</w:t>
            </w:r>
            <w:proofErr w:type="spellEnd"/>
            <w:r>
              <w:rPr>
                <w:lang w:eastAsia="da-DK"/>
              </w:rPr>
              <w:t xml:space="preserve"> for overdragelse til inddrivelse der er på kontoen.</w:t>
            </w:r>
          </w:p>
          <w:p w:rsidR="00C91B72" w:rsidRDefault="00C91B72" w:rsidP="00C91B72">
            <w:pPr>
              <w:pStyle w:val="Normal11"/>
              <w:rPr>
                <w:lang w:eastAsia="da-DK"/>
              </w:rPr>
            </w:pPr>
          </w:p>
          <w:p w:rsidR="00C91B72" w:rsidRDefault="00C91B72" w:rsidP="00C91B72">
            <w:pPr>
              <w:pStyle w:val="Normal11"/>
              <w:rPr>
                <w:lang w:eastAsia="da-DK"/>
              </w:rPr>
            </w:pPr>
            <w:r>
              <w:rPr>
                <w:lang w:eastAsia="da-DK"/>
              </w:rPr>
              <w:t>Manuel overdragelse til inddrivelse</w:t>
            </w:r>
          </w:p>
          <w:p w:rsidR="00C91B72" w:rsidRDefault="00C91B72" w:rsidP="00C91B72">
            <w:pPr>
              <w:pStyle w:val="Normal11"/>
              <w:rPr>
                <w:lang w:eastAsia="da-DK"/>
              </w:rPr>
            </w:pPr>
            <w:r>
              <w:rPr>
                <w:lang w:eastAsia="da-DK"/>
              </w:rP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w:t>
            </w:r>
            <w:proofErr w:type="spellStart"/>
            <w:r>
              <w:rPr>
                <w:lang w:eastAsia="da-DK"/>
              </w:rPr>
              <w:t>bobehandling</w:t>
            </w:r>
            <w:proofErr w:type="spellEnd"/>
            <w:r>
              <w:rPr>
                <w:lang w:eastAsia="da-DK"/>
              </w:rPr>
              <w:t>. I denne proces skal der ikke foretages validering om fordringen i øvrigt opfylder kravene til overdragelse til inddrivelse. Det kan der ses bort fra</w:t>
            </w:r>
          </w:p>
          <w:p w:rsidR="00C91B72" w:rsidRDefault="00C91B72" w:rsidP="00C91B72">
            <w:pPr>
              <w:pStyle w:val="Normal11"/>
              <w:rPr>
                <w:lang w:eastAsia="da-DK"/>
              </w:rPr>
            </w:pP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Frekvens</w:t>
            </w:r>
          </w:p>
          <w:p w:rsidR="00C91B72" w:rsidRPr="00C91B72" w:rsidRDefault="00C91B72" w:rsidP="00C91B72">
            <w:pPr>
              <w:pStyle w:val="Normal11"/>
              <w:rPr>
                <w:lang w:eastAsia="da-DK"/>
              </w:rPr>
            </w:pPr>
            <w:r>
              <w:rPr>
                <w:lang w:eastAsia="da-DK"/>
              </w:rPr>
              <w:t>Dagligt</w:t>
            </w: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Aktører</w:t>
            </w:r>
          </w:p>
          <w:p w:rsidR="00C91B72" w:rsidRPr="00C91B72" w:rsidRDefault="00C91B72" w:rsidP="00C91B72">
            <w:pPr>
              <w:pStyle w:val="Normal11"/>
              <w:rPr>
                <w:lang w:eastAsia="da-DK"/>
              </w:rPr>
            </w:pPr>
            <w:r>
              <w:rPr>
                <w:lang w:eastAsia="da-DK"/>
              </w:rPr>
              <w:t>Tid, Sagsbehandler</w:t>
            </w: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Startbetingelser</w:t>
            </w:r>
          </w:p>
          <w:p w:rsidR="00C91B72" w:rsidRDefault="00C91B72" w:rsidP="00C91B72">
            <w:pPr>
              <w:pStyle w:val="Normal11"/>
              <w:rPr>
                <w:lang w:eastAsia="da-DK"/>
              </w:rPr>
            </w:pPr>
            <w:r>
              <w:rPr>
                <w:lang w:eastAsia="da-DK"/>
              </w:rPr>
              <w:t xml:space="preserve">At fordringer er af en type der må overdrages til inddrivelse </w:t>
            </w:r>
          </w:p>
          <w:p w:rsidR="00C91B72" w:rsidRDefault="00C91B72" w:rsidP="00C91B72">
            <w:pPr>
              <w:pStyle w:val="Normal11"/>
              <w:rPr>
                <w:lang w:eastAsia="da-DK"/>
              </w:rPr>
            </w:pPr>
            <w:r>
              <w:rPr>
                <w:lang w:eastAsia="da-DK"/>
              </w:rPr>
              <w:t>og</w:t>
            </w:r>
          </w:p>
          <w:p w:rsidR="00C91B72" w:rsidRDefault="00C91B72" w:rsidP="00C91B72">
            <w:pPr>
              <w:pStyle w:val="Normal11"/>
              <w:rPr>
                <w:lang w:eastAsia="da-DK"/>
              </w:rPr>
            </w:pPr>
            <w:r>
              <w:rPr>
                <w:lang w:eastAsia="da-DK"/>
              </w:rPr>
              <w:t xml:space="preserve">At en betalingsordning er misligholdt </w:t>
            </w:r>
            <w:proofErr w:type="spellStart"/>
            <w:r>
              <w:rPr>
                <w:lang w:eastAsia="da-DK"/>
              </w:rPr>
              <w:t>d.v.s</w:t>
            </w:r>
            <w:proofErr w:type="spellEnd"/>
            <w:r>
              <w:rPr>
                <w:lang w:eastAsia="da-DK"/>
              </w:rPr>
              <w:t xml:space="preserve"> at SRB for en rate under ordningen er overskredet med </w:t>
            </w:r>
            <w:proofErr w:type="spellStart"/>
            <w:r>
              <w:rPr>
                <w:lang w:eastAsia="da-DK"/>
              </w:rPr>
              <w:t>xx</w:t>
            </w:r>
            <w:proofErr w:type="spellEnd"/>
            <w:r>
              <w:rPr>
                <w:lang w:eastAsia="da-DK"/>
              </w:rPr>
              <w:t xml:space="preserve"> dage (parameterstyret Bilag 3.24 tabel 19) og saldo er &gt;5000 kr. (virksomheder) henholdsvis 100 kr.(personer) (parameterstyret Bilag 3.24 tabel 16) og fordringer er rykket</w:t>
            </w:r>
          </w:p>
          <w:p w:rsidR="00C91B72" w:rsidRDefault="00C91B72" w:rsidP="00C91B72">
            <w:pPr>
              <w:pStyle w:val="Normal11"/>
              <w:rPr>
                <w:lang w:eastAsia="da-DK"/>
              </w:rPr>
            </w:pPr>
            <w:r>
              <w:rPr>
                <w:lang w:eastAsia="da-DK"/>
              </w:rPr>
              <w:t xml:space="preserve">eller </w:t>
            </w:r>
          </w:p>
          <w:p w:rsidR="00C91B72" w:rsidRDefault="00C91B72" w:rsidP="00C91B72">
            <w:pPr>
              <w:pStyle w:val="Normal11"/>
              <w:rPr>
                <w:lang w:eastAsia="da-DK"/>
              </w:rPr>
            </w:pPr>
            <w:r>
              <w:rPr>
                <w:lang w:eastAsia="da-DK"/>
              </w:rPr>
              <w:t>Kunden har allerede en fordring markeret til inddrivelse hvor fordringshaver er SKAT og SRB er overskredet med X dage (</w:t>
            </w:r>
            <w:proofErr w:type="spellStart"/>
            <w:r>
              <w:rPr>
                <w:lang w:eastAsia="da-DK"/>
              </w:rPr>
              <w:t>parameterstyretBilag</w:t>
            </w:r>
            <w:proofErr w:type="spellEnd"/>
            <w:r>
              <w:rPr>
                <w:lang w:eastAsia="da-DK"/>
              </w:rPr>
              <w:t xml:space="preserve"> 3.24 tabel 16) og der er ikke andre </w:t>
            </w:r>
            <w:proofErr w:type="spellStart"/>
            <w:r>
              <w:rPr>
                <w:lang w:eastAsia="da-DK"/>
              </w:rPr>
              <w:t>hæftere</w:t>
            </w:r>
            <w:proofErr w:type="spellEnd"/>
            <w:r>
              <w:rPr>
                <w:lang w:eastAsia="da-DK"/>
              </w:rPr>
              <w:t xml:space="preserve"> på den/</w:t>
            </w:r>
            <w:proofErr w:type="gramStart"/>
            <w:r>
              <w:rPr>
                <w:lang w:eastAsia="da-DK"/>
              </w:rPr>
              <w:t>de</w:t>
            </w:r>
            <w:proofErr w:type="gramEnd"/>
            <w:r>
              <w:rPr>
                <w:lang w:eastAsia="da-DK"/>
              </w:rPr>
              <w:t xml:space="preserve"> relevante </w:t>
            </w:r>
            <w:proofErr w:type="gramStart"/>
            <w:r>
              <w:rPr>
                <w:lang w:eastAsia="da-DK"/>
              </w:rPr>
              <w:t>fordring</w:t>
            </w:r>
            <w:proofErr w:type="gramEnd"/>
          </w:p>
          <w:p w:rsidR="00C91B72" w:rsidRDefault="00C91B72" w:rsidP="00C91B72">
            <w:pPr>
              <w:pStyle w:val="Normal11"/>
              <w:rPr>
                <w:lang w:eastAsia="da-DK"/>
              </w:rPr>
            </w:pPr>
            <w:r>
              <w:rPr>
                <w:lang w:eastAsia="da-DK"/>
              </w:rPr>
              <w:t xml:space="preserve">eller </w:t>
            </w:r>
          </w:p>
          <w:p w:rsidR="00C91B72" w:rsidRDefault="00C91B72" w:rsidP="00C91B72">
            <w:pPr>
              <w:pStyle w:val="Normal11"/>
              <w:rPr>
                <w:lang w:eastAsia="da-DK"/>
              </w:rPr>
            </w:pPr>
            <w:r>
              <w:rPr>
                <w:lang w:eastAsia="da-DK"/>
              </w:rPr>
              <w:t>Kunden er afmeldt, SRB er overskredet med x dage (</w:t>
            </w:r>
            <w:proofErr w:type="spellStart"/>
            <w:r>
              <w:rPr>
                <w:lang w:eastAsia="da-DK"/>
              </w:rPr>
              <w:t>parameterstyretBilag</w:t>
            </w:r>
            <w:proofErr w:type="spellEnd"/>
            <w:r>
              <w:rPr>
                <w:lang w:eastAsia="da-DK"/>
              </w:rPr>
              <w:t xml:space="preserve"> 3.24 tabel 16), og saldo er &gt; 0 kr., og der har tidligere været fremsendt en rykker (parameterstyret). og der er ikke andre </w:t>
            </w:r>
            <w:proofErr w:type="spellStart"/>
            <w:r>
              <w:rPr>
                <w:lang w:eastAsia="da-DK"/>
              </w:rPr>
              <w:t>hæftere</w:t>
            </w:r>
            <w:proofErr w:type="spellEnd"/>
            <w:r>
              <w:rPr>
                <w:lang w:eastAsia="da-DK"/>
              </w:rPr>
              <w:t xml:space="preserve"> på den/</w:t>
            </w:r>
            <w:proofErr w:type="gramStart"/>
            <w:r>
              <w:rPr>
                <w:lang w:eastAsia="da-DK"/>
              </w:rPr>
              <w:t>de</w:t>
            </w:r>
            <w:proofErr w:type="gramEnd"/>
            <w:r>
              <w:rPr>
                <w:lang w:eastAsia="da-DK"/>
              </w:rPr>
              <w:t xml:space="preserve"> relevante </w:t>
            </w:r>
            <w:proofErr w:type="gramStart"/>
            <w:r>
              <w:rPr>
                <w:lang w:eastAsia="da-DK"/>
              </w:rPr>
              <w:t>fordring</w:t>
            </w:r>
            <w:proofErr w:type="gramEnd"/>
          </w:p>
          <w:p w:rsidR="00C91B72" w:rsidRDefault="00C91B72" w:rsidP="00C91B72">
            <w:pPr>
              <w:pStyle w:val="Normal11"/>
              <w:rPr>
                <w:lang w:eastAsia="da-DK"/>
              </w:rPr>
            </w:pPr>
            <w:r>
              <w:rPr>
                <w:lang w:eastAsia="da-DK"/>
              </w:rPr>
              <w:t xml:space="preserve">eller </w:t>
            </w:r>
          </w:p>
          <w:p w:rsidR="00C91B72" w:rsidRDefault="00C91B72" w:rsidP="00C91B72">
            <w:pPr>
              <w:pStyle w:val="Normal11"/>
              <w:rPr>
                <w:lang w:eastAsia="da-DK"/>
              </w:rPr>
            </w:pPr>
            <w:r>
              <w:rPr>
                <w:lang w:eastAsia="da-DK"/>
              </w:rPr>
              <w:t xml:space="preserve">Debetsaldo &gt; 5000 kr.(virksomheder) henholdsvis 100 kr.(personer) (parameterstyret Bilag 3.24 tabel 16), og der har tidligere været fremsendt en rykker og der er ikke andre </w:t>
            </w:r>
            <w:proofErr w:type="spellStart"/>
            <w:r>
              <w:rPr>
                <w:lang w:eastAsia="da-DK"/>
              </w:rPr>
              <w:t>hæftere</w:t>
            </w:r>
            <w:proofErr w:type="spellEnd"/>
            <w:r>
              <w:rPr>
                <w:lang w:eastAsia="da-DK"/>
              </w:rPr>
              <w:t xml:space="preserve"> på den/de relevante fordring/er</w:t>
            </w:r>
          </w:p>
          <w:p w:rsidR="00C91B72" w:rsidRDefault="00C91B72" w:rsidP="00C91B72">
            <w:pPr>
              <w:pStyle w:val="Normal11"/>
              <w:rPr>
                <w:lang w:eastAsia="da-DK"/>
              </w:rPr>
            </w:pPr>
            <w:r>
              <w:rPr>
                <w:lang w:eastAsia="da-DK"/>
              </w:rPr>
              <w:t>eller</w:t>
            </w:r>
          </w:p>
          <w:p w:rsidR="00C91B72" w:rsidRDefault="00C91B72" w:rsidP="00C91B72">
            <w:pPr>
              <w:pStyle w:val="Normal11"/>
              <w:rPr>
                <w:lang w:eastAsia="da-DK"/>
              </w:rPr>
            </w:pPr>
            <w:r>
              <w:rPr>
                <w:lang w:eastAsia="da-DK"/>
              </w:rPr>
              <w:t xml:space="preserve">Debetsaldo &gt; 5000 kr.(virksomheder) henholdsvis 100 kr. (personer)(parameterstyret Bilag 3.24 tabel 16), og der har tidligere været fremsendt en rykker og </w:t>
            </w:r>
            <w:proofErr w:type="spellStart"/>
            <w:r>
              <w:rPr>
                <w:lang w:eastAsia="da-DK"/>
              </w:rPr>
              <w:t>medhæftere</w:t>
            </w:r>
            <w:proofErr w:type="spellEnd"/>
            <w:r>
              <w:rPr>
                <w:lang w:eastAsia="da-DK"/>
              </w:rPr>
              <w:t xml:space="preserve"> er også rykket og denne rykkers SRB er også overskredet</w:t>
            </w:r>
          </w:p>
          <w:p w:rsidR="00C91B72" w:rsidRDefault="00C91B72" w:rsidP="00C91B72">
            <w:pPr>
              <w:pStyle w:val="Normal11"/>
              <w:rPr>
                <w:lang w:eastAsia="da-DK"/>
              </w:rPr>
            </w:pPr>
            <w:r>
              <w:rPr>
                <w:lang w:eastAsia="da-DK"/>
              </w:rPr>
              <w:t xml:space="preserve">eller </w:t>
            </w:r>
          </w:p>
          <w:p w:rsidR="00C91B72" w:rsidRDefault="00C91B72" w:rsidP="00C91B72">
            <w:pPr>
              <w:pStyle w:val="Normal11"/>
              <w:rPr>
                <w:lang w:eastAsia="da-DK"/>
              </w:rPr>
            </w:pPr>
            <w:r>
              <w:rPr>
                <w:lang w:eastAsia="da-DK"/>
              </w:rPr>
              <w:t xml:space="preserve">En SKAT aktør ønsker at foretage en manuel overdragelse til inddrivelse en eller flere fordringer  </w:t>
            </w:r>
          </w:p>
          <w:p w:rsidR="00C91B72" w:rsidRPr="00C91B72" w:rsidRDefault="00C91B72" w:rsidP="00C91B72">
            <w:pPr>
              <w:pStyle w:val="Normal11"/>
              <w:rPr>
                <w:lang w:eastAsia="da-DK"/>
              </w:rPr>
            </w:pPr>
          </w:p>
        </w:tc>
      </w:tr>
    </w:tbl>
    <w:p w:rsidR="00C91B72" w:rsidRDefault="00C91B72" w:rsidP="00C91B72">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91B72" w:rsidTr="00C91B72">
        <w:tblPrEx>
          <w:tblCellMar>
            <w:top w:w="0" w:type="dxa"/>
            <w:bottom w:w="0" w:type="dxa"/>
          </w:tblCellMar>
        </w:tblPrEx>
        <w:tc>
          <w:tcPr>
            <w:tcW w:w="9909" w:type="dxa"/>
            <w:gridSpan w:val="3"/>
          </w:tcPr>
          <w:p w:rsidR="00C91B72" w:rsidRPr="00C91B72" w:rsidRDefault="00C91B72" w:rsidP="00C91B72">
            <w:pPr>
              <w:pStyle w:val="Normal11"/>
              <w:rPr>
                <w:lang w:eastAsia="da-DK"/>
              </w:rPr>
            </w:pPr>
            <w:r>
              <w:rPr>
                <w:b/>
                <w:lang w:eastAsia="da-DK"/>
              </w:rPr>
              <w:t>Hovedvej</w:t>
            </w:r>
          </w:p>
        </w:tc>
      </w:tr>
      <w:tr w:rsidR="00C91B72" w:rsidTr="00C91B72">
        <w:tblPrEx>
          <w:tblCellMar>
            <w:top w:w="0" w:type="dxa"/>
            <w:bottom w:w="0" w:type="dxa"/>
          </w:tblCellMar>
        </w:tblPrEx>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Aktør</w:t>
            </w:r>
          </w:p>
        </w:tc>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Løsning</w:t>
            </w:r>
          </w:p>
        </w:tc>
        <w:tc>
          <w:tcPr>
            <w:tcW w:w="3197" w:type="dxa"/>
            <w:shd w:val="pct20" w:color="auto" w:fill="0000FF"/>
          </w:tcPr>
          <w:p w:rsidR="00C91B72" w:rsidRPr="00C91B72" w:rsidRDefault="00C91B72" w:rsidP="00C91B72">
            <w:pPr>
              <w:pStyle w:val="Normal11"/>
              <w:rPr>
                <w:color w:val="FFFFFF"/>
                <w:lang w:eastAsia="da-DK"/>
              </w:rPr>
            </w:pPr>
            <w:r>
              <w:rPr>
                <w:color w:val="FFFFFF"/>
                <w:lang w:eastAsia="da-DK"/>
              </w:rPr>
              <w:t>Service/Service operationer</w:t>
            </w: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lang w:eastAsia="da-DK"/>
              </w:rPr>
            </w:pPr>
            <w:r>
              <w:rPr>
                <w:b/>
                <w:lang w:eastAsia="da-DK"/>
              </w:rPr>
              <w:t>Trin 1: Overdrag fordring til inddrivelse</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lang w:eastAsia="da-DK"/>
              </w:rPr>
            </w:pPr>
            <w:r>
              <w:rPr>
                <w:lang w:eastAsia="da-DK"/>
              </w:rPr>
              <w:t>Udsøger de fordringer som opfylder en eller flere startbetingelser og overdrag disse fordringer til Inddrivelse.</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Der skal ske en markering af de fordringer, der er overdraget til inddrivelse, således at det umiddelbart kan ses ved opslag på kundens konto.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Fordringen er nu omfattet af Inddrivelsesmyndighedens regelsæt</w:t>
            </w:r>
          </w:p>
          <w:p w:rsidR="00C91B72" w:rsidRDefault="00C91B72" w:rsidP="00C91B72">
            <w:pPr>
              <w:pStyle w:val="Normal11"/>
              <w:rPr>
                <w:lang w:eastAsia="da-DK"/>
              </w:rPr>
            </w:pPr>
          </w:p>
        </w:tc>
        <w:tc>
          <w:tcPr>
            <w:tcW w:w="3197" w:type="dxa"/>
            <w:shd w:val="clear" w:color="auto" w:fill="FFFFFF"/>
          </w:tcPr>
          <w:p w:rsidR="00C91B72" w:rsidRDefault="00C91B72" w:rsidP="00C91B72">
            <w:pPr>
              <w:pStyle w:val="Normal11"/>
              <w:rPr>
                <w:lang w:eastAsia="da-DK"/>
              </w:rPr>
            </w:pP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lang w:eastAsia="da-DK"/>
              </w:rPr>
            </w:pPr>
            <w:r>
              <w:rPr>
                <w:b/>
                <w:lang w:eastAsia="da-DK"/>
              </w:rPr>
              <w:t>Trin 2: Indlæsning inddrivelse</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lang w:eastAsia="da-DK"/>
              </w:rPr>
            </w:pPr>
            <w:r>
              <w:rPr>
                <w:lang w:eastAsia="da-DK"/>
              </w:rPr>
              <w:t xml:space="preserve">De fordringer, der blev fremfundet under trin 1, overføres til inddrivelse.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Der spørges efter kvittering indtil der er modtaget kvittering for alle</w:t>
            </w:r>
          </w:p>
        </w:tc>
        <w:tc>
          <w:tcPr>
            <w:tcW w:w="3197" w:type="dxa"/>
            <w:shd w:val="clear" w:color="auto" w:fill="FFFFFF"/>
          </w:tcPr>
          <w:p w:rsidR="00C91B72" w:rsidRDefault="00C91B72" w:rsidP="00C91B72">
            <w:pPr>
              <w:pStyle w:val="Normal11"/>
              <w:rPr>
                <w:lang w:eastAsia="da-DK"/>
              </w:rPr>
            </w:pPr>
            <w:proofErr w:type="spellStart"/>
            <w:r>
              <w:rPr>
                <w:lang w:eastAsia="da-DK"/>
              </w:rPr>
              <w:t>EFI</w:t>
            </w:r>
            <w:proofErr w:type="gramStart"/>
            <w:r>
              <w:rPr>
                <w:lang w:eastAsia="da-DK"/>
              </w:rPr>
              <w:t>.MFFordringIndberet</w:t>
            </w:r>
            <w:proofErr w:type="spellEnd"/>
            <w:proofErr w:type="gramEnd"/>
          </w:p>
          <w:p w:rsidR="00C91B72" w:rsidRDefault="00C91B72" w:rsidP="00C91B72">
            <w:pPr>
              <w:pStyle w:val="Normal11"/>
              <w:rPr>
                <w:lang w:eastAsia="da-DK"/>
              </w:rPr>
            </w:pPr>
            <w:proofErr w:type="spellStart"/>
            <w:r>
              <w:rPr>
                <w:lang w:eastAsia="da-DK"/>
              </w:rPr>
              <w:t>EFI</w:t>
            </w:r>
            <w:proofErr w:type="gramStart"/>
            <w:r>
              <w:rPr>
                <w:lang w:eastAsia="da-DK"/>
              </w:rPr>
              <w:t>.MFKvitteringHent</w:t>
            </w:r>
            <w:proofErr w:type="spellEnd"/>
            <w:proofErr w:type="gramEnd"/>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lang w:eastAsia="da-DK"/>
              </w:rPr>
            </w:pPr>
          </w:p>
        </w:tc>
        <w:tc>
          <w:tcPr>
            <w:tcW w:w="3197" w:type="dxa"/>
            <w:shd w:val="clear" w:color="auto" w:fill="FFFFFF"/>
          </w:tcPr>
          <w:p w:rsidR="00C91B72" w:rsidRDefault="00C91B72" w:rsidP="00C91B72">
            <w:pPr>
              <w:pStyle w:val="Normal11"/>
              <w:rPr>
                <w:lang w:eastAsia="da-DK"/>
              </w:rPr>
            </w:pPr>
          </w:p>
        </w:tc>
      </w:tr>
    </w:tbl>
    <w:p w:rsidR="00C91B72" w:rsidRDefault="00C91B72" w:rsidP="00C91B72">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91B72" w:rsidTr="00C91B72">
        <w:tblPrEx>
          <w:tblCellMar>
            <w:top w:w="0" w:type="dxa"/>
            <w:bottom w:w="0" w:type="dxa"/>
          </w:tblCellMar>
        </w:tblPrEx>
        <w:tc>
          <w:tcPr>
            <w:tcW w:w="9909" w:type="dxa"/>
            <w:gridSpan w:val="3"/>
          </w:tcPr>
          <w:p w:rsidR="00C91B72" w:rsidRPr="00C91B72" w:rsidRDefault="00C91B72" w:rsidP="00C91B72">
            <w:pPr>
              <w:pStyle w:val="Normal11"/>
              <w:rPr>
                <w:lang w:eastAsia="da-DK"/>
              </w:rPr>
            </w:pPr>
            <w:r>
              <w:rPr>
                <w:b/>
                <w:lang w:eastAsia="da-DK"/>
              </w:rPr>
              <w:t>Variant: Manuel overdragelse</w:t>
            </w:r>
          </w:p>
        </w:tc>
      </w:tr>
      <w:tr w:rsidR="00C91B72" w:rsidTr="00C91B72">
        <w:tblPrEx>
          <w:tblCellMar>
            <w:top w:w="0" w:type="dxa"/>
            <w:bottom w:w="0" w:type="dxa"/>
          </w:tblCellMar>
        </w:tblPrEx>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Aktør</w:t>
            </w:r>
          </w:p>
        </w:tc>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Løsning</w:t>
            </w:r>
          </w:p>
        </w:tc>
        <w:tc>
          <w:tcPr>
            <w:tcW w:w="3197" w:type="dxa"/>
            <w:shd w:val="pct20" w:color="auto" w:fill="0000FF"/>
          </w:tcPr>
          <w:p w:rsidR="00C91B72" w:rsidRPr="00C91B72" w:rsidRDefault="00C91B72" w:rsidP="00C91B72">
            <w:pPr>
              <w:pStyle w:val="Normal11"/>
              <w:rPr>
                <w:color w:val="FFFFFF"/>
                <w:lang w:eastAsia="da-DK"/>
              </w:rPr>
            </w:pPr>
            <w:r>
              <w:rPr>
                <w:color w:val="FFFFFF"/>
                <w:lang w:eastAsia="da-DK"/>
              </w:rPr>
              <w:t>Service/Service operationer</w:t>
            </w: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lang w:eastAsia="da-DK"/>
              </w:rPr>
            </w:pPr>
            <w:r>
              <w:rPr>
                <w:b/>
                <w:lang w:eastAsia="da-DK"/>
              </w:rPr>
              <w:t>Trin 1: Viser kundens konto</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r>
              <w:rPr>
                <w:color w:val="000000"/>
                <w:lang w:eastAsia="da-DK"/>
              </w:rPr>
              <w:t xml:space="preserve">åbner kundens kontooversigt </w:t>
            </w:r>
          </w:p>
        </w:tc>
        <w:tc>
          <w:tcPr>
            <w:tcW w:w="3356" w:type="dxa"/>
            <w:shd w:val="clear" w:color="auto" w:fill="FFFFFF"/>
          </w:tcPr>
          <w:p w:rsidR="00C91B72" w:rsidRPr="00C91B72" w:rsidRDefault="00C91B72" w:rsidP="00C91B72">
            <w:pPr>
              <w:pStyle w:val="Normal11"/>
              <w:rPr>
                <w:color w:val="000000"/>
                <w:lang w:eastAsia="da-DK"/>
              </w:rPr>
            </w:pPr>
            <w:r>
              <w:rPr>
                <w:color w:val="000000"/>
                <w:lang w:eastAsia="da-DK"/>
              </w:rPr>
              <w:t xml:space="preserve">Viser </w:t>
            </w:r>
            <w:proofErr w:type="gramStart"/>
            <w:r>
              <w:rPr>
                <w:color w:val="000000"/>
                <w:lang w:eastAsia="da-DK"/>
              </w:rPr>
              <w:t>kundens  udækkede</w:t>
            </w:r>
            <w:proofErr w:type="gramEnd"/>
            <w:r>
              <w:rPr>
                <w:color w:val="000000"/>
                <w:lang w:eastAsia="da-DK"/>
              </w:rPr>
              <w:t xml:space="preserve"> fordringer </w:t>
            </w:r>
          </w:p>
        </w:tc>
        <w:tc>
          <w:tcPr>
            <w:tcW w:w="3197" w:type="dxa"/>
            <w:shd w:val="clear" w:color="auto" w:fill="FFFFFF"/>
          </w:tcPr>
          <w:p w:rsidR="00C91B72" w:rsidRPr="00C91B72" w:rsidRDefault="00C91B72" w:rsidP="00C91B72">
            <w:pPr>
              <w:pStyle w:val="Normal11"/>
              <w:rPr>
                <w:color w:val="000000"/>
                <w:lang w:eastAsia="da-DK"/>
              </w:rPr>
            </w:pP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color w:val="000000"/>
                <w:lang w:eastAsia="da-DK"/>
              </w:rPr>
            </w:pPr>
            <w:r>
              <w:rPr>
                <w:b/>
                <w:color w:val="000000"/>
                <w:lang w:eastAsia="da-DK"/>
              </w:rPr>
              <w:t>Trin 2: Udsøg mulige fordringer</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r>
              <w:rPr>
                <w:color w:val="000000"/>
                <w:lang w:eastAsia="da-DK"/>
              </w:rPr>
              <w:t>Beder om fordringer som endnu ikke er markeret overdraget til inddrivelse</w:t>
            </w:r>
          </w:p>
        </w:tc>
        <w:tc>
          <w:tcPr>
            <w:tcW w:w="3356" w:type="dxa"/>
            <w:shd w:val="clear" w:color="auto" w:fill="FFFFFF"/>
          </w:tcPr>
          <w:p w:rsidR="00C91B72" w:rsidRPr="00C91B72" w:rsidRDefault="00C91B72" w:rsidP="00C91B72">
            <w:pPr>
              <w:pStyle w:val="Normal11"/>
              <w:rPr>
                <w:color w:val="000000"/>
                <w:lang w:eastAsia="da-DK"/>
              </w:rPr>
            </w:pPr>
            <w:r>
              <w:rPr>
                <w:color w:val="000000"/>
                <w:lang w:eastAsia="da-DK"/>
              </w:rPr>
              <w:t>Viser kundens fordringer som ikke er markeret overdraget til inddrivelse</w:t>
            </w:r>
          </w:p>
        </w:tc>
        <w:tc>
          <w:tcPr>
            <w:tcW w:w="3197" w:type="dxa"/>
            <w:shd w:val="clear" w:color="auto" w:fill="FFFFFF"/>
          </w:tcPr>
          <w:p w:rsidR="00C91B72" w:rsidRPr="00C91B72" w:rsidRDefault="00C91B72" w:rsidP="00C91B72">
            <w:pPr>
              <w:pStyle w:val="Normal11"/>
              <w:rPr>
                <w:color w:val="000000"/>
                <w:lang w:eastAsia="da-DK"/>
              </w:rPr>
            </w:pP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color w:val="000000"/>
                <w:lang w:eastAsia="da-DK"/>
              </w:rPr>
            </w:pPr>
            <w:r>
              <w:rPr>
                <w:b/>
                <w:color w:val="000000"/>
                <w:lang w:eastAsia="da-DK"/>
              </w:rPr>
              <w:t>Trin 3: Vælg fordring/er</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r>
              <w:rPr>
                <w:color w:val="000000"/>
                <w:lang w:eastAsia="da-DK"/>
              </w:rPr>
              <w:t>Vælger den/de fordringer der skal overdrages til inddrivelse</w:t>
            </w:r>
          </w:p>
        </w:tc>
        <w:tc>
          <w:tcPr>
            <w:tcW w:w="3356" w:type="dxa"/>
            <w:shd w:val="clear" w:color="auto" w:fill="FFFFFF"/>
          </w:tcPr>
          <w:p w:rsidR="00C91B72" w:rsidRDefault="00C91B72" w:rsidP="00C91B72">
            <w:pPr>
              <w:pStyle w:val="Normal11"/>
              <w:rPr>
                <w:color w:val="000000"/>
                <w:lang w:eastAsia="da-DK"/>
              </w:rPr>
            </w:pPr>
            <w:r>
              <w:rPr>
                <w:color w:val="000000"/>
                <w:lang w:eastAsia="da-DK"/>
              </w:rPr>
              <w:t>De markerede fodringer overdrages til inddrivelse</w:t>
            </w:r>
          </w:p>
          <w:p w:rsidR="00C91B72" w:rsidRDefault="00C91B72" w:rsidP="00C91B72">
            <w:pPr>
              <w:pStyle w:val="Normal11"/>
              <w:rPr>
                <w:color w:val="000000"/>
                <w:lang w:eastAsia="da-DK"/>
              </w:rPr>
            </w:pPr>
          </w:p>
          <w:p w:rsidR="00C91B72" w:rsidRPr="00C91B72" w:rsidRDefault="00C91B72" w:rsidP="00C91B72">
            <w:pPr>
              <w:pStyle w:val="Normal11"/>
              <w:rPr>
                <w:color w:val="000000"/>
                <w:lang w:eastAsia="da-DK"/>
              </w:rPr>
            </w:pPr>
            <w:r>
              <w:rPr>
                <w:color w:val="000000"/>
                <w:lang w:eastAsia="da-DK"/>
              </w:rPr>
              <w:t>Der spørges efter kvittering indtil der er modtaget kvittering for alle</w:t>
            </w:r>
          </w:p>
        </w:tc>
        <w:tc>
          <w:tcPr>
            <w:tcW w:w="3197" w:type="dxa"/>
            <w:shd w:val="clear" w:color="auto" w:fill="FFFFFF"/>
          </w:tcPr>
          <w:p w:rsidR="00C91B72" w:rsidRDefault="00C91B72" w:rsidP="00C91B72">
            <w:pPr>
              <w:pStyle w:val="Normal11"/>
              <w:rPr>
                <w:color w:val="000000"/>
                <w:lang w:eastAsia="da-DK"/>
              </w:rPr>
            </w:pPr>
            <w:proofErr w:type="spellStart"/>
            <w:r>
              <w:rPr>
                <w:color w:val="000000"/>
                <w:lang w:eastAsia="da-DK"/>
              </w:rPr>
              <w:t>EFI</w:t>
            </w:r>
            <w:proofErr w:type="gramStart"/>
            <w:r>
              <w:rPr>
                <w:color w:val="000000"/>
                <w:lang w:eastAsia="da-DK"/>
              </w:rPr>
              <w:t>.MFFordringIndberet</w:t>
            </w:r>
            <w:proofErr w:type="spellEnd"/>
            <w:proofErr w:type="gramEnd"/>
          </w:p>
          <w:p w:rsidR="00C91B72" w:rsidRPr="00C91B72" w:rsidRDefault="00C91B72" w:rsidP="00C91B72">
            <w:pPr>
              <w:pStyle w:val="Normal11"/>
              <w:rPr>
                <w:color w:val="000000"/>
                <w:lang w:eastAsia="da-DK"/>
              </w:rPr>
            </w:pPr>
            <w:proofErr w:type="spellStart"/>
            <w:r>
              <w:rPr>
                <w:color w:val="000000"/>
                <w:lang w:eastAsia="da-DK"/>
              </w:rPr>
              <w:t>EFI</w:t>
            </w:r>
            <w:proofErr w:type="gramStart"/>
            <w:r>
              <w:rPr>
                <w:color w:val="000000"/>
                <w:lang w:eastAsia="da-DK"/>
              </w:rPr>
              <w:t>.MFKvitteringHent</w:t>
            </w:r>
            <w:proofErr w:type="spellEnd"/>
            <w:proofErr w:type="gramEnd"/>
          </w:p>
        </w:tc>
      </w:tr>
    </w:tbl>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Slutbetingelser</w:t>
            </w:r>
          </w:p>
          <w:p w:rsidR="00C91B72" w:rsidRDefault="00C91B72" w:rsidP="00C91B72">
            <w:pPr>
              <w:pStyle w:val="Normal11"/>
              <w:rPr>
                <w:lang w:eastAsia="da-DK"/>
              </w:rPr>
            </w:pPr>
            <w:r>
              <w:rPr>
                <w:lang w:eastAsia="da-DK"/>
              </w:rPr>
              <w:t xml:space="preserve">At fordringer, som opfylder en eller flere startbetingelser for overdragelse til inddrivelse, er blevet overdraget til Inddrivelsesmyndigheden.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At det af Løsningen fremgår, at fordring er under inddrivelse og hermed også Inddrivelsesmyndighedens regelsæt.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At aktøren succesfuldt har foretaget en manuel overdragelse til inddrivelse af udvalgte fordringer.</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Der er foretaget de relevante regnskabsmæssige posteringer. </w:t>
            </w: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Noter</w:t>
            </w: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Servicebeskrivelse</w:t>
            </w:r>
          </w:p>
          <w:p w:rsidR="00C91B72" w:rsidRPr="00C91B72" w:rsidRDefault="00C91B72" w:rsidP="00C91B72">
            <w:pPr>
              <w:pStyle w:val="Normal11"/>
              <w:rPr>
                <w:lang w:eastAsia="da-DK"/>
              </w:rPr>
            </w:pPr>
          </w:p>
        </w:tc>
      </w:tr>
    </w:tbl>
    <w:p w:rsidR="00C91B72" w:rsidRDefault="00C91B72" w:rsidP="00C91B72">
      <w:pPr>
        <w:pStyle w:val="Normal11"/>
        <w:rPr>
          <w:lang w:eastAsia="da-DK"/>
        </w:rPr>
        <w:sectPr w:rsidR="00C91B72" w:rsidSect="00C91B72">
          <w:pgSz w:w="11906" w:h="16838"/>
          <w:pgMar w:top="1417" w:right="986" w:bottom="1417" w:left="1134" w:header="556" w:footer="850" w:gutter="57"/>
          <w:paperSrc w:first="2" w:other="2"/>
          <w:cols w:space="708"/>
          <w:docGrid w:linePitch="360"/>
        </w:sectPr>
      </w:pPr>
    </w:p>
    <w:p w:rsidR="00C91B72" w:rsidRDefault="00C91B72" w:rsidP="00C91B72">
      <w:pPr>
        <w:pStyle w:val="Overskrift1"/>
      </w:pPr>
      <w:bookmarkStart w:id="5" w:name="_Toc351103494"/>
      <w:r>
        <w:t>18.05 Send optering til inddrivelse</w:t>
      </w:r>
      <w:bookmarkEnd w:id="5"/>
    </w:p>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noProof/>
                <w:lang w:eastAsia="da-DK"/>
              </w:rPr>
              <w:drawing>
                <wp:anchor distT="0" distB="0" distL="114300" distR="114300" simplePos="0" relativeHeight="251660288" behindDoc="1" locked="0" layoutInCell="1" allowOverlap="1" wp14:anchorId="3C1A7A2D" wp14:editId="5ECDD821">
                  <wp:simplePos x="0" y="0"/>
                  <wp:positionH relativeFrom="column">
                    <wp:posOffset>2840</wp:posOffset>
                  </wp:positionH>
                  <wp:positionV relativeFrom="paragraph">
                    <wp:posOffset>1558</wp:posOffset>
                  </wp:positionV>
                  <wp:extent cx="6177915" cy="2192020"/>
                  <wp:effectExtent l="0" t="0" r="0" b="0"/>
                  <wp:wrapTight wrapText="bothSides">
                    <wp:wrapPolygon edited="0">
                      <wp:start x="14054" y="563"/>
                      <wp:lineTo x="12921" y="1126"/>
                      <wp:lineTo x="10390" y="3191"/>
                      <wp:lineTo x="10390" y="3942"/>
                      <wp:lineTo x="2598" y="4130"/>
                      <wp:lineTo x="2598" y="5068"/>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C91B72" w:rsidRDefault="00C91B72" w:rsidP="00C91B72">
      <w:pPr>
        <w:pStyle w:val="Normal11"/>
        <w:rPr>
          <w:lang w:eastAsia="da-DK"/>
        </w:rPr>
      </w:pPr>
    </w:p>
    <w:p w:rsidR="00C91B72" w:rsidRDefault="00C91B72" w:rsidP="00C91B72">
      <w:pPr>
        <w:pStyle w:val="Normal11"/>
        <w:rPr>
          <w:lang w:eastAsia="da-DK"/>
        </w:rPr>
        <w:sectPr w:rsidR="00C91B72" w:rsidSect="00C91B72">
          <w:pgSz w:w="11906" w:h="16838"/>
          <w:pgMar w:top="1417" w:right="986" w:bottom="1417" w:left="1134" w:header="556" w:footer="850" w:gutter="57"/>
          <w:paperSrc w:first="2" w:other="2"/>
          <w:cols w:space="708"/>
          <w:docGrid w:linePitch="360"/>
        </w:sectPr>
      </w:pPr>
    </w:p>
    <w:p w:rsidR="00C91B72" w:rsidRDefault="00C91B72" w:rsidP="00C91B72">
      <w:pPr>
        <w:pStyle w:val="Overskrift2"/>
      </w:pPr>
      <w:bookmarkStart w:id="6" w:name="_Toc351103495"/>
      <w:r>
        <w:t>18.05 Send opdatering til inddrivelse</w:t>
      </w:r>
      <w:bookmarkEnd w:id="6"/>
    </w:p>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Formål</w:t>
            </w:r>
          </w:p>
          <w:p w:rsidR="00C91B72" w:rsidRDefault="00C91B72" w:rsidP="00C91B72">
            <w:pPr>
              <w:pStyle w:val="Normal11"/>
              <w:rPr>
                <w:lang w:eastAsia="da-DK"/>
              </w:rPr>
            </w:pPr>
            <w:r>
              <w:rPr>
                <w:lang w:eastAsia="da-DK"/>
              </w:rPr>
              <w:t>Formål</w:t>
            </w:r>
          </w:p>
          <w:p w:rsidR="00C91B72" w:rsidRDefault="00C91B72" w:rsidP="00C91B72">
            <w:pPr>
              <w:pStyle w:val="Normal11"/>
              <w:rPr>
                <w:lang w:eastAsia="da-DK"/>
              </w:rPr>
            </w:pPr>
            <w:r>
              <w:rPr>
                <w:lang w:eastAsia="da-DK"/>
              </w:rPr>
              <w:t xml:space="preserve">Omhandlende </w:t>
            </w:r>
            <w:proofErr w:type="spellStart"/>
            <w:r>
              <w:rPr>
                <w:lang w:eastAsia="da-DK"/>
              </w:rPr>
              <w:t>use</w:t>
            </w:r>
            <w:proofErr w:type="spellEnd"/>
            <w:r>
              <w:rPr>
                <w:lang w:eastAsia="da-DK"/>
              </w:rPr>
              <w:t xml:space="preserve"> cases håndterer funktionalitet der skal sikre at der er overensstemmelse mellem fordringer overdraget fra DMO til inddrivelse og/eller modregning i de tilfælde hvor der sker en eller anden form for dækning i DMO.</w:t>
            </w:r>
          </w:p>
          <w:p w:rsidR="00C91B72" w:rsidRDefault="00C91B72" w:rsidP="00C91B72">
            <w:pPr>
              <w:pStyle w:val="Normal11"/>
              <w:rPr>
                <w:lang w:eastAsia="da-DK"/>
              </w:rPr>
            </w:pPr>
          </w:p>
          <w:p w:rsidR="00C91B72" w:rsidRDefault="00C91B72" w:rsidP="00C91B72">
            <w:pPr>
              <w:pStyle w:val="Normal11"/>
              <w:rPr>
                <w:lang w:eastAsia="da-DK"/>
              </w:rPr>
            </w:pPr>
            <w:r>
              <w:rPr>
                <w:lang w:eastAsia="da-DK"/>
              </w:rPr>
              <w:t>Det er ikke udelukkende beløbsmæssige opdateringer, men alle opdateringer der sker på fordringer der er oversendt til Inddrivelsesmyndigheden</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Når der kommer en indbetaling til Debitormotoren skal fordringen samtidig nedskrives i EFI med det beløb, som fordringen er dækket med i DMO.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Når en fordring er overdraget til EFI er den markeret som overdraget og kan samtidig stadig dækkes, hvis der kommer en indbetaling eller en negativ fordring til Debitormotoren og der ikke henstår andre udækkede fordringer. </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Beskrivelse </w:t>
            </w:r>
          </w:p>
          <w:p w:rsidR="00C91B72" w:rsidRDefault="00C91B72" w:rsidP="00C91B72">
            <w:pPr>
              <w:pStyle w:val="Normal11"/>
              <w:rPr>
                <w:lang w:eastAsia="da-DK"/>
              </w:rPr>
            </w:pPr>
            <w:r>
              <w:rPr>
                <w:lang w:eastAsia="da-DK"/>
              </w:rPr>
              <w:t>Håndterer kommunikation fra Debitormotoren (DMO) til Inddrivelsesmyndigheden(EFI)</w:t>
            </w:r>
          </w:p>
          <w:p w:rsidR="00C91B72" w:rsidRDefault="00C91B72" w:rsidP="00C91B72">
            <w:pPr>
              <w:pStyle w:val="Normal11"/>
              <w:rPr>
                <w:lang w:eastAsia="da-DK"/>
              </w:rPr>
            </w:pPr>
          </w:p>
          <w:p w:rsidR="00C91B72" w:rsidRDefault="00C91B72" w:rsidP="00C91B72">
            <w:pPr>
              <w:pStyle w:val="Normal11"/>
              <w:rPr>
                <w:lang w:eastAsia="da-DK"/>
              </w:rPr>
            </w:pPr>
            <w:r>
              <w:rPr>
                <w:lang w:eastAsia="da-DK"/>
              </w:rPr>
              <w:t>Når der sker en eller anden form for dækning/ændring af fordringer som er overdraget fra opkrævning til inddrivelse skal dette afspejles i Inddrivelsesmyndigheden. Dette skal ske for at sikre, at en fordring altid er registreret med samme beløb i henholdsvis DMO og EFI.</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Når der sendes information om </w:t>
            </w:r>
            <w:proofErr w:type="gramStart"/>
            <w:r>
              <w:rPr>
                <w:lang w:eastAsia="da-DK"/>
              </w:rPr>
              <w:t>nedskrivning  til</w:t>
            </w:r>
            <w:proofErr w:type="gramEnd"/>
            <w:r>
              <w:rPr>
                <w:lang w:eastAsia="da-DK"/>
              </w:rPr>
              <w:t xml:space="preserve"> EFI skal det fremgå hvilken type dækning der er foretaget Afskrivning, Indbetaling, nedskrivning, opskrivning</w:t>
            </w:r>
          </w:p>
          <w:p w:rsidR="00C91B72" w:rsidRDefault="00C91B72" w:rsidP="00C91B72">
            <w:pPr>
              <w:pStyle w:val="Normal11"/>
              <w:rPr>
                <w:lang w:eastAsia="da-DK"/>
              </w:rPr>
            </w:pPr>
          </w:p>
          <w:p w:rsidR="00C91B72" w:rsidRDefault="00C91B72" w:rsidP="00C91B72">
            <w:pPr>
              <w:pStyle w:val="Normal11"/>
              <w:rPr>
                <w:lang w:eastAsia="da-DK"/>
              </w:rPr>
            </w:pPr>
            <w:r>
              <w:rPr>
                <w:lang w:eastAsia="da-DK"/>
              </w:rPr>
              <w:t>Krydsende betaling</w:t>
            </w:r>
          </w:p>
          <w:p w:rsidR="00C91B72" w:rsidRDefault="00C91B72" w:rsidP="00C91B72">
            <w:pPr>
              <w:pStyle w:val="Normal11"/>
              <w:rPr>
                <w:lang w:eastAsia="da-DK"/>
              </w:rPr>
            </w:pPr>
            <w:r>
              <w:rPr>
                <w:lang w:eastAsia="da-DK"/>
              </w:rPr>
              <w:t xml:space="preserve">Der er valørdatoen på indbetalingen der er afgørende for håndtering af krydsende betalinger. Hvis Skattekontoens indbetalingsdato er ældre eller lig med </w:t>
            </w:r>
            <w:proofErr w:type="spellStart"/>
            <w:r>
              <w:rPr>
                <w:lang w:eastAsia="da-DK"/>
              </w:rPr>
              <w:t>EFI´s</w:t>
            </w:r>
            <w:proofErr w:type="spellEnd"/>
            <w:r>
              <w:rPr>
                <w:lang w:eastAsia="da-DK"/>
              </w:rPr>
              <w:t xml:space="preserve"> indbetalingsdato, vil EFI acceptere Skattekontoens indbetaling. Hvis EFI ikke har accepteret hele indbetalingen (nedskrivningen) vil det fremgå af kvitteringssvaret som så vil indeholde et reduceret beløb. Den videre håndtering heraf er en manuel proces.</w:t>
            </w:r>
          </w:p>
          <w:p w:rsidR="00C91B72" w:rsidRDefault="00C91B72" w:rsidP="00C91B72">
            <w:pPr>
              <w:pStyle w:val="Normal11"/>
              <w:rPr>
                <w:lang w:eastAsia="da-DK"/>
              </w:rPr>
            </w:pPr>
          </w:p>
          <w:p w:rsidR="00C91B72" w:rsidRDefault="00C91B72" w:rsidP="00C91B72">
            <w:pPr>
              <w:pStyle w:val="Normal11"/>
              <w:rPr>
                <w:lang w:eastAsia="da-DK"/>
              </w:rPr>
            </w:pPr>
            <w:r>
              <w:rPr>
                <w:lang w:eastAsia="da-DK"/>
              </w:rPr>
              <w:t>Hvis DMO foretager en nedskrivning med årsag REGU (en afskrivning) er hovedreglen at EFI altid vil acceptere en nedskrivning med årsag afskrivning, da virkningsdagen altid vil være lig SRB/oversendelsesdagen.</w:t>
            </w:r>
          </w:p>
          <w:p w:rsidR="00C91B72" w:rsidRDefault="00C91B72" w:rsidP="00C91B72">
            <w:pPr>
              <w:pStyle w:val="Normal11"/>
              <w:rPr>
                <w:lang w:eastAsia="da-DK"/>
              </w:rPr>
            </w:pPr>
          </w:p>
          <w:p w:rsidR="00C91B72" w:rsidRDefault="00C91B72" w:rsidP="00C91B72">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DMO behandles således:</w:t>
            </w:r>
          </w:p>
          <w:p w:rsidR="00C91B72" w:rsidRDefault="00C91B72" w:rsidP="00C91B72">
            <w:pPr>
              <w:pStyle w:val="Normal11"/>
              <w:rPr>
                <w:lang w:eastAsia="da-DK"/>
              </w:rPr>
            </w:pPr>
            <w:r>
              <w:rPr>
                <w:lang w:eastAsia="da-DK"/>
              </w:rPr>
              <w:t>Fordringen nedskrives til 0 i EFI og for meget indbetalt forbliver i DMO.</w:t>
            </w:r>
          </w:p>
          <w:p w:rsidR="00C91B72" w:rsidRDefault="00C91B72" w:rsidP="00C91B72">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EFI behandles således:</w:t>
            </w:r>
          </w:p>
          <w:p w:rsidR="00C91B72" w:rsidRDefault="00C91B72" w:rsidP="00C91B72">
            <w:pPr>
              <w:pStyle w:val="Normal11"/>
              <w:rPr>
                <w:lang w:eastAsia="da-DK"/>
              </w:rPr>
            </w:pPr>
            <w:r>
              <w:rPr>
                <w:lang w:eastAsia="da-DK"/>
              </w:rPr>
              <w:t>Fordringen nedskrives til 0 i EFI og indbetalingen skal "rulles" tilbage til EFI via mellemregning.</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Tilbagerulningen initieres af EFI ved service "MF </w:t>
            </w:r>
            <w:proofErr w:type="spellStart"/>
            <w:r>
              <w:rPr>
                <w:lang w:eastAsia="da-DK"/>
              </w:rPr>
              <w:t>UnderretningSamlingHent</w:t>
            </w:r>
            <w:proofErr w:type="spellEnd"/>
            <w:r>
              <w:rPr>
                <w:lang w:eastAsia="da-DK"/>
              </w:rPr>
              <w:t>". Der er tale om en form for negativ afregning. Det er altså samme fremgangsmåde som når EFI giver meddelelse af en foretaget indbetaling til EFI</w:t>
            </w:r>
          </w:p>
          <w:p w:rsidR="00C91B72" w:rsidRDefault="00C91B72" w:rsidP="00C91B72">
            <w:pPr>
              <w:pStyle w:val="Normal11"/>
              <w:rPr>
                <w:lang w:eastAsia="da-DK"/>
              </w:rPr>
            </w:pP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Frekvens</w:t>
            </w: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Aktører</w:t>
            </w:r>
          </w:p>
          <w:p w:rsidR="00C91B72" w:rsidRPr="00C91B72" w:rsidRDefault="00C91B72" w:rsidP="00C91B72">
            <w:pPr>
              <w:pStyle w:val="Normal11"/>
              <w:rPr>
                <w:lang w:eastAsia="da-DK"/>
              </w:rPr>
            </w:pPr>
            <w:r>
              <w:rPr>
                <w:lang w:eastAsia="da-DK"/>
              </w:rPr>
              <w:t>Tid</w:t>
            </w: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Startbetingelser</w:t>
            </w:r>
          </w:p>
          <w:p w:rsidR="00C91B72" w:rsidRDefault="00C91B72" w:rsidP="00C91B72">
            <w:pPr>
              <w:pStyle w:val="Normal11"/>
              <w:rPr>
                <w:lang w:eastAsia="da-DK"/>
              </w:rPr>
            </w:pPr>
            <w:r>
              <w:rPr>
                <w:lang w:eastAsia="da-DK"/>
              </w:rPr>
              <w:t>Der er sket bevægelse på fordringer overdraget til EFI</w:t>
            </w:r>
          </w:p>
          <w:p w:rsidR="00C91B72" w:rsidRDefault="00C91B72" w:rsidP="00C91B72">
            <w:pPr>
              <w:pStyle w:val="Normal11"/>
              <w:rPr>
                <w:lang w:eastAsia="da-DK"/>
              </w:rPr>
            </w:pPr>
            <w:r>
              <w:rPr>
                <w:lang w:eastAsia="da-DK"/>
              </w:rPr>
              <w:t>Eller</w:t>
            </w:r>
          </w:p>
          <w:p w:rsidR="00C91B72" w:rsidRPr="00C91B72" w:rsidRDefault="00C91B72" w:rsidP="00C91B72">
            <w:pPr>
              <w:pStyle w:val="Normal11"/>
              <w:rPr>
                <w:lang w:eastAsia="da-DK"/>
              </w:rPr>
            </w:pPr>
            <w:r>
              <w:rPr>
                <w:lang w:eastAsia="da-DK"/>
              </w:rPr>
              <w:t>Der er sket bevægelser for fordringer overdraget til modregning</w:t>
            </w:r>
          </w:p>
        </w:tc>
      </w:tr>
    </w:tbl>
    <w:p w:rsidR="00C91B72" w:rsidRDefault="00C91B72" w:rsidP="00C91B72">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91B72" w:rsidTr="00C91B72">
        <w:tblPrEx>
          <w:tblCellMar>
            <w:top w:w="0" w:type="dxa"/>
            <w:bottom w:w="0" w:type="dxa"/>
          </w:tblCellMar>
        </w:tblPrEx>
        <w:tc>
          <w:tcPr>
            <w:tcW w:w="9909" w:type="dxa"/>
            <w:gridSpan w:val="3"/>
          </w:tcPr>
          <w:p w:rsidR="00C91B72" w:rsidRPr="00C91B72" w:rsidRDefault="00C91B72" w:rsidP="00C91B72">
            <w:pPr>
              <w:pStyle w:val="Normal11"/>
              <w:rPr>
                <w:lang w:eastAsia="da-DK"/>
              </w:rPr>
            </w:pPr>
            <w:r>
              <w:rPr>
                <w:b/>
                <w:lang w:eastAsia="da-DK"/>
              </w:rPr>
              <w:t>Hovedvej</w:t>
            </w:r>
          </w:p>
        </w:tc>
      </w:tr>
      <w:tr w:rsidR="00C91B72" w:rsidTr="00C91B72">
        <w:tblPrEx>
          <w:tblCellMar>
            <w:top w:w="0" w:type="dxa"/>
            <w:bottom w:w="0" w:type="dxa"/>
          </w:tblCellMar>
        </w:tblPrEx>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Aktør</w:t>
            </w:r>
          </w:p>
        </w:tc>
        <w:tc>
          <w:tcPr>
            <w:tcW w:w="3356" w:type="dxa"/>
            <w:shd w:val="pct20" w:color="auto" w:fill="0000FF"/>
          </w:tcPr>
          <w:p w:rsidR="00C91B72" w:rsidRPr="00C91B72" w:rsidRDefault="00C91B72" w:rsidP="00C91B72">
            <w:pPr>
              <w:pStyle w:val="Normal11"/>
              <w:rPr>
                <w:color w:val="FFFFFF"/>
                <w:lang w:eastAsia="da-DK"/>
              </w:rPr>
            </w:pPr>
            <w:r>
              <w:rPr>
                <w:color w:val="FFFFFF"/>
                <w:lang w:eastAsia="da-DK"/>
              </w:rPr>
              <w:t>Løsning</w:t>
            </w:r>
          </w:p>
        </w:tc>
        <w:tc>
          <w:tcPr>
            <w:tcW w:w="3197" w:type="dxa"/>
            <w:shd w:val="pct20" w:color="auto" w:fill="0000FF"/>
          </w:tcPr>
          <w:p w:rsidR="00C91B72" w:rsidRPr="00C91B72" w:rsidRDefault="00C91B72" w:rsidP="00C91B72">
            <w:pPr>
              <w:pStyle w:val="Normal11"/>
              <w:rPr>
                <w:color w:val="FFFFFF"/>
                <w:lang w:eastAsia="da-DK"/>
              </w:rPr>
            </w:pPr>
            <w:r>
              <w:rPr>
                <w:color w:val="FFFFFF"/>
                <w:lang w:eastAsia="da-DK"/>
              </w:rPr>
              <w:t>Service/Service operationer</w:t>
            </w:r>
          </w:p>
        </w:tc>
      </w:tr>
      <w:tr w:rsidR="00C91B72" w:rsidTr="00C91B72">
        <w:tblPrEx>
          <w:tblCellMar>
            <w:top w:w="0" w:type="dxa"/>
            <w:bottom w:w="0" w:type="dxa"/>
          </w:tblCellMar>
        </w:tblPrEx>
        <w:tc>
          <w:tcPr>
            <w:tcW w:w="9909" w:type="dxa"/>
            <w:gridSpan w:val="3"/>
            <w:shd w:val="clear" w:color="auto" w:fill="FFFFFF"/>
          </w:tcPr>
          <w:p w:rsidR="00C91B72" w:rsidRPr="00C91B72" w:rsidRDefault="00C91B72" w:rsidP="00C91B72">
            <w:pPr>
              <w:pStyle w:val="Normal11"/>
              <w:rPr>
                <w:b/>
                <w:lang w:eastAsia="da-DK"/>
              </w:rPr>
            </w:pPr>
            <w:r>
              <w:rPr>
                <w:b/>
                <w:lang w:eastAsia="da-DK"/>
              </w:rPr>
              <w:t>Trin 1: Send information til Inddrivelsesmyndigheden</w:t>
            </w:r>
          </w:p>
        </w:tc>
      </w:tr>
      <w:tr w:rsidR="00C91B72" w:rsidTr="00C91B72">
        <w:tblPrEx>
          <w:tblCellMar>
            <w:top w:w="0" w:type="dxa"/>
            <w:bottom w:w="0" w:type="dxa"/>
          </w:tblCellMar>
        </w:tblPrEx>
        <w:tc>
          <w:tcPr>
            <w:tcW w:w="3356" w:type="dxa"/>
            <w:shd w:val="clear" w:color="auto" w:fill="FFFFFF"/>
          </w:tcPr>
          <w:p w:rsidR="00C91B72" w:rsidRPr="00C91B72" w:rsidRDefault="00C91B72" w:rsidP="00C91B72">
            <w:pPr>
              <w:pStyle w:val="Normal11"/>
              <w:rPr>
                <w:color w:val="000000"/>
                <w:lang w:eastAsia="da-DK"/>
              </w:rPr>
            </w:pPr>
          </w:p>
        </w:tc>
        <w:tc>
          <w:tcPr>
            <w:tcW w:w="3356" w:type="dxa"/>
            <w:shd w:val="clear" w:color="auto" w:fill="FFFFFF"/>
          </w:tcPr>
          <w:p w:rsidR="00C91B72" w:rsidRDefault="00C91B72" w:rsidP="00C91B72">
            <w:pPr>
              <w:pStyle w:val="Normal11"/>
              <w:rPr>
                <w:lang w:eastAsia="da-DK"/>
              </w:rPr>
            </w:pPr>
            <w:r>
              <w:rPr>
                <w:lang w:eastAsia="da-DK"/>
              </w:rPr>
              <w:t>Send information (opdatering) om indbetalinger, afskrivninger, nedskrivninger til Inddrivelsesmyndigheden</w:t>
            </w:r>
          </w:p>
          <w:p w:rsidR="00C91B72" w:rsidRDefault="00C91B72" w:rsidP="00C91B72">
            <w:pPr>
              <w:pStyle w:val="Normal11"/>
              <w:rPr>
                <w:lang w:eastAsia="da-DK"/>
              </w:rPr>
            </w:pPr>
          </w:p>
          <w:p w:rsidR="00C91B72" w:rsidRDefault="00C91B72" w:rsidP="00C91B72">
            <w:pPr>
              <w:pStyle w:val="Normal11"/>
              <w:rPr>
                <w:lang w:eastAsia="da-DK"/>
              </w:rPr>
            </w:pPr>
            <w:r>
              <w:rPr>
                <w:lang w:eastAsia="da-DK"/>
              </w:rPr>
              <w:t>Der spørges efter kvittering indtil der er modtaget kvittering for alle</w:t>
            </w:r>
          </w:p>
        </w:tc>
        <w:tc>
          <w:tcPr>
            <w:tcW w:w="3197" w:type="dxa"/>
            <w:shd w:val="clear" w:color="auto" w:fill="FFFFFF"/>
          </w:tcPr>
          <w:p w:rsidR="00C91B72" w:rsidRDefault="00C91B72" w:rsidP="00C91B72">
            <w:pPr>
              <w:pStyle w:val="Normal11"/>
              <w:rPr>
                <w:lang w:eastAsia="da-DK"/>
              </w:rPr>
            </w:pPr>
            <w:proofErr w:type="spellStart"/>
            <w:r>
              <w:rPr>
                <w:lang w:eastAsia="da-DK"/>
              </w:rPr>
              <w:t>EFI</w:t>
            </w:r>
            <w:proofErr w:type="gramStart"/>
            <w:r>
              <w:rPr>
                <w:lang w:eastAsia="da-DK"/>
              </w:rPr>
              <w:t>.MFFordringIndberet</w:t>
            </w:r>
            <w:proofErr w:type="spellEnd"/>
            <w:proofErr w:type="gramEnd"/>
          </w:p>
          <w:p w:rsidR="00C91B72" w:rsidRDefault="00C91B72" w:rsidP="00C91B72">
            <w:pPr>
              <w:pStyle w:val="Normal11"/>
              <w:rPr>
                <w:lang w:eastAsia="da-DK"/>
              </w:rPr>
            </w:pPr>
            <w:proofErr w:type="spellStart"/>
            <w:r>
              <w:rPr>
                <w:lang w:eastAsia="da-DK"/>
              </w:rPr>
              <w:t>EFI</w:t>
            </w:r>
            <w:proofErr w:type="gramStart"/>
            <w:r>
              <w:rPr>
                <w:lang w:eastAsia="da-DK"/>
              </w:rPr>
              <w:t>.MFKvitteringHent</w:t>
            </w:r>
            <w:proofErr w:type="spellEnd"/>
            <w:proofErr w:type="gramEnd"/>
          </w:p>
        </w:tc>
      </w:tr>
    </w:tbl>
    <w:p w:rsidR="00C91B72" w:rsidRDefault="00C91B72" w:rsidP="00C91B72">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Slutbetingelser</w:t>
            </w:r>
          </w:p>
          <w:p w:rsidR="00C91B72" w:rsidRDefault="00C91B72" w:rsidP="00C91B72">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inddrivelse er opdateret således at det sikres, at beløbet i henholdsvis DM og EFI er identiske.</w:t>
            </w:r>
          </w:p>
          <w:p w:rsidR="00C91B72" w:rsidRDefault="00C91B72" w:rsidP="00C91B72">
            <w:pPr>
              <w:pStyle w:val="Normal11"/>
              <w:rPr>
                <w:lang w:eastAsia="da-DK"/>
              </w:rPr>
            </w:pPr>
          </w:p>
          <w:p w:rsidR="00C91B72" w:rsidRDefault="00C91B72" w:rsidP="00C91B72">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modregning er opdateret således at det sikres, at beløbet i henholdsvis DM og EFI er identiske.</w:t>
            </w:r>
          </w:p>
          <w:p w:rsidR="00C91B72" w:rsidRDefault="00C91B72" w:rsidP="00C91B72">
            <w:pPr>
              <w:pStyle w:val="Normal11"/>
              <w:rPr>
                <w:lang w:eastAsia="da-DK"/>
              </w:rPr>
            </w:pPr>
          </w:p>
          <w:p w:rsidR="00C91B72" w:rsidRDefault="00C91B72" w:rsidP="00C91B72">
            <w:pPr>
              <w:pStyle w:val="Normal11"/>
              <w:rPr>
                <w:lang w:eastAsia="da-DK"/>
              </w:rPr>
            </w:pPr>
            <w:r>
              <w:rPr>
                <w:lang w:eastAsia="da-DK"/>
              </w:rPr>
              <w:t>Der er foretaget de relevante regnskabsmæssige posteringer</w:t>
            </w: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Noter</w:t>
            </w:r>
          </w:p>
          <w:p w:rsidR="00C91B72" w:rsidRPr="00C91B72" w:rsidRDefault="00C91B72" w:rsidP="00C91B72">
            <w:pPr>
              <w:pStyle w:val="Normal11"/>
              <w:rPr>
                <w:lang w:eastAsia="da-DK"/>
              </w:rPr>
            </w:pPr>
          </w:p>
        </w:tc>
      </w:tr>
      <w:tr w:rsidR="00C91B72" w:rsidTr="00C91B72">
        <w:tblPrEx>
          <w:tblCellMar>
            <w:top w:w="0" w:type="dxa"/>
            <w:bottom w:w="0" w:type="dxa"/>
          </w:tblCellMar>
        </w:tblPrEx>
        <w:tc>
          <w:tcPr>
            <w:tcW w:w="9869" w:type="dxa"/>
            <w:shd w:val="clear" w:color="auto" w:fill="auto"/>
          </w:tcPr>
          <w:p w:rsidR="00C91B72" w:rsidRDefault="00C91B72" w:rsidP="00C91B72">
            <w:pPr>
              <w:pStyle w:val="Normal11"/>
              <w:rPr>
                <w:lang w:eastAsia="da-DK"/>
              </w:rPr>
            </w:pPr>
            <w:r>
              <w:rPr>
                <w:b/>
                <w:lang w:eastAsia="da-DK"/>
              </w:rPr>
              <w:t>Servicebeskrivelse</w:t>
            </w:r>
          </w:p>
          <w:p w:rsidR="00C91B72" w:rsidRPr="00C91B72" w:rsidRDefault="00C91B72" w:rsidP="00C91B72">
            <w:pPr>
              <w:pStyle w:val="Normal11"/>
              <w:rPr>
                <w:lang w:eastAsia="da-DK"/>
              </w:rPr>
            </w:pPr>
          </w:p>
        </w:tc>
      </w:tr>
    </w:tbl>
    <w:p w:rsidR="00C91B72" w:rsidRPr="00C91B72" w:rsidRDefault="00C91B72" w:rsidP="00C91B72">
      <w:pPr>
        <w:pStyle w:val="Normal11"/>
        <w:rPr>
          <w:lang w:eastAsia="da-DK"/>
        </w:rPr>
      </w:pPr>
    </w:p>
    <w:sectPr w:rsidR="00C91B72" w:rsidRPr="00C91B72" w:rsidSect="00C91B72">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B72" w:rsidRDefault="00C91B72" w:rsidP="00C91B72">
      <w:r>
        <w:separator/>
      </w:r>
    </w:p>
  </w:endnote>
  <w:endnote w:type="continuationSeparator" w:id="0">
    <w:p w:rsidR="00C91B72" w:rsidRDefault="00C91B72" w:rsidP="00C9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B72" w:rsidRDefault="00C91B72">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B72" w:rsidRDefault="00C91B72" w:rsidP="00C91B72">
      <w:r>
        <w:separator/>
      </w:r>
    </w:p>
  </w:footnote>
  <w:footnote w:type="continuationSeparator" w:id="0">
    <w:p w:rsidR="00C91B72" w:rsidRDefault="00C91B72" w:rsidP="00C91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B72" w:rsidRDefault="00C91B72">
    <w:pPr>
      <w:pStyle w:val="Sidehoved"/>
    </w:pPr>
    <w:r>
      <w:t xml:space="preserve">Rapport dannet den: </w:t>
    </w:r>
    <w:r>
      <w:fldChar w:fldCharType="begin"/>
    </w:r>
    <w:r>
      <w:instrText xml:space="preserve"> CREATEDATE  \@ "d. MMMM yyyy"  \* MERGEFORMAT </w:instrText>
    </w:r>
    <w:r>
      <w:fldChar w:fldCharType="separate"/>
    </w:r>
    <w:r>
      <w:rPr>
        <w:noProof/>
      </w:rPr>
      <w:t>15. marts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6629B"/>
    <w:multiLevelType w:val="multilevel"/>
    <w:tmpl w:val="0F940B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72"/>
    <w:rsid w:val="00062E9B"/>
    <w:rsid w:val="003717A5"/>
    <w:rsid w:val="00636BE0"/>
    <w:rsid w:val="006F2D8E"/>
    <w:rsid w:val="00C91B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C91B72"/>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C91B72"/>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C91B72"/>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C91B72"/>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C91B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91B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91B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91B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91B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91B72"/>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C91B72"/>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C91B72"/>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C91B72"/>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C91B7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1B7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1B7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1B7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1B7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1B7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91B72"/>
    <w:rPr>
      <w:rFonts w:ascii="Arial" w:hAnsi="Arial" w:cs="Arial"/>
      <w:b/>
      <w:sz w:val="30"/>
    </w:rPr>
  </w:style>
  <w:style w:type="paragraph" w:customStyle="1" w:styleId="Overskrift211pkt">
    <w:name w:val="Overskrift 2 + 11 pkt"/>
    <w:basedOn w:val="Normal"/>
    <w:link w:val="Overskrift211pktTegn"/>
    <w:rsid w:val="00C91B72"/>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1B72"/>
    <w:rPr>
      <w:rFonts w:ascii="Arial" w:hAnsi="Arial" w:cs="Arial"/>
      <w:b/>
    </w:rPr>
  </w:style>
  <w:style w:type="paragraph" w:customStyle="1" w:styleId="Normal11">
    <w:name w:val="Normal + 11"/>
    <w:basedOn w:val="Normal"/>
    <w:link w:val="Normal11Tegn"/>
    <w:rsid w:val="00C91B72"/>
    <w:rPr>
      <w:rFonts w:ascii="Times New Roman" w:hAnsi="Times New Roman" w:cs="Times New Roman"/>
    </w:rPr>
  </w:style>
  <w:style w:type="character" w:customStyle="1" w:styleId="Normal11Tegn">
    <w:name w:val="Normal + 11 Tegn"/>
    <w:basedOn w:val="Standardskrifttypeiafsnit"/>
    <w:link w:val="Normal11"/>
    <w:rsid w:val="00C91B72"/>
    <w:rPr>
      <w:rFonts w:ascii="Times New Roman" w:hAnsi="Times New Roman" w:cs="Times New Roman"/>
    </w:rPr>
  </w:style>
  <w:style w:type="paragraph" w:styleId="Sidehoved">
    <w:name w:val="header"/>
    <w:basedOn w:val="Normal"/>
    <w:link w:val="SidehovedTegn"/>
    <w:uiPriority w:val="99"/>
    <w:unhideWhenUsed/>
    <w:rsid w:val="00C91B72"/>
    <w:pPr>
      <w:tabs>
        <w:tab w:val="center" w:pos="4819"/>
        <w:tab w:val="right" w:pos="9638"/>
      </w:tabs>
    </w:pPr>
  </w:style>
  <w:style w:type="character" w:customStyle="1" w:styleId="SidehovedTegn">
    <w:name w:val="Sidehoved Tegn"/>
    <w:basedOn w:val="Standardskrifttypeiafsnit"/>
    <w:link w:val="Sidehoved"/>
    <w:uiPriority w:val="99"/>
    <w:rsid w:val="00C91B72"/>
  </w:style>
  <w:style w:type="paragraph" w:styleId="Sidefod">
    <w:name w:val="footer"/>
    <w:basedOn w:val="Normal"/>
    <w:link w:val="SidefodTegn"/>
    <w:uiPriority w:val="99"/>
    <w:unhideWhenUsed/>
    <w:rsid w:val="00C91B72"/>
    <w:pPr>
      <w:tabs>
        <w:tab w:val="center" w:pos="4819"/>
        <w:tab w:val="right" w:pos="9638"/>
      </w:tabs>
    </w:pPr>
  </w:style>
  <w:style w:type="character" w:customStyle="1" w:styleId="SidefodTegn">
    <w:name w:val="Sidefod Tegn"/>
    <w:basedOn w:val="Standardskrifttypeiafsnit"/>
    <w:link w:val="Sidefod"/>
    <w:uiPriority w:val="99"/>
    <w:rsid w:val="00C91B72"/>
  </w:style>
  <w:style w:type="paragraph" w:styleId="Overskrift">
    <w:name w:val="TOC Heading"/>
    <w:basedOn w:val="Overskrift1"/>
    <w:next w:val="Normal"/>
    <w:uiPriority w:val="39"/>
    <w:semiHidden/>
    <w:unhideWhenUsed/>
    <w:qFormat/>
    <w:rsid w:val="00C91B72"/>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C91B72"/>
    <w:pPr>
      <w:spacing w:after="100"/>
    </w:pPr>
  </w:style>
  <w:style w:type="paragraph" w:styleId="Indholdsfortegnelse2">
    <w:name w:val="toc 2"/>
    <w:basedOn w:val="Normal"/>
    <w:next w:val="Normal"/>
    <w:autoRedefine/>
    <w:uiPriority w:val="39"/>
    <w:unhideWhenUsed/>
    <w:rsid w:val="00C91B72"/>
    <w:pPr>
      <w:spacing w:after="100"/>
      <w:ind w:left="220"/>
    </w:pPr>
  </w:style>
  <w:style w:type="character" w:styleId="Hyperlink">
    <w:name w:val="Hyperlink"/>
    <w:basedOn w:val="Standardskrifttypeiafsnit"/>
    <w:uiPriority w:val="99"/>
    <w:unhideWhenUsed/>
    <w:rsid w:val="00C91B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C91B72"/>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C91B72"/>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C91B72"/>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C91B72"/>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C91B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91B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91B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91B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91B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91B72"/>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C91B72"/>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C91B72"/>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C91B72"/>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C91B7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1B7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1B7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1B7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1B7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1B7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91B72"/>
    <w:rPr>
      <w:rFonts w:ascii="Arial" w:hAnsi="Arial" w:cs="Arial"/>
      <w:b/>
      <w:sz w:val="30"/>
    </w:rPr>
  </w:style>
  <w:style w:type="paragraph" w:customStyle="1" w:styleId="Overskrift211pkt">
    <w:name w:val="Overskrift 2 + 11 pkt"/>
    <w:basedOn w:val="Normal"/>
    <w:link w:val="Overskrift211pktTegn"/>
    <w:rsid w:val="00C91B72"/>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1B72"/>
    <w:rPr>
      <w:rFonts w:ascii="Arial" w:hAnsi="Arial" w:cs="Arial"/>
      <w:b/>
    </w:rPr>
  </w:style>
  <w:style w:type="paragraph" w:customStyle="1" w:styleId="Normal11">
    <w:name w:val="Normal + 11"/>
    <w:basedOn w:val="Normal"/>
    <w:link w:val="Normal11Tegn"/>
    <w:rsid w:val="00C91B72"/>
    <w:rPr>
      <w:rFonts w:ascii="Times New Roman" w:hAnsi="Times New Roman" w:cs="Times New Roman"/>
    </w:rPr>
  </w:style>
  <w:style w:type="character" w:customStyle="1" w:styleId="Normal11Tegn">
    <w:name w:val="Normal + 11 Tegn"/>
    <w:basedOn w:val="Standardskrifttypeiafsnit"/>
    <w:link w:val="Normal11"/>
    <w:rsid w:val="00C91B72"/>
    <w:rPr>
      <w:rFonts w:ascii="Times New Roman" w:hAnsi="Times New Roman" w:cs="Times New Roman"/>
    </w:rPr>
  </w:style>
  <w:style w:type="paragraph" w:styleId="Sidehoved">
    <w:name w:val="header"/>
    <w:basedOn w:val="Normal"/>
    <w:link w:val="SidehovedTegn"/>
    <w:uiPriority w:val="99"/>
    <w:unhideWhenUsed/>
    <w:rsid w:val="00C91B72"/>
    <w:pPr>
      <w:tabs>
        <w:tab w:val="center" w:pos="4819"/>
        <w:tab w:val="right" w:pos="9638"/>
      </w:tabs>
    </w:pPr>
  </w:style>
  <w:style w:type="character" w:customStyle="1" w:styleId="SidehovedTegn">
    <w:name w:val="Sidehoved Tegn"/>
    <w:basedOn w:val="Standardskrifttypeiafsnit"/>
    <w:link w:val="Sidehoved"/>
    <w:uiPriority w:val="99"/>
    <w:rsid w:val="00C91B72"/>
  </w:style>
  <w:style w:type="paragraph" w:styleId="Sidefod">
    <w:name w:val="footer"/>
    <w:basedOn w:val="Normal"/>
    <w:link w:val="SidefodTegn"/>
    <w:uiPriority w:val="99"/>
    <w:unhideWhenUsed/>
    <w:rsid w:val="00C91B72"/>
    <w:pPr>
      <w:tabs>
        <w:tab w:val="center" w:pos="4819"/>
        <w:tab w:val="right" w:pos="9638"/>
      </w:tabs>
    </w:pPr>
  </w:style>
  <w:style w:type="character" w:customStyle="1" w:styleId="SidefodTegn">
    <w:name w:val="Sidefod Tegn"/>
    <w:basedOn w:val="Standardskrifttypeiafsnit"/>
    <w:link w:val="Sidefod"/>
    <w:uiPriority w:val="99"/>
    <w:rsid w:val="00C91B72"/>
  </w:style>
  <w:style w:type="paragraph" w:styleId="Overskrift">
    <w:name w:val="TOC Heading"/>
    <w:basedOn w:val="Overskrift1"/>
    <w:next w:val="Normal"/>
    <w:uiPriority w:val="39"/>
    <w:semiHidden/>
    <w:unhideWhenUsed/>
    <w:qFormat/>
    <w:rsid w:val="00C91B72"/>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C91B72"/>
    <w:pPr>
      <w:spacing w:after="100"/>
    </w:pPr>
  </w:style>
  <w:style w:type="paragraph" w:styleId="Indholdsfortegnelse2">
    <w:name w:val="toc 2"/>
    <w:basedOn w:val="Normal"/>
    <w:next w:val="Normal"/>
    <w:autoRedefine/>
    <w:uiPriority w:val="39"/>
    <w:unhideWhenUsed/>
    <w:rsid w:val="00C91B72"/>
    <w:pPr>
      <w:spacing w:after="100"/>
      <w:ind w:left="220"/>
    </w:pPr>
  </w:style>
  <w:style w:type="character" w:styleId="Hyperlink">
    <w:name w:val="Hyperlink"/>
    <w:basedOn w:val="Standardskrifttypeiafsnit"/>
    <w:uiPriority w:val="99"/>
    <w:unhideWhenUsed/>
    <w:rsid w:val="00C91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E0C8A-15E9-4A0B-96C2-8BF3E106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2926</Words>
  <Characters>17851</Characters>
  <Application>Microsoft Office Word</Application>
  <DocSecurity>0</DocSecurity>
  <Lines>148</Lines>
  <Paragraphs>41</Paragraphs>
  <ScaleCrop>false</ScaleCrop>
  <Company>SKAT</Company>
  <LinksUpToDate>false</LinksUpToDate>
  <CharactersWithSpaces>20736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2013-03-15T08:34:00Z</dcterms:created>
  <dcterms:modified xsi:type="dcterms:W3CDTF">2013-03-15T08:37:00Z</dcterms:modified>
</cp:coreProperties>
</file>