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678E4" w:rsidTr="00C678E4">
        <w:tblPrEx>
          <w:tblCellMar>
            <w:top w:w="0" w:type="dxa"/>
            <w:bottom w:w="0" w:type="dxa"/>
          </w:tblCellMar>
        </w:tblPrEx>
        <w:trPr>
          <w:trHeight w:hRule="exact" w:val="113"/>
        </w:trPr>
        <w:tc>
          <w:tcPr>
            <w:tcW w:w="10205" w:type="dxa"/>
            <w:gridSpan w:val="6"/>
            <w:shd w:val="clear" w:color="auto" w:fill="82A0F0"/>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78E4" w:rsidTr="00C678E4">
        <w:tblPrEx>
          <w:tblCellMar>
            <w:top w:w="0" w:type="dxa"/>
            <w:bottom w:w="0" w:type="dxa"/>
          </w:tblCellMar>
        </w:tblPrEx>
        <w:trPr>
          <w:trHeight w:val="283"/>
        </w:trPr>
        <w:tc>
          <w:tcPr>
            <w:tcW w:w="10205" w:type="dxa"/>
            <w:gridSpan w:val="6"/>
            <w:tcBorders>
              <w:bottom w:val="single" w:sz="6" w:space="0" w:color="auto"/>
            </w:tcBorders>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678E4">
              <w:rPr>
                <w:rFonts w:ascii="Arial" w:hAnsi="Arial" w:cs="Arial"/>
                <w:b/>
                <w:sz w:val="30"/>
              </w:rPr>
              <w:t>OpkrævningFordringListeOpdater</w:t>
            </w:r>
          </w:p>
        </w:tc>
      </w:tr>
      <w:tr w:rsidR="00C678E4" w:rsidTr="00C678E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678E4" w:rsidTr="00C678E4">
        <w:tblPrEx>
          <w:tblCellMar>
            <w:top w:w="0" w:type="dxa"/>
            <w:bottom w:w="0" w:type="dxa"/>
          </w:tblCellMar>
        </w:tblPrEx>
        <w:trPr>
          <w:gridAfter w:val="1"/>
          <w:trHeight w:val="283"/>
        </w:trPr>
        <w:tc>
          <w:tcPr>
            <w:tcW w:w="1701" w:type="dxa"/>
            <w:tcBorders>
              <w:top w:val="nil"/>
            </w:tcBorders>
            <w:shd w:val="clear" w:color="auto" w:fill="auto"/>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2019-04-01</w:t>
            </w:r>
          </w:p>
        </w:tc>
      </w:tr>
      <w:tr w:rsidR="00C678E4" w:rsidTr="00C678E4">
        <w:tblPrEx>
          <w:tblCellMar>
            <w:top w:w="0" w:type="dxa"/>
            <w:bottom w:w="0" w:type="dxa"/>
          </w:tblCellMar>
        </w:tblPrEx>
        <w:trPr>
          <w:trHeight w:val="283"/>
        </w:trPr>
        <w:tc>
          <w:tcPr>
            <w:tcW w:w="10205" w:type="dxa"/>
            <w:gridSpan w:val="6"/>
            <w:shd w:val="clear" w:color="auto" w:fill="D2DCFA"/>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678E4" w:rsidTr="00C678E4">
        <w:tblPrEx>
          <w:tblCellMar>
            <w:top w:w="0" w:type="dxa"/>
            <w:bottom w:w="0" w:type="dxa"/>
          </w:tblCellMar>
        </w:tblPrEx>
        <w:trPr>
          <w:trHeight w:val="283"/>
        </w:trPr>
        <w:tc>
          <w:tcPr>
            <w:tcW w:w="10205" w:type="dxa"/>
            <w:gridSpan w:val="6"/>
            <w:vAlign w:val="center"/>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eller tilbagekalde en eller flere eksisterende opkrævningsfordringer i Skatteforvaltningens opkrævningssystem, DMO, fx hvor: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har ændringer til en eller flere specifikke opkrævningsfordringer.</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vil tilbagekalde en eller flere specifikke opkrævningsfordringer.</w:t>
            </w:r>
          </w:p>
        </w:tc>
      </w:tr>
      <w:tr w:rsidR="00C678E4" w:rsidTr="00C678E4">
        <w:tblPrEx>
          <w:tblCellMar>
            <w:top w:w="0" w:type="dxa"/>
            <w:bottom w:w="0" w:type="dxa"/>
          </w:tblCellMar>
        </w:tblPrEx>
        <w:trPr>
          <w:trHeight w:val="283"/>
        </w:trPr>
        <w:tc>
          <w:tcPr>
            <w:tcW w:w="10205" w:type="dxa"/>
            <w:gridSpan w:val="6"/>
            <w:shd w:val="clear" w:color="auto" w:fill="D2DCFA"/>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678E4" w:rsidTr="00C678E4">
        <w:tblPrEx>
          <w:tblCellMar>
            <w:top w:w="0" w:type="dxa"/>
            <w:bottom w:w="0" w:type="dxa"/>
          </w:tblCellMar>
        </w:tblPrEx>
        <w:trPr>
          <w:trHeight w:val="283"/>
        </w:trPr>
        <w:tc>
          <w:tcPr>
            <w:tcW w:w="10205" w:type="dxa"/>
            <w:gridSpan w:val="6"/>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en eller flere opkrævningsfordringer i Skatteforvaltningens opkrævningssystem, DMO. Tilbagekaldelse af en opkrævningsfordring skal også ske via denne service. Tilbagekaldelse sker i praksis ved at delfordringsbeløbet opdateres til 0.</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Servicekalder skal identificere opkrævningsfordringen med et OpkrævningFordringID, KundeNummer og KundeType.</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kræver kun de oplysninger, som skal ændres på opkrævningsfordringen.</w:t>
            </w:r>
          </w:p>
        </w:tc>
      </w:tr>
      <w:tr w:rsidR="00C678E4" w:rsidTr="00C678E4">
        <w:tblPrEx>
          <w:tblCellMar>
            <w:top w:w="0" w:type="dxa"/>
            <w:bottom w:w="0" w:type="dxa"/>
          </w:tblCellMar>
        </w:tblPrEx>
        <w:trPr>
          <w:trHeight w:val="283"/>
        </w:trPr>
        <w:tc>
          <w:tcPr>
            <w:tcW w:w="10205" w:type="dxa"/>
            <w:gridSpan w:val="6"/>
            <w:shd w:val="clear" w:color="auto" w:fill="D2DCFA"/>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678E4" w:rsidTr="00C678E4">
        <w:tblPrEx>
          <w:tblCellMar>
            <w:top w:w="0" w:type="dxa"/>
            <w:bottom w:w="0" w:type="dxa"/>
          </w:tblCellMar>
        </w:tblPrEx>
        <w:trPr>
          <w:trHeight w:val="283"/>
        </w:trPr>
        <w:tc>
          <w:tcPr>
            <w:tcW w:w="10205" w:type="dxa"/>
            <w:gridSpan w:val="6"/>
            <w:shd w:val="clear" w:color="auto" w:fill="FFFFFF"/>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Bortset fra situationer, hvor en FF opdateres til OR er det ikke muligt at opdatere OpkrævningFordringTypeID. Hvis en sådan opdatering ønskes skal det ske ved at opdatere den eksisterende fordring til 0 og derefter oprette en ny fordring med det korrekte OpkrævningFordringTypeID.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OpkrævningHæftelseForm skal altid udfyldes med "Solidarisk" indtil andet besluttes</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OpkrævningFordringListeOpdater: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Man sletter IKKE en opkrævningsfordring ved tilbagekaldelse. Den oprindelige fordring tilbageføres inklusiv påløbne renter ved at sende en opdatering til opkrævningsfordringen med FordringBeløb = 0 kr. og DelFordringBeløb = 0 i de tidligere indberettede DelFordringer.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Opdateringer med beløbsmæssig effekt udføres som deltaposteringer. Det betyder, at det er forskellen mellem det oprindelige beløb og det opdaterede beløb, som posteres. Fordringshaver skal derfor altid medsende det nye opdaterede beløb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FF scenariet modkonteres de oprindelig beløb, og nye tilføjes. I dette scenario vil den oprindelige FF fordring blive opdateret med alle nye data.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opdaterede opkrævningsfordring er helt eller delvist dækket, så vil opdateringen indgå på kontoen og dækkes herefter via den almindelige uddækningsproces. Den oprindelige Uddækning bliver ikke tilbageført.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 opdatering af fordringen vil renten blive opdateret på kontoen.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opdaterede opkrævningsfordring er overdraget til inddrivelse (EFI), vil inddrivelsesfordringen blive op- eller nedskrevet.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Fejlbehæftede opkrævningsfordringer, som forsøges opdateret, afvises (der opdateres IKKE nogen oplysninger på en fejlbehæftet opkrævningsfordring)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fx 12 ud af 500 opkrævningsfordringer er fejlbehæftede, så opdateres de 488, mens de øvrige afvises.</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opdatering.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 anvendes til at udpege fordringen, som skal opdateres. KundeType og KundeNummer anvendes til at validere, at det er det korrekte OpkrævningFordringID.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dataelementer, der skal udfyldes, bliver det oprindelige indhold erstattet af det nye indhold.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dataelementer, der kan udfyldes, bliver det oprindelige indhold erstattet af det nye indhold. Hvis dataelementet ikke leveres bibeholdes det oprindelige indhold.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følgende strukturer, IdentifikationSletOpdaterValg, KommentarSletTilføjValg, HæftelseSletOpdaterValg,  EnkeltHæftelseSletOpdaterValg samt strukturen OpkrævningSpecifikationStruktur i SpecifikationSletOpdaterValg.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at alle data elementer under en struktur slettes helt, hvis OpkrævningSletMarkering er sat.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nedenstående Valg gælder følgende supplerende regler: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Fordringsspecifikation.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 strukturen OpkrævningSpecifikationLinjeStruktur lagres data i en lang xml-streng. Ved opdatering af denne struktur overskrives den eksisterende.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strukturen OpkrævningSpecifikationParameterStruktur tilføjes nye værdier til den eksisterende struktur ved en opdatering. Medmindre det er et allerede kendt OpkrævningSpecifikationParameterNavn, i denne situation overskrives værdien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KommentatSletTilføjValg kan der tilføjes nye kommentarer. Hvis OpkrævningSletMarkering er sat, slettes alle kommentarer, der er oprettet for fordringen. Der kan ikke både slettes og tilføjes i samme servicekald.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EnkeltHæftelseSletOpdaterValg  kan en eller flere medhæftere slettes, ved at sætte OpkrævningSletMarkering og udfylde blokken Medhæfter med KundeNummer, KundeType på den/de medhæftere, som skal slettes. Nye medhæftere tilføjes ved at udfylde KundeNummer og KundeType i blokken Medhæfter og minimum OpkrævningHæftelseForm i blokken Opdater. Ved indføjelse af nye hæftere sker ingen opdatering hos DMI omkring hæftelsesforholdet.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EAN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Informationer ændres ikke ved blanke værdier.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slettemarkering sættes til "True" (boolean), så slettes hele listen med EAN informationer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False. Så foretages ingen opdatering.af EAN listen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værdi for slettemarkering er blank ændres EAN informationen, men blanke værdier i listen slettes ikke.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Fordringsspecifikation: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slettemarkering slettes hele fordringsspecifikationen for det pågældende OpkrævningFordringID.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kan bl.a. i opdateringssituationen indgå i følgende processer og vil have følgende afhængigheder.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fordring indgår i en aktiv betalingsordning, udstedes en fejlmeddelelse og DMO kontaktes for fejlbehandling.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fordring er helt eller delvist afskrevet, udstedes en fejlmeddelelse, og DMO kontaktes for fejlbehandling.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Rykkerprocessen: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Såfremt en FF har været rykket, og stadig er udækket, når den ordinære angivelse modtages, vil denne rykkerproces blive nulstillet. Dette sker i praksis ved at den oprindelige FF fordring udlignes med den nye modkonterede FF postering. De nye udækkede fordringsbeløb vil herefter starte forfra i rykkerprocessen.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Overdraget til inddrivelse:</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opdatering vil medføre op eller nedskrivninger hos EFI.</w:t>
            </w:r>
          </w:p>
        </w:tc>
      </w:tr>
      <w:tr w:rsidR="00C678E4" w:rsidTr="00C678E4">
        <w:tblPrEx>
          <w:tblCellMar>
            <w:top w:w="0" w:type="dxa"/>
            <w:bottom w:w="0" w:type="dxa"/>
          </w:tblCellMar>
        </w:tblPrEx>
        <w:trPr>
          <w:trHeight w:val="283"/>
        </w:trPr>
        <w:tc>
          <w:tcPr>
            <w:tcW w:w="10205" w:type="dxa"/>
            <w:gridSpan w:val="6"/>
            <w:shd w:val="clear" w:color="auto" w:fill="D2DCFA"/>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C678E4" w:rsidTr="00C678E4">
        <w:tblPrEx>
          <w:tblCellMar>
            <w:top w:w="0" w:type="dxa"/>
            <w:bottom w:w="0" w:type="dxa"/>
          </w:tblCellMar>
        </w:tblPrEx>
        <w:trPr>
          <w:trHeight w:val="283"/>
        </w:trPr>
        <w:tc>
          <w:tcPr>
            <w:tcW w:w="10205" w:type="dxa"/>
            <w:gridSpan w:val="6"/>
            <w:shd w:val="clear" w:color="auto" w:fill="FFFFFF"/>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678E4" w:rsidTr="00C678E4">
        <w:tblPrEx>
          <w:tblCellMar>
            <w:top w:w="0" w:type="dxa"/>
            <w:bottom w:w="0" w:type="dxa"/>
          </w:tblCellMar>
        </w:tblPrEx>
        <w:trPr>
          <w:trHeight w:val="283"/>
        </w:trPr>
        <w:tc>
          <w:tcPr>
            <w:tcW w:w="10205" w:type="dxa"/>
            <w:gridSpan w:val="6"/>
            <w:shd w:val="clear" w:color="auto" w:fill="FFFFFF"/>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OpkrævningFordringListeOpdater_I_I</w:t>
            </w:r>
          </w:p>
        </w:tc>
      </w:tr>
      <w:tr w:rsidR="00C678E4" w:rsidTr="00C678E4">
        <w:tblPrEx>
          <w:tblCellMar>
            <w:top w:w="0" w:type="dxa"/>
            <w:bottom w:w="0" w:type="dxa"/>
          </w:tblCellMar>
        </w:tblPrEx>
        <w:trPr>
          <w:trHeight w:val="283"/>
        </w:trPr>
        <w:tc>
          <w:tcPr>
            <w:tcW w:w="10205" w:type="dxa"/>
            <w:gridSpan w:val="6"/>
            <w:shd w:val="clear" w:color="auto" w:fill="FFFFFF"/>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IdentifikationSletOpdaterValg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OpkrævningIdentifikationValg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KommentarSletTilføjValg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OpkrævningFordringKommentar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SidsteRettidigBetaling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SpecifikationSletOpdaterValg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OpkrævningSpecifikationStruktur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OpkrævningSpecifikationStrukturLinjeListe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OpkrævningSpecifikationLinjeStruktur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(OpkrævningSpecifikationLinjeNummer)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OpkrævningSpecifikationLinjeTekst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OpkrævningSpecifikationLinjeBeløb</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OpkrævningSpecifikationLinjeParameterStrukturListe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OpkrævningSpecifikationLinjeParameterStruktur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OpkrævningSpecifikationLinjeParameterNavn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OpkrævningSpecifikationLinjeParameterValg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OpkrævningSpecifikationLinjeParameterBeløb</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OpkrævningSpecifikationLinjeParameterTekst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OpkrævningSpecifikationLinjeParameterDato</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OpkrævningSpecifikationLinjeParameterSats</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OpkrævningSpecifikationLinjeParameterMængde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OpkrævningSpecifikationParameterStrukturListe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OpkrævningSpecifikationParameterStruktur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OpkrævningSpecifikationParameterNavn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OpkrævningSpecifikationParameterValg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OpkrævningSpecifikationParameterBeløb</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OpkrævningSpecifikationParameterTekst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OpkrævningSpecifikationParameterDato</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OpkrævningSpecifikationParameterMængde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OpkrævningSpecifikationParameterSats</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OpkrævningFordringDelFordringListe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OpkrævningFordringDelFordring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HæftelseSletOpdaterValg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HæftelseListe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EnkeltHæftelseSletOpdaterValg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678E4" w:rsidTr="00C678E4">
        <w:tblPrEx>
          <w:tblCellMar>
            <w:top w:w="0" w:type="dxa"/>
            <w:bottom w:w="0" w:type="dxa"/>
          </w:tblCellMar>
        </w:tblPrEx>
        <w:trPr>
          <w:trHeight w:val="283"/>
        </w:trPr>
        <w:tc>
          <w:tcPr>
            <w:tcW w:w="10205" w:type="dxa"/>
            <w:gridSpan w:val="6"/>
            <w:shd w:val="clear" w:color="auto" w:fill="FFFFFF"/>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OpkrævningFordringListeOpdater_O_I</w:t>
            </w:r>
          </w:p>
        </w:tc>
      </w:tr>
      <w:tr w:rsidR="00C678E4" w:rsidTr="00C678E4">
        <w:tblPrEx>
          <w:tblCellMar>
            <w:top w:w="0" w:type="dxa"/>
            <w:bottom w:w="0" w:type="dxa"/>
          </w:tblCellMar>
        </w:tblPrEx>
        <w:trPr>
          <w:trHeight w:val="283"/>
        </w:trPr>
        <w:tc>
          <w:tcPr>
            <w:tcW w:w="10205" w:type="dxa"/>
            <w:gridSpan w:val="6"/>
            <w:shd w:val="clear" w:color="auto" w:fill="FFFFFF"/>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C678E4" w:rsidTr="00C678E4">
        <w:tblPrEx>
          <w:tblCellMar>
            <w:top w:w="0" w:type="dxa"/>
            <w:bottom w:w="0" w:type="dxa"/>
          </w:tblCellMar>
        </w:tblPrEx>
        <w:trPr>
          <w:trHeight w:val="283"/>
        </w:trPr>
        <w:tc>
          <w:tcPr>
            <w:tcW w:w="10205" w:type="dxa"/>
            <w:gridSpan w:val="6"/>
            <w:shd w:val="clear" w:color="auto" w:fill="FFFFFF"/>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678E4" w:rsidTr="00C678E4">
        <w:tblPrEx>
          <w:tblCellMar>
            <w:top w:w="0" w:type="dxa"/>
            <w:bottom w:w="0" w:type="dxa"/>
          </w:tblCellMar>
        </w:tblPrEx>
        <w:trPr>
          <w:trHeight w:val="283"/>
        </w:trPr>
        <w:tc>
          <w:tcPr>
            <w:tcW w:w="10205" w:type="dxa"/>
            <w:gridSpan w:val="6"/>
            <w:shd w:val="clear" w:color="auto" w:fill="FFFFFF"/>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OpkrævningFordringListeOpdater_I_O</w:t>
            </w:r>
          </w:p>
        </w:tc>
      </w:tr>
      <w:tr w:rsidR="00C678E4" w:rsidTr="00C678E4">
        <w:tblPrEx>
          <w:tblCellMar>
            <w:top w:w="0" w:type="dxa"/>
            <w:bottom w:w="0" w:type="dxa"/>
          </w:tblCellMar>
        </w:tblPrEx>
        <w:trPr>
          <w:trHeight w:val="283"/>
        </w:trPr>
        <w:tc>
          <w:tcPr>
            <w:tcW w:w="10205" w:type="dxa"/>
            <w:gridSpan w:val="6"/>
            <w:shd w:val="clear" w:color="auto" w:fill="FFFFFF"/>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C678E4" w:rsidTr="00C678E4">
        <w:tblPrEx>
          <w:tblCellMar>
            <w:top w:w="0" w:type="dxa"/>
            <w:bottom w:w="0" w:type="dxa"/>
          </w:tblCellMar>
        </w:tblPrEx>
        <w:trPr>
          <w:trHeight w:val="283"/>
        </w:trPr>
        <w:tc>
          <w:tcPr>
            <w:tcW w:w="10205" w:type="dxa"/>
            <w:gridSpan w:val="6"/>
            <w:shd w:val="clear" w:color="auto" w:fill="FFFFFF"/>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OpkrævningFordringListeOpdater_O_O</w:t>
            </w:r>
          </w:p>
        </w:tc>
      </w:tr>
      <w:tr w:rsidR="00C678E4" w:rsidTr="00C678E4">
        <w:tblPrEx>
          <w:tblCellMar>
            <w:top w:w="0" w:type="dxa"/>
            <w:bottom w:w="0" w:type="dxa"/>
          </w:tblCellMar>
        </w:tblPrEx>
        <w:trPr>
          <w:trHeight w:val="283"/>
        </w:trPr>
        <w:tc>
          <w:tcPr>
            <w:tcW w:w="10205" w:type="dxa"/>
            <w:gridSpan w:val="6"/>
            <w:shd w:val="clear" w:color="auto" w:fill="FFFFFF"/>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678E4" w:rsidTr="00C678E4">
        <w:tblPrEx>
          <w:tblCellMar>
            <w:top w:w="0" w:type="dxa"/>
            <w:bottom w:w="0" w:type="dxa"/>
          </w:tblCellMar>
        </w:tblPrEx>
        <w:trPr>
          <w:trHeight w:val="283"/>
        </w:trPr>
        <w:tc>
          <w:tcPr>
            <w:tcW w:w="10205" w:type="dxa"/>
            <w:gridSpan w:val="6"/>
            <w:shd w:val="clear" w:color="auto" w:fill="FFFFFF"/>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C678E4" w:rsidTr="00C678E4">
        <w:tblPrEx>
          <w:tblCellMar>
            <w:top w:w="0" w:type="dxa"/>
            <w:bottom w:w="0" w:type="dxa"/>
          </w:tblCellMar>
        </w:tblPrEx>
        <w:trPr>
          <w:trHeight w:val="283"/>
        </w:trPr>
        <w:tc>
          <w:tcPr>
            <w:tcW w:w="10205" w:type="dxa"/>
            <w:gridSpan w:val="6"/>
            <w:shd w:val="clear" w:color="auto" w:fill="FFFFFF"/>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OpkrævningFordringListeOpdater_O_F</w:t>
            </w:r>
          </w:p>
        </w:tc>
      </w:tr>
      <w:tr w:rsidR="00C678E4" w:rsidTr="00C678E4">
        <w:tblPrEx>
          <w:tblCellMar>
            <w:top w:w="0" w:type="dxa"/>
            <w:bottom w:w="0" w:type="dxa"/>
          </w:tblCellMar>
        </w:tblPrEx>
        <w:trPr>
          <w:trHeight w:val="283"/>
        </w:trPr>
        <w:tc>
          <w:tcPr>
            <w:tcW w:w="10205" w:type="dxa"/>
            <w:gridSpan w:val="6"/>
            <w:shd w:val="clear" w:color="auto" w:fill="FFFFFF"/>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(OpkrævningFordringBeløb)</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(OpkrævningFordringPeriodeFraDato)</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tc>
      </w:tr>
      <w:tr w:rsidR="00C678E4" w:rsidTr="00C678E4">
        <w:tblPrEx>
          <w:tblCellMar>
            <w:top w:w="0" w:type="dxa"/>
            <w:bottom w:w="0" w:type="dxa"/>
          </w:tblCellMar>
        </w:tblPrEx>
        <w:trPr>
          <w:trHeight w:val="283"/>
        </w:trPr>
        <w:tc>
          <w:tcPr>
            <w:tcW w:w="10205" w:type="dxa"/>
            <w:gridSpan w:val="6"/>
            <w:shd w:val="clear" w:color="auto" w:fill="D2DCFA"/>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678E4" w:rsidTr="00C678E4">
        <w:tblPrEx>
          <w:tblCellMar>
            <w:top w:w="0" w:type="dxa"/>
            <w:bottom w:w="0" w:type="dxa"/>
          </w:tblCellMar>
        </w:tblPrEx>
        <w:trPr>
          <w:trHeight w:val="283"/>
        </w:trPr>
        <w:tc>
          <w:tcPr>
            <w:tcW w:w="10205" w:type="dxa"/>
            <w:gridSpan w:val="6"/>
            <w:shd w:val="clear" w:color="auto" w:fill="FFFFFF"/>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035 - OpkrævningFordringPeriodeTil skal være større end OpkrævningFordringPeriodeFra - OpkrævningFordringPeriodeFra, OpkrævningFordringPeriodeTil, OpkrævningFordringReferenceNummer, OpkrævningFordringID.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OpkrævnigFordringReferenceNummer, OpkrævningFordringID.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056 - OpkrævningFordringArt må ikke ændres fra  - OpkrævningFordringID, OpkrævningFordringArt, OpkrævningFordringID.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070: FordringsId tilhører ikke Kundenummer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071: SRB dato må ikke ligge før Forfaldsdato</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072: Forfaldsdato må ikke ligge efter SRB Dato</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073: Fordring indgår i aktiv betalingsordning - Kontakt DMO for fejlbehandling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074: Fordring helt eller delvist afskrevet - Kontakt DMO for fejlbehandling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C678E4" w:rsidTr="00C678E4">
        <w:tblPrEx>
          <w:tblCellMar>
            <w:top w:w="0" w:type="dxa"/>
            <w:bottom w:w="0" w:type="dxa"/>
          </w:tblCellMar>
        </w:tblPrEx>
        <w:trPr>
          <w:trHeight w:val="283"/>
        </w:trPr>
        <w:tc>
          <w:tcPr>
            <w:tcW w:w="10205" w:type="dxa"/>
            <w:gridSpan w:val="6"/>
            <w:shd w:val="clear" w:color="auto" w:fill="D2DCFA"/>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C678E4" w:rsidTr="00C678E4">
        <w:tblPrEx>
          <w:tblCellMar>
            <w:top w:w="0" w:type="dxa"/>
            <w:bottom w:w="0" w:type="dxa"/>
          </w:tblCellMar>
        </w:tblPrEx>
        <w:trPr>
          <w:trHeight w:val="283"/>
        </w:trPr>
        <w:tc>
          <w:tcPr>
            <w:tcW w:w="10205" w:type="dxa"/>
            <w:gridSpan w:val="6"/>
            <w:shd w:val="clear" w:color="auto" w:fill="FFFFFF"/>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rPr>
          <w:trHeight w:val="283"/>
        </w:trPr>
        <w:tc>
          <w:tcPr>
            <w:tcW w:w="10205" w:type="dxa"/>
            <w:gridSpan w:val="6"/>
            <w:shd w:val="clear" w:color="auto" w:fill="D2DCFA"/>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C678E4" w:rsidTr="00C678E4">
        <w:tblPrEx>
          <w:tblCellMar>
            <w:top w:w="0" w:type="dxa"/>
            <w:bottom w:w="0" w:type="dxa"/>
          </w:tblCellMar>
        </w:tblPrEx>
        <w:trPr>
          <w:trHeight w:val="283"/>
        </w:trPr>
        <w:tc>
          <w:tcPr>
            <w:tcW w:w="10205" w:type="dxa"/>
            <w:gridSpan w:val="6"/>
            <w:shd w:val="clear" w:color="auto" w:fill="FFFFFF"/>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opdaterer enkeltfelter.</w:t>
            </w:r>
          </w:p>
        </w:tc>
      </w:tr>
      <w:tr w:rsidR="00C678E4" w:rsidTr="00C678E4">
        <w:tblPrEx>
          <w:tblCellMar>
            <w:top w:w="0" w:type="dxa"/>
            <w:bottom w:w="0" w:type="dxa"/>
          </w:tblCellMar>
        </w:tblPrEx>
        <w:trPr>
          <w:trHeight w:val="283"/>
        </w:trPr>
        <w:tc>
          <w:tcPr>
            <w:tcW w:w="10205" w:type="dxa"/>
            <w:gridSpan w:val="6"/>
            <w:shd w:val="clear" w:color="auto" w:fill="D2DCFA"/>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C678E4" w:rsidTr="00C678E4">
        <w:tblPrEx>
          <w:tblCellMar>
            <w:top w:w="0" w:type="dxa"/>
            <w:bottom w:w="0" w:type="dxa"/>
          </w:tblCellMar>
        </w:tblPrEx>
        <w:trPr>
          <w:trHeight w:val="283"/>
        </w:trPr>
        <w:tc>
          <w:tcPr>
            <w:tcW w:w="10205" w:type="dxa"/>
            <w:gridSpan w:val="6"/>
            <w:shd w:val="clear" w:color="auto" w:fill="FFFFFF"/>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genererer DMO OpkrævningFordringForsendelseBestillingID som udgør en global unik identifikation af servicekaldet, og som returneres til kalder af service.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tilfælde at retursvaret (I_O) med OpkrævningFordringForsendelseBestillingID ikke når frem, skal systemet der kaldte med fordringer til oprettelse (I_I kaldet) kalde igen men det samme TransaktionsID som det første kald (Oprindelige I_I).</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I det tilfælde hvor det oprindelig I_I kald aldrig blev modtaget svares der med normal (I_O) indhold inkl. OpkrævningFordringForsendelseBestillingID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I det tilfælde hvor det oprindelig I_I kald blev behandlet men svaret blev tabt efter afsendelse af (I_O) vil der blive modtaget en fejlmeddelelse hvor OpkrævningFordringForsendelseBestillingID igen vil fremgå.</w:t>
            </w:r>
          </w:p>
        </w:tc>
      </w:tr>
    </w:tbl>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678E4" w:rsidSect="00C678E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78E4" w:rsidTr="00C678E4">
        <w:tblPrEx>
          <w:tblCellMar>
            <w:top w:w="0" w:type="dxa"/>
            <w:bottom w:w="0" w:type="dxa"/>
          </w:tblCellMar>
        </w:tblPrEx>
        <w:trPr>
          <w:trHeight w:hRule="exact" w:val="113"/>
        </w:trPr>
        <w:tc>
          <w:tcPr>
            <w:tcW w:w="10205" w:type="dxa"/>
            <w:shd w:val="clear" w:color="auto" w:fill="D2DCF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78E4" w:rsidTr="00C678E4">
        <w:tblPrEx>
          <w:tblCellMar>
            <w:top w:w="0" w:type="dxa"/>
            <w:bottom w:w="0" w:type="dxa"/>
          </w:tblCellMar>
        </w:tblPrEx>
        <w:tc>
          <w:tcPr>
            <w:tcW w:w="10205" w:type="dxa"/>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C678E4" w:rsidTr="00C678E4">
        <w:tblPrEx>
          <w:tblCellMar>
            <w:top w:w="0" w:type="dxa"/>
            <w:bottom w:w="0" w:type="dxa"/>
          </w:tblCellMar>
        </w:tblPrEx>
        <w:tc>
          <w:tcPr>
            <w:tcW w:w="10205" w:type="dxa"/>
            <w:vAlign w:val="center"/>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78E4" w:rsidTr="00C678E4">
        <w:tblPrEx>
          <w:tblCellMar>
            <w:top w:w="0" w:type="dxa"/>
            <w:bottom w:w="0" w:type="dxa"/>
          </w:tblCellMar>
        </w:tblPrEx>
        <w:trPr>
          <w:trHeight w:hRule="exact" w:val="113"/>
        </w:trPr>
        <w:tc>
          <w:tcPr>
            <w:tcW w:w="10205" w:type="dxa"/>
            <w:shd w:val="clear" w:color="auto" w:fill="D2DCF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78E4" w:rsidTr="00C678E4">
        <w:tblPrEx>
          <w:tblCellMar>
            <w:top w:w="0" w:type="dxa"/>
            <w:bottom w:w="0" w:type="dxa"/>
          </w:tblCellMar>
        </w:tblPrEx>
        <w:tc>
          <w:tcPr>
            <w:tcW w:w="10205" w:type="dxa"/>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C678E4" w:rsidTr="00C678E4">
        <w:tblPrEx>
          <w:tblCellMar>
            <w:top w:w="0" w:type="dxa"/>
            <w:bottom w:w="0" w:type="dxa"/>
          </w:tblCellMar>
        </w:tblPrEx>
        <w:tc>
          <w:tcPr>
            <w:tcW w:w="10205" w:type="dxa"/>
            <w:vAlign w:val="center"/>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78E4" w:rsidTr="00C678E4">
        <w:tblPrEx>
          <w:tblCellMar>
            <w:top w:w="0" w:type="dxa"/>
            <w:bottom w:w="0" w:type="dxa"/>
          </w:tblCellMar>
        </w:tblPrEx>
        <w:trPr>
          <w:trHeight w:hRule="exact" w:val="113"/>
        </w:trPr>
        <w:tc>
          <w:tcPr>
            <w:tcW w:w="10205" w:type="dxa"/>
            <w:shd w:val="clear" w:color="auto" w:fill="D2DCF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78E4" w:rsidTr="00C678E4">
        <w:tblPrEx>
          <w:tblCellMar>
            <w:top w:w="0" w:type="dxa"/>
            <w:bottom w:w="0" w:type="dxa"/>
          </w:tblCellMar>
        </w:tblPrEx>
        <w:tc>
          <w:tcPr>
            <w:tcW w:w="10205" w:type="dxa"/>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C678E4" w:rsidTr="00C678E4">
        <w:tblPrEx>
          <w:tblCellMar>
            <w:top w:w="0" w:type="dxa"/>
            <w:bottom w:w="0" w:type="dxa"/>
          </w:tblCellMar>
        </w:tblPrEx>
        <w:tc>
          <w:tcPr>
            <w:tcW w:w="10205" w:type="dxa"/>
            <w:vAlign w:val="center"/>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78E4" w:rsidTr="00C678E4">
        <w:tblPrEx>
          <w:tblCellMar>
            <w:top w:w="0" w:type="dxa"/>
            <w:bottom w:w="0" w:type="dxa"/>
          </w:tblCellMar>
        </w:tblPrEx>
        <w:trPr>
          <w:trHeight w:hRule="exact" w:val="113"/>
        </w:trPr>
        <w:tc>
          <w:tcPr>
            <w:tcW w:w="10205" w:type="dxa"/>
            <w:shd w:val="clear" w:color="auto" w:fill="D2DCF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78E4" w:rsidTr="00C678E4">
        <w:tblPrEx>
          <w:tblCellMar>
            <w:top w:w="0" w:type="dxa"/>
            <w:bottom w:w="0" w:type="dxa"/>
          </w:tblCellMar>
        </w:tblPrEx>
        <w:tc>
          <w:tcPr>
            <w:tcW w:w="10205" w:type="dxa"/>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C678E4" w:rsidTr="00C678E4">
        <w:tblPrEx>
          <w:tblCellMar>
            <w:top w:w="0" w:type="dxa"/>
            <w:bottom w:w="0" w:type="dxa"/>
          </w:tblCellMar>
        </w:tblPrEx>
        <w:tc>
          <w:tcPr>
            <w:tcW w:w="10205" w:type="dxa"/>
            <w:vAlign w:val="center"/>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678E4" w:rsidSect="00C678E4">
          <w:headerReference w:type="default" r:id="rId13"/>
          <w:pgSz w:w="11906" w:h="16838"/>
          <w:pgMar w:top="567" w:right="567" w:bottom="567" w:left="1134" w:header="283" w:footer="708" w:gutter="0"/>
          <w:cols w:space="708"/>
          <w:docGrid w:linePitch="360"/>
        </w:sect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678E4" w:rsidTr="00C678E4">
        <w:tblPrEx>
          <w:tblCellMar>
            <w:top w:w="0" w:type="dxa"/>
            <w:bottom w:w="0" w:type="dxa"/>
          </w:tblCellMar>
        </w:tblPrEx>
        <w:trPr>
          <w:tblHeader/>
        </w:trPr>
        <w:tc>
          <w:tcPr>
            <w:tcW w:w="3401" w:type="dxa"/>
            <w:shd w:val="clear" w:color="auto" w:fill="D2DCFA"/>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tilknyttet undertypen til en opkrævningsfordringtype.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OpkrævningFordringForsendelseBestillingID</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(ID) skal bl.a. anvendes i tilfælde af tilbagekaldelse, korrektion eller bortfald fra fordringshavers side.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OpkrævningFordringKommentar</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1850-1949 - Told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OpkrævningHæftelseForm</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OpkrævningSletMarkering</w:t>
            </w:r>
          </w:p>
        </w:tc>
        <w:tc>
          <w:tcPr>
            <w:tcW w:w="17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givent element skal slettes. Regler for feltet er forskellig alt efter hvilken kontekst det bruges i, se funktionalitetsbeskrivelse af service for uddybning.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OpkrævningSpecifikationLinjeParameterTekst</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78E4" w:rsidTr="00C678E4">
        <w:tblPrEx>
          <w:tblCellMar>
            <w:top w:w="0" w:type="dxa"/>
            <w:bottom w:w="0" w:type="dxa"/>
          </w:tblCellMar>
        </w:tblPrEx>
        <w:tc>
          <w:tcPr>
            <w:tcW w:w="3401" w:type="dxa"/>
          </w:tcPr>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678E4" w:rsidRPr="00C678E4" w:rsidRDefault="00C678E4" w:rsidP="00C678E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678E4" w:rsidRPr="00C678E4" w:rsidSect="00C678E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8E4" w:rsidRDefault="00C678E4" w:rsidP="00C678E4">
      <w:pPr>
        <w:spacing w:line="240" w:lineRule="auto"/>
      </w:pPr>
      <w:r>
        <w:separator/>
      </w:r>
    </w:p>
  </w:endnote>
  <w:endnote w:type="continuationSeparator" w:id="0">
    <w:p w:rsidR="00C678E4" w:rsidRDefault="00C678E4" w:rsidP="00C67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8E4" w:rsidRDefault="00C678E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8E4" w:rsidRPr="00C678E4" w:rsidRDefault="00C678E4" w:rsidP="00C678E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april 2019</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8E4" w:rsidRDefault="00C678E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8E4" w:rsidRDefault="00C678E4" w:rsidP="00C678E4">
      <w:pPr>
        <w:spacing w:line="240" w:lineRule="auto"/>
      </w:pPr>
      <w:r>
        <w:separator/>
      </w:r>
    </w:p>
  </w:footnote>
  <w:footnote w:type="continuationSeparator" w:id="0">
    <w:p w:rsidR="00C678E4" w:rsidRDefault="00C678E4" w:rsidP="00C67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8E4" w:rsidRDefault="00C678E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8E4" w:rsidRPr="00C678E4" w:rsidRDefault="00C678E4" w:rsidP="00C678E4">
    <w:pPr>
      <w:pStyle w:val="Sidehoved"/>
      <w:jc w:val="center"/>
      <w:rPr>
        <w:rFonts w:ascii="Arial" w:hAnsi="Arial" w:cs="Arial"/>
      </w:rPr>
    </w:pPr>
    <w:r w:rsidRPr="00C678E4">
      <w:rPr>
        <w:rFonts w:ascii="Arial" w:hAnsi="Arial" w:cs="Arial"/>
      </w:rPr>
      <w:t>Servicebeskrivelse</w:t>
    </w:r>
  </w:p>
  <w:p w:rsidR="00C678E4" w:rsidRPr="00C678E4" w:rsidRDefault="00C678E4" w:rsidP="00C678E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8E4" w:rsidRDefault="00C678E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8E4" w:rsidRPr="00C678E4" w:rsidRDefault="00C678E4" w:rsidP="00C678E4">
    <w:pPr>
      <w:pStyle w:val="Sidehoved"/>
      <w:jc w:val="center"/>
      <w:rPr>
        <w:rFonts w:ascii="Arial" w:hAnsi="Arial" w:cs="Arial"/>
      </w:rPr>
    </w:pPr>
    <w:r w:rsidRPr="00C678E4">
      <w:rPr>
        <w:rFonts w:ascii="Arial" w:hAnsi="Arial" w:cs="Arial"/>
      </w:rPr>
      <w:t>Datastrukturer</w:t>
    </w:r>
  </w:p>
  <w:p w:rsidR="00C678E4" w:rsidRPr="00C678E4" w:rsidRDefault="00C678E4" w:rsidP="00C678E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8E4" w:rsidRDefault="00C678E4" w:rsidP="00C678E4">
    <w:pPr>
      <w:pStyle w:val="Sidehoved"/>
      <w:jc w:val="center"/>
      <w:rPr>
        <w:rFonts w:ascii="Arial" w:hAnsi="Arial" w:cs="Arial"/>
      </w:rPr>
    </w:pPr>
    <w:r>
      <w:rPr>
        <w:rFonts w:ascii="Arial" w:hAnsi="Arial" w:cs="Arial"/>
      </w:rPr>
      <w:t>Data elementer</w:t>
    </w:r>
  </w:p>
  <w:p w:rsidR="00C678E4" w:rsidRPr="00C678E4" w:rsidRDefault="00C678E4" w:rsidP="00C678E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5297D"/>
    <w:multiLevelType w:val="multilevel"/>
    <w:tmpl w:val="E520805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8E4"/>
    <w:rsid w:val="004C30E8"/>
    <w:rsid w:val="008D7757"/>
    <w:rsid w:val="00C678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5CE43-5345-4057-B351-A37F1F87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678E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678E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678E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678E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678E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678E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678E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678E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678E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678E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678E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678E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678E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678E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678E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678E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678E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678E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678E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678E4"/>
    <w:rPr>
      <w:rFonts w:ascii="Arial" w:hAnsi="Arial" w:cs="Arial"/>
      <w:b/>
      <w:sz w:val="30"/>
    </w:rPr>
  </w:style>
  <w:style w:type="paragraph" w:customStyle="1" w:styleId="Overskrift211pkt">
    <w:name w:val="Overskrift 2 + 11 pkt"/>
    <w:basedOn w:val="Normal"/>
    <w:link w:val="Overskrift211pktTegn"/>
    <w:rsid w:val="00C678E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678E4"/>
    <w:rPr>
      <w:rFonts w:ascii="Arial" w:hAnsi="Arial" w:cs="Arial"/>
      <w:b/>
    </w:rPr>
  </w:style>
  <w:style w:type="paragraph" w:customStyle="1" w:styleId="Normal11">
    <w:name w:val="Normal + 11"/>
    <w:basedOn w:val="Normal"/>
    <w:link w:val="Normal11Tegn"/>
    <w:rsid w:val="00C678E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678E4"/>
    <w:rPr>
      <w:rFonts w:ascii="Times New Roman" w:hAnsi="Times New Roman" w:cs="Times New Roman"/>
    </w:rPr>
  </w:style>
  <w:style w:type="paragraph" w:styleId="Sidehoved">
    <w:name w:val="header"/>
    <w:basedOn w:val="Normal"/>
    <w:link w:val="SidehovedTegn"/>
    <w:uiPriority w:val="99"/>
    <w:unhideWhenUsed/>
    <w:rsid w:val="00C678E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678E4"/>
  </w:style>
  <w:style w:type="paragraph" w:styleId="Sidefod">
    <w:name w:val="footer"/>
    <w:basedOn w:val="Normal"/>
    <w:link w:val="SidefodTegn"/>
    <w:uiPriority w:val="99"/>
    <w:unhideWhenUsed/>
    <w:rsid w:val="00C678E4"/>
    <w:pPr>
      <w:tabs>
        <w:tab w:val="center" w:pos="4819"/>
        <w:tab w:val="right" w:pos="9638"/>
      </w:tabs>
      <w:spacing w:line="240" w:lineRule="auto"/>
    </w:pPr>
  </w:style>
  <w:style w:type="character" w:customStyle="1" w:styleId="SidefodTegn">
    <w:name w:val="Sidefod Tegn"/>
    <w:basedOn w:val="Standardskrifttypeiafsnit"/>
    <w:link w:val="Sidefod"/>
    <w:uiPriority w:val="99"/>
    <w:rsid w:val="00C67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3505</Words>
  <Characters>21384</Characters>
  <Application>Microsoft Office Word</Application>
  <DocSecurity>0</DocSecurity>
  <Lines>178</Lines>
  <Paragraphs>49</Paragraphs>
  <ScaleCrop>false</ScaleCrop>
  <Company>skat</Company>
  <LinksUpToDate>false</LinksUpToDate>
  <CharactersWithSpaces>24840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2019-04-01T10:18:00Z</dcterms:created>
  <dcterms:modified xsi:type="dcterms:W3CDTF">2019-04-01T10:18:00Z</dcterms:modified>
</cp:coreProperties>
</file>