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04E">
              <w:rPr>
                <w:rFonts w:ascii="Arial" w:hAnsi="Arial" w:cs="Arial"/>
                <w:b/>
                <w:sz w:val="30"/>
              </w:rPr>
              <w:t>SpecifikationSpilAngivelseHent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9-1-2012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kunne fremvise allerede indberettede  specifikationer med supplerende oplysninger til en punktafgiftsangivelse vedrørende afgift af gevinstgivende spilleautomater.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indberetning af afgift af gevinstgivende spilleautomater skal indberetteren medsende en specifikation for hvert spillested.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spillested er identificeret ved en spillestedskode genereret fra Spillemyndighedens bevillingssystem lagret i DynData.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specifikationer (frem til 31.12.2011 faktisk tre). Type 1 for restauranter og type 2 for spillehaller. Type 3 Tivolier er udgået pr. 1. januar 2012.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Pr. 1 januar 2012 er indberetningen af udlodninger under "Fradrag i afgiften" integreret som en del af indberetningen af den enkelte specifikation - fremover betegnet som "Supplerende oplysninger" . Samtidig er indført pligt til at anføre landekode og bankkontonummer for den, der modtager en udlodning. Med ændringen bortfalder muligheden for blot at vedlægge et (ustruktureret) word-dokument.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"Supplerende oplysninger" overføres til specifikationens afgiftsberegning og summen af specifikationer overføres til virksomhedens angivelse.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og supplerende oplysninger skal kunnefremvises og  ændres (via denne service) indtil kl. 16 samme dag som indberetningen er foretaget.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Referencer fra Use-Case(s):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Vælg spillested(Ekstra trin ift. use case, C.2.11) i Use Case "Angiv afgift på og af spilleautomater (C.2.11.1)"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SpecifikationSpilAngivelseHent_O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AngivelseUddata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SpecifikationUddataListe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SpillestedNavn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SpillestedAdresse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SpillestedPostDistrikt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SpecifikationstypeUddata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RP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EE304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trin Vælg spillested(Ekstra trin ift. use case, C.2.11) i Use Case "Angiv afgift af gevinstgivende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E" w:rsidSect="00EE30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04E">
              <w:rPr>
                <w:rFonts w:ascii="Arial" w:hAnsi="Arial" w:cs="Arial"/>
                <w:b/>
                <w:sz w:val="30"/>
              </w:rPr>
              <w:t>SpecifikationSpilAngivelseMultiOpret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w17948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24-1-2012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lageres i SPIL/Dyndate uden brug af mellemlager - DB2 tabeller. Web servicen hænger sammen med ModtagSpilleAfgiftGebyrAngivelse.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Referencer fra Use-Case(s):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Overfør data i OIOXML format. i Use Case "Angiv afgift på og af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på og af spilleautomater (C.2.11.1)"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SpecifikationMultiListeInddata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SpecifikationMultiEnhedInddata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SpecifikationSpilAngivelseInddataListe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SpilRestaurationSpecifikation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SpecifikationSpilAngivelseMultiOpret_O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SpecifikationSpilAngivelseMultiOpret_FejlId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(SpillestedTilladelseId)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RP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EE304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trin Overfør data i OIOXML format. i Use Case "Angiv afgift af gevinstgivende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af gevinstgivende spilleautomater (C.2.11.1)"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AntalSENumre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E" w:rsidSect="00EE304E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04E">
              <w:rPr>
                <w:rFonts w:ascii="Arial" w:hAnsi="Arial" w:cs="Arial"/>
                <w:b/>
                <w:sz w:val="30"/>
              </w:rPr>
              <w:t>SpecifikationSpilAngivelseOpret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9-1-2012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skal kunne ændres (via denne service) indtil den først kommende opdateringsperiode (kl. 16 på hverdage).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Referencer fra Use-case(s):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- i Use Case "Foretag betaling(C.3)"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på og af spilleautomater (C.2.11.1)"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SpecifikationSpilAngivelseInddataListe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SpecifikationSpilAngivelseOpret_O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SpecifikationSpilAngivelseOpret_FejlId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(SpillestedTilladelseId)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Specifikationerne danner grundlag for den specifikke angivelse for spilleautomater, og skal følge denne med hensyn til kvittering mv.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RP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EE304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trin - i Use Case "Foretag betaling(C.3)"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af gevinstgivende spilleautomater (C.2.11.1)"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E" w:rsidSect="00EE304E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04E">
              <w:rPr>
                <w:rFonts w:ascii="Arial" w:hAnsi="Arial" w:cs="Arial"/>
                <w:b/>
                <w:sz w:val="30"/>
              </w:rPr>
              <w:t>SpillestederHent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9-1-2009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oplysninger om spillesteder for et specifikt CVR-nummer.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spillested, hvor en virksomhed opstiller spilleautomater, skal på forhånd være registreret hos Spillemyndigheden (ToldSkat), hvor der bl.a. tildeles et id.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SpillestederHent_I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AngiverVirksomhedCVRNummer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IndberetterVirksomhedCVRNummer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SpillestederHent_O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*TilladelserForSpillested*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*Tilladelse*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SpillestedTilladelseId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SpillestedNavn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SpillestedAdresse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SpillestedPostNummer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SpillestedPostDistrikt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SpillestedType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SpillestedJournalNummer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SpillestedMaxAntal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SpillestedStartDato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SpillestedSlutDato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(SpillestedAfmeldelseDato)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skal anvendes både i forbindelse med web enkeltindberetning, web filoverførsel og systemintegration.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CVR-nr eksisterer ikke</w:t>
            </w:r>
          </w:p>
        </w:tc>
      </w:tr>
      <w:tr w:rsidR="00EE304E" w:rsidRP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EE304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trin Rekvirerer TilladelseId til brug for input til System-til-system-overførslen i Use Case "Hent spillesteder via OIOXML  (D.7)"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Overfør data i OIOXML format. i Use Case "Angiv afgift af gevinstgivende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periode/afregningsfrist og funktion (angiv/ret/nulangivelse) i Use Case "Angiv afgift af gevinstgivende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af gevinstgivende spilleautomater (C.2.11.1)"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periode og Spillested og specifikatione(Ekstra trin ift. Generisk Use-Case) i Use Case "Forespørg påpunktafgift (D.3.4)"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VirksomhedSENummerAngiver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E" w:rsidSect="00EE304E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AngivelseValgtPeriode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AngiverVirksomhedCVRNummer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IndberetterVirksomhedCVRNummer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IndberetterVirksomhedSENummer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SpilRestaurationSpecifikation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SpilSpillehalSpecifikationOgUdlodninger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SpilTivoliSpecifikation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SpecifikationSpilAngivelseUdbetaltGevinstKassenBeløb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( SpecifikationSpilAngivelseTillægNote1Beløb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SpillestedUdlodningListeStruktur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E" w:rsidSect="00EE304E">
          <w:headerReference w:type="default" r:id="rId19"/>
          <w:footerReference w:type="default" r:id="rId2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04E" w:rsidRDefault="00EE304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E304E" w:rsidTr="00EE30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SENummer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004 </w:t>
            </w:r>
            <w:r w:rsidRPr="00EE304E">
              <w:rPr>
                <w:rFonts w:ascii="Arial" w:hAnsi="Arial" w:cs="Arial"/>
                <w:sz w:val="18"/>
                <w:lang w:val="en-US"/>
              </w:rPr>
              <w:tab/>
              <w:t>Nul-angivelse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ab/>
              <w:t xml:space="preserve">(online) </w:t>
            </w:r>
            <w:r w:rsidRPr="00EE304E">
              <w:rPr>
                <w:rFonts w:ascii="Arial" w:hAnsi="Arial" w:cs="Arial"/>
                <w:sz w:val="18"/>
                <w:lang w:val="en-US"/>
              </w:rPr>
              <w:tab/>
            </w:r>
            <w:r w:rsidRPr="00EE304E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EE304E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EE304E">
              <w:rPr>
                <w:rFonts w:ascii="Arial" w:hAnsi="Arial" w:cs="Arial"/>
                <w:sz w:val="18"/>
                <w:lang w:val="en-US"/>
              </w:rPr>
              <w:tab/>
              <w:t>COR, MIA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Valuta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maxLength: 3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BeløbPositiv18UdenDecimaler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afgiftsnedslag.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SpecifikationSpilAngivelseBruttoSpilIndtægt40ProcentBeløb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40 % af bruttospilleindtægten.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</w:t>
            </w:r>
            <w:r>
              <w:rPr>
                <w:rFonts w:ascii="Arial" w:hAnsi="Arial" w:cs="Arial"/>
                <w:sz w:val="18"/>
              </w:rPr>
              <w:lastRenderedPageBreak/>
              <w:t>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fradrag på 250.000 kr.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SpecifikationSpilAngivelseFradrag30TusindeBeløb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SpecifikationSpilAngivelseNedslagBerettigetAfgiftBeløb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nedslagsberettiget afgift.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SpecifikationSpilAngivelseSpilIndsatsBeløb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tillæg (note 2)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SpecifikationSpilAngivelseUdbetaltGevinstAutomatBeløb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adresselien (dvs. vejnavn, husnr, husbogstav og dør)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 andre EU-landes registreringsnumre er bygget op på følgende måde: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SpillestedAdresse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adressen (vejnavnet) for spillestedet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SpillestedAfmeldelseDato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SpillestedJournalNummer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17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journal-nr. tildelt i spillemyndigheden for tilladelsen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SpillestedMaxAntal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type til at indikere antal af ting.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SpillestedNavn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SpillestedPostDistrikt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SpillestedPostNummer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SpillestedSlutDato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SpillestedStartDato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SpillestedType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SpillestedType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R, S, T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spillestedstypen (svarende til nummer for specifikationen), som skal vedlægges angivelsen vedrørende Spilleautomater.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Spillestedstype og specifikationsnummer svarer også til forretningsområder i Erhvervssystemets stamregister.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Spillesteder opstillet i restaurationer med alkoholbevilling (svarer til specifikation 1 - svarer til Forretningsområdekode 246 og Bevillingskode 316 i Erhvervssystemet)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Spilleautomater opstillet i stationære spillehaller samt omrejsende tivolier o.lign. hvor der udbetales kontantpræmier (svarer til specifikation 2 - svarer til  Forretningsområdekode 246 og Bevillingskode 317 og 319 i Erhvervssystemet)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 = Spilleautomater opstillet i spillehaller i omrejsende tivolier o.lign. hvor der ikke udbetales kontantpræmier (svarer til specifikation 3 - svarer til Forretningsområdekode 246 og Bevillingskode 318 i Erhvervssystemet)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 på gevinstgivense spilleautomater svarer til Forretningsområdekode 247 i Erhvervssystemet.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E304E" w:rsidTr="00EE304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SENummer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E304E">
              <w:rPr>
                <w:rFonts w:ascii="Arial" w:hAnsi="Arial" w:cs="Arial"/>
                <w:sz w:val="18"/>
                <w:lang w:val="en-US"/>
              </w:rPr>
              <w:t>pattern: [0-9]{8}</w:t>
            </w:r>
          </w:p>
        </w:tc>
        <w:tc>
          <w:tcPr>
            <w:tcW w:w="4671" w:type="dxa"/>
          </w:tcPr>
          <w:p w:rsidR="00EE304E" w:rsidRPr="00EE304E" w:rsidRDefault="00EE304E" w:rsidP="00EE30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9C046E" w:rsidRPr="00EE304E" w:rsidRDefault="009C046E" w:rsidP="00EE30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046E" w:rsidRPr="00EE304E" w:rsidSect="00EE304E">
      <w:headerReference w:type="default" r:id="rId21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04E" w:rsidRDefault="00EE304E" w:rsidP="00EE304E">
      <w:r>
        <w:separator/>
      </w:r>
    </w:p>
  </w:endnote>
  <w:endnote w:type="continuationSeparator" w:id="1">
    <w:p w:rsidR="00EE304E" w:rsidRDefault="00EE304E" w:rsidP="00EE3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Default="00EE304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fod"/>
      <w:rPr>
        <w:rFonts w:ascii="Arial" w:hAnsi="Arial" w:cs="Arial"/>
        <w:sz w:val="16"/>
      </w:rPr>
    </w:pP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CREATEDATE  \@ "d. MMMM yyyy"  \* MERGEFORMAT </w:instrText>
    </w:r>
    <w:r w:rsidRPr="00EE304E">
      <w:rPr>
        <w:rFonts w:ascii="Arial" w:hAnsi="Arial" w:cs="Arial"/>
        <w:sz w:val="16"/>
      </w:rPr>
      <w:fldChar w:fldCharType="separate"/>
    </w:r>
    <w:r w:rsidRPr="00EE304E">
      <w:rPr>
        <w:rFonts w:ascii="Arial" w:hAnsi="Arial" w:cs="Arial"/>
        <w:noProof/>
        <w:sz w:val="16"/>
      </w:rPr>
      <w:t>31. januar 2012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ab/>
    </w:r>
    <w:r w:rsidRPr="00EE304E">
      <w:rPr>
        <w:rFonts w:ascii="Arial" w:hAnsi="Arial" w:cs="Arial"/>
        <w:sz w:val="16"/>
      </w:rPr>
      <w:tab/>
      <w:t xml:space="preserve">SpecifikationSpilAngivelseHent Side </w:t>
    </w: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PAGE  \* MERGEFORMAT </w:instrText>
    </w:r>
    <w:r w:rsidRPr="00EE304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Default="00EE304E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fod"/>
      <w:rPr>
        <w:rFonts w:ascii="Arial" w:hAnsi="Arial" w:cs="Arial"/>
        <w:sz w:val="16"/>
      </w:rPr>
    </w:pP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CREATEDATE  \@ "d. MMMM yyyy"  \* MERGEFORMAT </w:instrText>
    </w:r>
    <w:r w:rsidRPr="00EE304E">
      <w:rPr>
        <w:rFonts w:ascii="Arial" w:hAnsi="Arial" w:cs="Arial"/>
        <w:sz w:val="16"/>
      </w:rPr>
      <w:fldChar w:fldCharType="separate"/>
    </w:r>
    <w:r w:rsidRPr="00EE304E">
      <w:rPr>
        <w:rFonts w:ascii="Arial" w:hAnsi="Arial" w:cs="Arial"/>
        <w:noProof/>
        <w:sz w:val="16"/>
      </w:rPr>
      <w:t>31. januar 2012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ab/>
    </w:r>
    <w:r w:rsidRPr="00EE304E">
      <w:rPr>
        <w:rFonts w:ascii="Arial" w:hAnsi="Arial" w:cs="Arial"/>
        <w:sz w:val="16"/>
      </w:rPr>
      <w:tab/>
      <w:t xml:space="preserve">SpecifikationSpilAngivelseMultiOpret Side </w:t>
    </w: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PAGE  \* MERGEFORMAT </w:instrText>
    </w:r>
    <w:r w:rsidRPr="00EE304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16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fod"/>
      <w:rPr>
        <w:rFonts w:ascii="Arial" w:hAnsi="Arial" w:cs="Arial"/>
        <w:sz w:val="16"/>
      </w:rPr>
    </w:pP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CREATEDATE  \@ "d. MMMM yyyy"  \* MERGEFORMAT </w:instrText>
    </w:r>
    <w:r w:rsidRPr="00EE304E">
      <w:rPr>
        <w:rFonts w:ascii="Arial" w:hAnsi="Arial" w:cs="Arial"/>
        <w:sz w:val="16"/>
      </w:rPr>
      <w:fldChar w:fldCharType="separate"/>
    </w:r>
    <w:r w:rsidRPr="00EE304E">
      <w:rPr>
        <w:rFonts w:ascii="Arial" w:hAnsi="Arial" w:cs="Arial"/>
        <w:noProof/>
        <w:sz w:val="16"/>
      </w:rPr>
      <w:t>31. januar 2012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ab/>
    </w:r>
    <w:r w:rsidRPr="00EE304E">
      <w:rPr>
        <w:rFonts w:ascii="Arial" w:hAnsi="Arial" w:cs="Arial"/>
        <w:sz w:val="16"/>
      </w:rPr>
      <w:tab/>
      <w:t xml:space="preserve">SpecifikationSpilAngivelseOpret Side </w:t>
    </w: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PAGE  \* MERGEFORMAT </w:instrText>
    </w:r>
    <w:r w:rsidRPr="00EE304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16</w:t>
      </w:r>
    </w:fldSimple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fod"/>
      <w:rPr>
        <w:rFonts w:ascii="Arial" w:hAnsi="Arial" w:cs="Arial"/>
        <w:sz w:val="16"/>
      </w:rPr>
    </w:pP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CREATEDATE  \@ "d. MMMM yyyy"  \* MERGEFORMAT </w:instrText>
    </w:r>
    <w:r w:rsidRPr="00EE304E">
      <w:rPr>
        <w:rFonts w:ascii="Arial" w:hAnsi="Arial" w:cs="Arial"/>
        <w:sz w:val="16"/>
      </w:rPr>
      <w:fldChar w:fldCharType="separate"/>
    </w:r>
    <w:r w:rsidRPr="00EE304E">
      <w:rPr>
        <w:rFonts w:ascii="Arial" w:hAnsi="Arial" w:cs="Arial"/>
        <w:noProof/>
        <w:sz w:val="16"/>
      </w:rPr>
      <w:t>31. januar 2012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ab/>
    </w:r>
    <w:r w:rsidRPr="00EE304E">
      <w:rPr>
        <w:rFonts w:ascii="Arial" w:hAnsi="Arial" w:cs="Arial"/>
        <w:sz w:val="16"/>
      </w:rPr>
      <w:tab/>
      <w:t xml:space="preserve">SpillestederHent Side </w:t>
    </w:r>
    <w:r w:rsidRPr="00EE304E">
      <w:rPr>
        <w:rFonts w:ascii="Arial" w:hAnsi="Arial" w:cs="Arial"/>
        <w:sz w:val="16"/>
      </w:rPr>
      <w:fldChar w:fldCharType="begin"/>
    </w:r>
    <w:r w:rsidRPr="00EE304E">
      <w:rPr>
        <w:rFonts w:ascii="Arial" w:hAnsi="Arial" w:cs="Arial"/>
        <w:sz w:val="16"/>
      </w:rPr>
      <w:instrText xml:space="preserve"> PAGE  \* MERGEFORMAT </w:instrText>
    </w:r>
    <w:r w:rsidRPr="00EE304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EE304E">
      <w:rPr>
        <w:rFonts w:ascii="Arial" w:hAnsi="Arial" w:cs="Arial"/>
        <w:sz w:val="16"/>
      </w:rPr>
      <w:fldChar w:fldCharType="end"/>
    </w:r>
    <w:r w:rsidRPr="00EE304E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16</w:t>
      </w:r>
    </w:fldSimple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04E" w:rsidRDefault="00EE304E" w:rsidP="00EE304E">
      <w:r>
        <w:separator/>
      </w:r>
    </w:p>
  </w:footnote>
  <w:footnote w:type="continuationSeparator" w:id="1">
    <w:p w:rsidR="00EE304E" w:rsidRDefault="00EE304E" w:rsidP="00EE30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Default="00EE304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  <w:r w:rsidRPr="00EE304E">
      <w:rPr>
        <w:rFonts w:ascii="Arial" w:hAnsi="Arial" w:cs="Arial"/>
        <w:sz w:val="22"/>
      </w:rPr>
      <w:t>Servicebeskrivelse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Default="00EE304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  <w:r w:rsidRPr="00EE304E">
      <w:rPr>
        <w:rFonts w:ascii="Arial" w:hAnsi="Arial" w:cs="Arial"/>
        <w:sz w:val="22"/>
      </w:rPr>
      <w:t>Servicebeskrivelse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  <w:r w:rsidRPr="00EE304E">
      <w:rPr>
        <w:rFonts w:ascii="Arial" w:hAnsi="Arial" w:cs="Arial"/>
        <w:sz w:val="22"/>
      </w:rPr>
      <w:t>Servicebeskrivelse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  <w:r w:rsidRPr="00EE304E">
      <w:rPr>
        <w:rFonts w:ascii="Arial" w:hAnsi="Arial" w:cs="Arial"/>
        <w:sz w:val="22"/>
      </w:rPr>
      <w:t>Servicebeskrivelse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  <w:r w:rsidRPr="00EE304E">
      <w:rPr>
        <w:rFonts w:ascii="Arial" w:hAnsi="Arial" w:cs="Arial"/>
        <w:sz w:val="22"/>
      </w:rPr>
      <w:t>Datastrukturer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04E" w:rsidRDefault="00EE304E" w:rsidP="00EE304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EE304E" w:rsidRPr="00EE304E" w:rsidRDefault="00EE304E" w:rsidP="00EE304E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509E1"/>
    <w:multiLevelType w:val="multilevel"/>
    <w:tmpl w:val="00ECAE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04E"/>
    <w:rsid w:val="000E5546"/>
    <w:rsid w:val="009C046E"/>
    <w:rsid w:val="00E156B5"/>
    <w:rsid w:val="00EE304E"/>
    <w:rsid w:val="00F5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546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E304E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EE304E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EE304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EE30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EE30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EE30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EE30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EE30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EE30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E304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EE304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EE304E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EE30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EE30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EE30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EE30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EE304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EE3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04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04E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EE304E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EE304E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EE304E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EE304E"/>
    <w:rPr>
      <w:sz w:val="22"/>
      <w:szCs w:val="24"/>
    </w:rPr>
  </w:style>
  <w:style w:type="paragraph" w:styleId="Sidehoved">
    <w:name w:val="header"/>
    <w:basedOn w:val="Normal"/>
    <w:link w:val="SidehovedTegn"/>
    <w:rsid w:val="00EE304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EE304E"/>
    <w:rPr>
      <w:sz w:val="24"/>
      <w:szCs w:val="24"/>
    </w:rPr>
  </w:style>
  <w:style w:type="paragraph" w:styleId="Sidefod">
    <w:name w:val="footer"/>
    <w:basedOn w:val="Normal"/>
    <w:link w:val="SidefodTegn"/>
    <w:rsid w:val="00EE304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EE3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3195</Words>
  <Characters>27467</Characters>
  <Application>Microsoft Office Word</Application>
  <DocSecurity>0</DocSecurity>
  <Lines>228</Lines>
  <Paragraphs>61</Paragraphs>
  <ScaleCrop>false</ScaleCrop>
  <Company>SKAT</Company>
  <LinksUpToDate>false</LinksUpToDate>
  <CharactersWithSpaces>30601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W17948</dc:creator>
  <cp:keywords/>
  <dc:description/>
  <cp:lastModifiedBy>W17948</cp:lastModifiedBy>
  <cp:revision>1</cp:revision>
  <dcterms:created xsi:type="dcterms:W3CDTF">2012-01-31T08:19:00Z</dcterms:created>
  <dcterms:modified xsi:type="dcterms:W3CDTF">2012-01-31T08:22:00Z</dcterms:modified>
</cp:coreProperties>
</file>