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7C628A" w:rsidTr="007C62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628A">
              <w:rPr>
                <w:rFonts w:ascii="Arial" w:hAnsi="Arial" w:cs="Arial"/>
                <w:b/>
                <w:sz w:val="30"/>
              </w:rPr>
              <w:t>SpecifikationSpilAngivelseOpret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18-4-2012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oprette specifikationer til punktafgiftsangivelsen vedrørende afgift af gevinstgivende spilleautomater via filoverførsel, incl. Kvitteringsnummer - dvs "xml-upload" af angivelse og specifikationer.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både i forbindelse med filoverførsel og systemintegration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oprettede specifikationer skal kunne ændres (via denne service) indtil den først kommende opdateringsperiode (kl. 16 på hverdage).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afgift af gevinstgivende spilleautomater skal indberetteren medsende en specifikation for hvert spillested. Hvert spillested er identificeret ved en spillestedskode genereret fra Spillemyndighedens bevillingssystem lagret i DynData.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(frem til 31.12.2011 faktisk tre) af specifikationer. Type 1 for restauranter og type 2 for spillehaller. Type 3 Tivolier er udgået pr. 1. januar 2012.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Referencer fra Use-case(s):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 - i Use Case "Foretag betaling(C.3)"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angivelse eller vælg tilbage til spillestedslisten (gentagelse af tidlig i Use Case "Angiv afgift på og af spilleautomater (C.2.11.1)"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SpecifikationSpilAngivelseOpret_I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VirksomhedIdentifikation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AngivelseIndberetterSENummer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AngivelseIndata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AngivelseValuta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AngivelseValgtPeriode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SpecifikationSpilAngivelseInddataListe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SpecifikationSpilAngivelseInddata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SpecifikationstypeInddata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SpilTivoliSpecifikation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SpilRestaurationSpecifikation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SpilSpillehalSpecifikationOgUdlodninger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SpecifikationSpilAngivelseOpret_O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SpecifikationSpilAngivelseOpret_FejlId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(SpillestedTilladelseId)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Angivelsens indhold er ikke valid i forhold til valideringsregler (se begrebmodel).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SE-nummer eksisterer ikke.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indberettede SE-nr er ikke tilmeldt angivelsestypen Punktafgifter.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 (hvis revisor) er ikke tilmeldt TastSelv Erhverv vedrørende indberetning som revisor.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indberettes for en ikke-gyldig (eventuel lukkede) periode.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- i Use Case "Foretag betaling(C.3)"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angivelse eller vælg tilbage til spillestedslisten (gentagelse af tidlig i Use Case "Angiv afgift af gevinstgivende spilleautomater (C.2.11.1)"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 / Tilladelse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VirksomhedSENummerAngiver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 / Tilladelse</w:t>
            </w:r>
          </w:p>
        </w:tc>
      </w:tr>
    </w:tbl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628A" w:rsidSect="007C62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7C628A" w:rsidTr="007C62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7C628A" w:rsidTr="007C62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AngiverVirksomhedCVRNummer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</w:tr>
    </w:tbl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7C628A" w:rsidTr="007C62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SpilRestaurationSpecifikation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*RestaurationSpecifikation*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SpecifikationSpilAngivelseSpilIndsatsBeløb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SpecifikationSpilAngivelseUdbetaltGevinstAutomatBeløb 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SpecifikationSpilAngivelseUdbetaltGevinstKassenBeløb )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SpecifikationSpilAngivelseBruttoSpilIndtægtBeløb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SpecifikationSpilAngivelseFradrag30TusindeBeløb )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SpecifikationSpilAngivelseAfgiftGrundlag30ProcentBeløb )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7C628A" w:rsidTr="007C62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SpilSpillehalSpecifikationOgUdlodninger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SpecifikationSpilAngivelseSpilIndsatsBeløb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SpecifikationSpilAngivelseUdbetaltGevinstAutomatBeløb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SpecifikationSpilAngivelseUdbetaltGevinstKassenBeløb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SpecifikationSpilAngivelseBruttoSpilIndtægtBeløb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SpecifikationSpilAngivelseFradrag250TusindeBeløb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SpecifikationSpilAngivelseTillægNote1Beløb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SpecifikationSpilAngivelseTillægNote2Beløb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SpecifikationSpilAngivelseAfgiftGrundlag30ProcentBeløb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SpecifikationSpilAngivelseBruttoSpilIndtægt40ProcentBeløb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SpecifikationSpilAngivelseAfgift30ProcentBeløb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SpecifikationSpilAngivelseNedslagBerettigetAfgiftBeløb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SpecifikationSpilAngivelseMidlerUdlodningBeløb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SpecifikationSpilAngivelseNedslag95ProcentBeløb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SpecifikationSpilAngivelseAfgiftNedslagBeløb 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SpillestedUdlodningListeStruktur</w:t>
            </w:r>
          </w:p>
        </w:tc>
      </w:tr>
    </w:tbl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7C628A" w:rsidTr="007C62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SpilTivoliSpecifikation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*TivoliSpecifikation*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SpecifikationSpilAngivelseSpilIndsatsBeløb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SpecifikationSpilAngivelseUdbetaltGevinstAutomatBeløb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SpecifikationSpilAngivelseUdbetaltGevinstKassenBeløb )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SpecifikationSpilAngivelseBruttoSpilIndtægtBeløb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SpecifikationSpilAngivelseFradrag250TusindeBeløb )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SpecifikationSpilAngivelseTillægNote1Beløb )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SpecifikationSpilAngivelseTillægNote2Beløb ) +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SpecifikationSpilAngivelseAfgiftGrundlag30ProcentBeløb )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      ]</w:t>
            </w:r>
          </w:p>
        </w:tc>
      </w:tr>
    </w:tbl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7C628A" w:rsidTr="007C62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UdlodningListe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628A" w:rsidSect="007C628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628A" w:rsidRDefault="007C628A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7C628A" w:rsidTr="007C62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AngivelseIndberetterSENummer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den virksomhed som foretager angivelsen.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(Typisk virksomehden selv eller en revisor)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i forhold til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AngivelseValgtPeriodeSlutDato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SpecifikationSpilAngivelseAfgift30ProcentBeløb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30 % af afgiftsgrundlaget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SpecifikationSpilAngivelseAfgiftGrundlag30ProcentBeløb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afgiftsgrundlaget for 30 % afgift.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SpecifikationSpilAngivelseAfgiftNedslagBeløb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afgiftsnedslag.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SpecifikationSpilAngivelseBruttoSpilIndtægt40ProcentBeløb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40 % af bruttospilleindtægten.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SpecifikationSpilAngivelseBruttoSpilIndtægtBeløb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bruttospilleindtægt.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SpecifikationSpilAngivelseFradrag250TusindeBeløb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250.000 kr.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SpecifikationSpilAngivelseFradrag30TusindeBeløb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30.000 kr.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SpecifikationSpilAngivelseMidlerUdlodningBeløb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midler til udlodning.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SpecifikationSpilAngivelseNedslag95ProcentBeløb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95 % nedslag.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SpecifikationSpilAngivelseNedslagBerettigetAfgiftBeløb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</w:t>
            </w:r>
            <w:r>
              <w:rPr>
                <w:rFonts w:ascii="Arial" w:hAnsi="Arial" w:cs="Arial"/>
                <w:sz w:val="18"/>
              </w:rPr>
              <w:lastRenderedPageBreak/>
              <w:t>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nedslagsberettiget afgift.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SpecifikationSpilAngivelseSpilIndsatsBeløb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spilleindsatsen.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SpecifikationSpilAngivelseTillægNote1Beløb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1)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SpecifikationSpilAngivelseTillægNote2Beløb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2)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SpecifikationSpilAngivelseUdbetaltGevinstAutomatBeløb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automaten.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SpecifikationSpilAngivelseUdbetaltGevinstKassenBeløb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kassen.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bortfalder for afgiftsperioder efter den 1. januar 2012.)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SpilVelgørendeFormålUdlodningDato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Alle gyldige datoer i den danske kalender.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SpilVelgørendeFormålUdlodningModtagerAdresse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SpilVelgørendeFormålUdlodningModtagerBIC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SpilVelgørendeFormålUdlodningModtagerDKKontoNummer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Modtagerens kontonummer (i et dansk pengeinstitut).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SpilVelgørendeFormålUdlodningModtagerIBAN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andre EU-landes registreringsnumre er bygget op på følgende måde: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TilladelseId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identifikationen (unikt løbenummer) for tilladelsen</w:t>
            </w:r>
          </w:p>
        </w:tc>
      </w:tr>
      <w:tr w:rsidR="007C628A" w:rsidTr="007C62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C628A" w:rsidRPr="007C628A" w:rsidRDefault="007C628A" w:rsidP="007C62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E7765D" w:rsidRPr="007C628A" w:rsidRDefault="00E7765D" w:rsidP="007C62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7C628A" w:rsidSect="007C628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28A" w:rsidRDefault="007C628A" w:rsidP="007C628A">
      <w:pPr>
        <w:spacing w:line="240" w:lineRule="auto"/>
      </w:pPr>
      <w:r>
        <w:separator/>
      </w:r>
    </w:p>
  </w:endnote>
  <w:endnote w:type="continuationSeparator" w:id="0">
    <w:p w:rsidR="007C628A" w:rsidRDefault="007C628A" w:rsidP="007C6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8A" w:rsidRDefault="007C628A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8A" w:rsidRPr="007C628A" w:rsidRDefault="007C628A" w:rsidP="007C628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18.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SpecifikationSpilAngivelseOpret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8A" w:rsidRDefault="007C628A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28A" w:rsidRDefault="007C628A" w:rsidP="007C628A">
      <w:pPr>
        <w:spacing w:line="240" w:lineRule="auto"/>
      </w:pPr>
      <w:r>
        <w:separator/>
      </w:r>
    </w:p>
  </w:footnote>
  <w:footnote w:type="continuationSeparator" w:id="0">
    <w:p w:rsidR="007C628A" w:rsidRDefault="007C628A" w:rsidP="007C628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8A" w:rsidRDefault="007C628A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8A" w:rsidRPr="007C628A" w:rsidRDefault="007C628A" w:rsidP="007C628A">
    <w:pPr>
      <w:pStyle w:val="Sidehoved"/>
      <w:jc w:val="center"/>
      <w:rPr>
        <w:rFonts w:ascii="Arial" w:hAnsi="Arial" w:cs="Arial"/>
      </w:rPr>
    </w:pPr>
    <w:r w:rsidRPr="007C628A">
      <w:rPr>
        <w:rFonts w:ascii="Arial" w:hAnsi="Arial" w:cs="Arial"/>
      </w:rPr>
      <w:t>Servicebeskrivelse</w:t>
    </w:r>
  </w:p>
  <w:p w:rsidR="007C628A" w:rsidRPr="007C628A" w:rsidRDefault="007C628A" w:rsidP="007C628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8A" w:rsidRDefault="007C628A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8A" w:rsidRPr="007C628A" w:rsidRDefault="007C628A" w:rsidP="007C628A">
    <w:pPr>
      <w:pStyle w:val="Sidehoved"/>
      <w:jc w:val="center"/>
      <w:rPr>
        <w:rFonts w:ascii="Arial" w:hAnsi="Arial" w:cs="Arial"/>
      </w:rPr>
    </w:pPr>
    <w:r w:rsidRPr="007C628A">
      <w:rPr>
        <w:rFonts w:ascii="Arial" w:hAnsi="Arial" w:cs="Arial"/>
      </w:rPr>
      <w:t>Datastrukturer</w:t>
    </w:r>
  </w:p>
  <w:p w:rsidR="007C628A" w:rsidRPr="007C628A" w:rsidRDefault="007C628A" w:rsidP="007C628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8A" w:rsidRDefault="007C628A" w:rsidP="007C628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628A" w:rsidRPr="007C628A" w:rsidRDefault="007C628A" w:rsidP="007C628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0578"/>
    <w:multiLevelType w:val="multilevel"/>
    <w:tmpl w:val="DB94424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628A"/>
    <w:rsid w:val="007C628A"/>
    <w:rsid w:val="00E62099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62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62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628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628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628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628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628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628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628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628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628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628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62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62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62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62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62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62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62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62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62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62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62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62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7C62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628A"/>
  </w:style>
  <w:style w:type="paragraph" w:styleId="Sidefod">
    <w:name w:val="footer"/>
    <w:basedOn w:val="Normal"/>
    <w:link w:val="SidefodTegn"/>
    <w:uiPriority w:val="99"/>
    <w:semiHidden/>
    <w:unhideWhenUsed/>
    <w:rsid w:val="007C62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7C62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2611</Words>
  <Characters>15934</Characters>
  <Application>Microsoft Office Word</Application>
  <DocSecurity>0</DocSecurity>
  <Lines>132</Lines>
  <Paragraphs>37</Paragraphs>
  <ScaleCrop>false</ScaleCrop>
  <Company>SKAT</Company>
  <LinksUpToDate>false</LinksUpToDate>
  <CharactersWithSpaces>18508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2012-04-18T08:57:00Z</dcterms:created>
  <dcterms:modified xsi:type="dcterms:W3CDTF">2012-04-18T08:57:00Z</dcterms:modified>
</cp:coreProperties>
</file>