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DORenteGodtgørelseTilskriv</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1.5</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16-05-2011</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23-06-2015</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Servicen orkestrerer kald til DMIRenteGodtgørelseTilskriv og tilhørende afsendelse af brev til kunden, Følgende beskrivelser er fra DMIRenteGodtgørelseTilskriv:</w:t>
              <w:br/>
              <w:t/>
              <w:br/>
              <w:t>Servicen har ansvaret for at tilskrive kunden en rentegodtgørelse, fordi SKAT uberettiget har inddrevet og/eller tilbageholdt et beløb.</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Beløbet skal indgå som en indbetaling på kundens konto. Det skal kunne identificeres af indbetalingen, at der er tale om en rentegodtgørelse.</w:t>
              <w:br/>
              <w:t>Anvendelse til dækning:</w:t>
              <w:br/>
              <w:t/>
              <w:br/>
              <w:t>En rentegodtgørelse vil kunne anvendes til dækning af en kundes resterende gæld. DMI kan sættes til automatisk at udligne ud fra gældende dækningsregler eller også kan en sagsbehandler manuelt dække som ønsket. Om det er det ene eller andet tilfælde afgøres via flaget ForetagIkkeAutomatiskDækning</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Sagsbehandleren skal angive årsagen til rentegodtgørelsen. Krediteringsdatoen er RenteGodtgørelsePeriodeTil.</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DORenteGodtgørelseTilskriv_I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*Rentegodtgørelse*</w:t>
              <w:br/>
              <w:t>[</w:t>
              <w:br/>
              <w:t/>
              <w:tab/>
              <w:t>DMIIndberetterOpretStruktur</w:t>
              <w:br/>
              <w:t/>
              <w:tab/>
              <w:t>KundeNummer</w:t>
              <w:br/>
              <w:t/>
              <w:tab/>
              <w:t>KundeType</w:t>
              <w:br/>
              <w:t/>
              <w:tab/>
              <w:t>RenteGodtgørelseBeregningBeløbStruktur</w:t>
              <w:br/>
              <w:t/>
              <w:tab/>
              <w:t>RenteGodtgørelseBeløbStruktur</w:t>
              <w:br/>
              <w:t/>
              <w:tab/>
              <w:t>RenteGodtgørelsePeriodeFra</w:t>
              <w:br/>
              <w:t/>
              <w:tab/>
              <w:t>RenteGodtgørelsePeriodeTil</w:t>
              <w:br/>
              <w:t/>
              <w:tab/>
              <w:t>RenteGodtgørelseÅrsagStruktur</w:t>
              <w:br/>
              <w:t/>
              <w:tab/>
              <w:t>RenteGodtgørelseType</w:t>
              <w:br/>
              <w:t/>
              <w:tab/>
              <w:t>(ForetagIkkeAutomatiskDækning)</w:t>
              <w:br/>
              <w:t/>
              <w:tab/>
              <w:t>*BeregnetRenteGodtgørelseSpecifikationList*</w:t>
              <w:br/>
              <w:t/>
              <w:tab/>
              <w:t>1{</w:t>
              <w:br/>
              <w:t/>
              <w:tab/>
              <w:t/>
              <w:tab/>
              <w:t>*RenteGodtgørelseSpecifikation*</w:t>
              <w:br/>
              <w:t/>
              <w:tab/>
              <w:t/>
              <w:tab/>
              <w:t>[</w:t>
              <w:br/>
              <w:t/>
              <w:tab/>
              <w:t/>
              <w:tab/>
              <w:t/>
              <w:tab/>
              <w:t>(RenteGodtgørelseRefRenteSats)</w:t>
              <w:br/>
              <w:t/>
              <w:tab/>
              <w:t/>
              <w:tab/>
              <w:t/>
              <w:tab/>
              <w:t>RenteGodtgørelseSumRenteSats</w:t>
              <w:br/>
              <w:t/>
              <w:tab/>
              <w:t/>
              <w:tab/>
              <w:t/>
              <w:tab/>
              <w:t>RenteGodtgørelseDelPeriodeFra</w:t>
              <w:br/>
              <w:t/>
              <w:tab/>
              <w:t/>
              <w:tab/>
              <w:t/>
              <w:tab/>
              <w:t>RenteGodtgørelseDelPeriodeTil</w:t>
              <w:br/>
              <w:t/>
              <w:tab/>
              <w:t/>
              <w:tab/>
              <w:t/>
              <w:tab/>
              <w:t>RenteGodtgørelseDelPeriodeBlb</w:t>
              <w:br/>
              <w:t/>
              <w:tab/>
              <w:t/>
              <w:tab/>
              <w:t>]</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DORenteGodtgørelseTilskriv_O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*Myndighedsudbetaling*</w:t>
              <w:br/>
              <w:t>[</w:t>
              <w:br/>
              <w:t/>
              <w:tab/>
              <w:t>DMIIndbetalingID</w:t>
              <w:br/>
              <w:t/>
              <w:tab/>
              <w:t>DMIIndbetalingArt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Validering: Kontrol af hvorvidt kunde findes</w:t>
              <w:br/>
              <w:t>Fejlnummer: 005</w:t>
              <w:br/>
              <w:t>Reaktion: Besked om at kunde ikke findes</w:t>
              <w:br/>
              <w:t>Parameterliste: KundeNummer, KundeType</w:t>
              <w:br/>
              <w:t/>
              <w:br/>
              <w:t>Validering: Kontrol af hvorvidt RenteGodtgørelseType findes</w:t>
              <w:br/>
              <w:t>Fejlnummer: 029</w:t>
              <w:br/>
              <w:t>Reaktion: Besked om at RenteGodtgørelseType ikke findes</w:t>
              <w:br/>
              <w:t>Parameterliste:</w:t>
              <w:br/>
              <w:t/>
              <w:br/>
              <w:t>Validering: Brev til kunde ikke afsendt</w:t>
              <w:br/>
              <w:t>Advisnummer: 451</w:t>
              <w:br/>
              <w:t>Reaktion: Sagsbehandler følger op manuelt</w:t>
              <w:br/>
              <w:t>Parameterliste:</w:t>
              <w:br/>
              <w:t/>
              <w:br/>
              <w:t>Validering: Det må ikke være muligt at lave en identisk tilskrivning to gange på samme kunde. Vedr. Kunde, beløb, periode og RenteGodtgørelseType</w:t>
              <w:br/>
              <w:t>Fejlnummer: 030</w:t>
              <w:br/>
              <w:t>Reaktion: Opdatering afvises</w:t>
              <w:br/>
              <w:t>Parameterliste:</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Noter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Dette er en synkron service. Leverancesikkerhed: medium</w:t>
              <w:br/>
              <w:t/>
              <w:br/>
              <w:t>Der er ingen kompenserende transaktioner for denne service.</w:t>
              <w:br/>
              <w:t>Servicen skal kunne håndtere 5 kald i døgnet + ekstra kald i oktober måned.</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Tekniske krav</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Det må ikke være muligt at lave en identisk tilskrivning to gange på samme kunde. Vedr. Kunde, beløb, periode og GodgørelseType.</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DMIIndberetterOpretStruktur</w:t>
            </w:r>
            <w:bookmarkStart w:name="DMIIndberetterOpr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DMIIndberetterID</w:t>
              <w:br/>
              <w:t>DMIIndberetterRolle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RenteGodtgørelseBeløbStruktur</w:t>
            </w:r>
            <w:bookmarkStart w:name="RenteGodtgørelse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RenteGodtgørelseBeløb</w:t>
              <w:br/>
              <w:t>(RenteGodtgørelseBeløbDKK)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RenteGodtgørelseBeregningBeløbStruktur</w:t>
            </w:r>
            <w:bookmarkStart w:name="RenteGodtgørelseBeregning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RenteGodtgørelseBeregnBeløb</w:t>
              <w:br/>
              <w:t>(RenteGodtgørelseBeregnBeløbDKK)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RenteGodtgørelseÅrsagStruktur</w:t>
            </w:r>
            <w:bookmarkStart w:name="RenteGodtgørelseÅrsa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RenteGodtgørelseÅrsagKode</w:t>
              <w:br/>
              <w:t>RenteGodtgørelseÅrsagBegr</w:t>
              <w:br/>
              <w:t>(RenteGodtgørelseÅrsagTekst)</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DMIIndberetterID</w:t>
            </w:r>
            <w:bookmarkStart w:name="DMIIndberetter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18</w:t>
            </w:r>
          </w:p>
        </w:tc>
        <w:tc>
          <w:tcPr>
            <w:tcW w:type="dxa" w:w="4391"/>
            <w:tcMar>
              <w:top w:type="dxa" w:w="57"/>
              <w:bottom w:type="dxa" w:w="57"/>
            </w:tcMar>
          </w:tcPr>
          <w:p>
            <w:pPr>
              <w:rPr>
                <w:rFonts w:ascii="Arial" w:cs="Arial" w:hAnsi="Arial"/>
                <w:sz w:val="18"/>
              </w:rPr>
            </w:pPr>
            <w:r>
              <w:rPr>
                <w:rFonts w:ascii="Arial" w:cs="Arial" w:hAnsi="Arial"/>
                <w:sz w:val="18"/>
              </w:rPr>
              <w:t/>
              <w:t>Et nummer eller et antal karakterer der identificerer indberetteren (borger, virksomhed,system, medarbejder, fordringshaver eller rettighedshaver) i form af:</w:t>
              <w:br/>
              <w:t>CPRNummer</w:t>
              <w:br/>
              <w:t>SE/CVRNummer</w:t>
              <w:br/>
              <w:t>KundeNummer</w:t>
              <w:br/>
              <w:t>EFI, DMI, MF, DMO, SLUT, SAP38 (karakterer)</w:t>
              <w:br/>
              <w:t>WNummer</w:t>
              <w:br/>
              <w:t/>
              <w:br/>
              <w:t>Specifikt for indberettelse af hæftelse kan følgende værdier anvendes:</w:t>
              <w:br/>
              <w:t/>
              <w:br/>
              <w:t>KundeNummer (FH): Fordringshaver angiver selv via selvbetjeningsløsning et hæftelsesforhold.</w:t>
              <w:br/>
              <w:t/>
              <w:br/>
              <w:t>MF: Anvendes hvis systemet Modtag Fordring beriger med hæftelsesoplysningen, når fordring oprettes.</w:t>
              <w:br/>
              <w:t/>
              <w:br/>
              <w:t>EFI: Når systemet EFI har påsat en hæfter f.eks. I forbindelse med en udlægsforretning hvor en ægtefælle går fra at være en potentiel hæfter til reel hæfter.</w:t>
              <w:br/>
              <w:t>Kunne også være en ændring som er opstået som følge af en ændring i CSR-P vedr. civilstand f.eks. skilsmisse.</w:t>
              <w:br/>
              <w:t/>
              <w:br/>
              <w:t>WNummer: Sagsbehandler opdaterer manuelt en hæftelse f.eks. hvis kunden viser at pgl. er udtrådt af et I/S og som følge heraf ikke hæfter længere.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DMIIndberetterRolle</w:t>
            </w:r>
            <w:bookmarkStart w:name="DMIIndberetterRoll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w:t>
              <w:br/>
              <w:t>enumeration: Borger, Virksomhed, System, Medarbejder, Fordringshaver, Rettighedshaver</w:t>
            </w:r>
          </w:p>
        </w:tc>
        <w:tc>
          <w:tcPr>
            <w:tcW w:type="dxa" w:w="4391"/>
            <w:tcMar>
              <w:top w:type="dxa" w:w="57"/>
              <w:bottom w:type="dxa" w:w="57"/>
            </w:tcMar>
          </w:tcPr>
          <w:p>
            <w:pPr>
              <w:rPr>
                <w:rFonts w:ascii="Arial" w:cs="Arial" w:hAnsi="Arial"/>
                <w:sz w:val="18"/>
              </w:rPr>
            </w:pPr>
            <w:r>
              <w:rPr>
                <w:rFonts w:ascii="Arial" w:cs="Arial" w:hAnsi="Arial"/>
                <w:sz w:val="18"/>
              </w:rPr>
              <w:t/>
              <w:t>Indberetterens rolle.</w:t>
              <w:br/>
              <w:t/>
              <w:br/>
              <w:t>Rollen anvendes i sammenhæng med IndberettetID, efter følgende mønster, men der foretages ingen validering:</w:t>
              <w:br/>
              <w:t/>
              <w:br/>
              <w:t>IndberetterID       IndberetterRolle</w:t>
              <w:br/>
              <w:t>-----------------------------------------</w:t>
              <w:br/>
              <w:t>CPRNummer                     Borger</w:t>
              <w:br/>
              <w:t>SE/CVRNummer               Virksomhed</w:t>
              <w:br/>
              <w:t>KundeNummer                  Fordringshaver</w:t>
              <w:br/>
              <w:t>KundeNummer                  Rettighedshaver</w:t>
              <w:br/>
              <w:t>EFI                                    System</w:t>
              <w:br/>
              <w:t>DMI                                   System</w:t>
              <w:br/>
              <w:t>MF                                     System</w:t>
              <w:br/>
              <w:t>DMO                                  System</w:t>
              <w:br/>
              <w:t>SLUT                                 System</w:t>
              <w:br/>
              <w:t>SAP38                               System</w:t>
              <w:br/>
              <w:t>WNr                                   Medarbejder</w:t>
              <w:br/>
              <w:t/>
              <w:br/>
              <w:t>Ved indberetning af hæftelse anvendes følgende mønster, men der foretages ligeledes ingen validering:</w:t>
              <w:br/>
              <w:t/>
              <w:br/>
              <w:t>IndberetterID       IndberetterRolle</w:t>
              <w:br/>
              <w:t>-----------------------------------------</w:t>
              <w:br/>
              <w:t>KundeNummer                  Fordringshaver</w:t>
              <w:br/>
              <w:t>EFI                                     System</w:t>
              <w:br/>
              <w:t>MF                                     System</w:t>
              <w:br/>
              <w:t>WNr                                   Medarbejder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DMIIndbetalingArt</w:t>
            </w:r>
            <w:bookmarkStart w:name="DMIIndbetalingAr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BANKO, CHECK, DANKO, KONTA, LONIN, LONKO, MODRE, OCRLI, OMPOST, RENTG, TRMAND, ULAND</w:t>
            </w:r>
          </w:p>
        </w:tc>
        <w:tc>
          <w:tcPr>
            <w:tcW w:type="dxa" w:w="4391"/>
            <w:tcMar>
              <w:top w:type="dxa" w:w="57"/>
              <w:bottom w:type="dxa" w:w="57"/>
            </w:tcMar>
          </w:tcPr>
          <w:p>
            <w:pPr>
              <w:rPr>
                <w:rFonts w:ascii="Arial" w:cs="Arial" w:hAnsi="Arial"/>
                <w:sz w:val="18"/>
              </w:rPr>
            </w:pPr>
            <w:r>
              <w:rPr>
                <w:rFonts w:ascii="Arial" w:cs="Arial" w:hAnsi="Arial"/>
                <w:sz w:val="18"/>
              </w:rPr>
              <w:t/>
              <w:t>En underopdeling af indbetaling</w:t>
              <w:br/>
              <w:t/>
              <w:br/>
              <w:t>Koderne valideres i sammenhæng med DMIIndbetalingKilde, hvor følgende kombinationer er gyldige:</w:t>
              <w:br/>
              <w:t/>
              <w:br/>
              <w:t>DMIIndbetalingKilde   DMIIndbetalingArt</w:t>
              <w:br/>
              <w:t>-----------------------------------------</w:t>
              <w:br/>
              <w:t>SAP38</w:t>
              <w:tab/>
              <w:t/>
              <w:tab/>
              <w:t>KONTA</w:t>
              <w:br/>
              <w:t>SAP38</w:t>
              <w:tab/>
              <w:t/>
              <w:tab/>
              <w:t>CHECK</w:t>
              <w:br/>
              <w:t>SAP38</w:t>
              <w:tab/>
              <w:t/>
              <w:tab/>
              <w:t>DANKO</w:t>
              <w:br/>
              <w:t>SAP38</w:t>
              <w:tab/>
              <w:t/>
              <w:tab/>
              <w:t>OMPOST</w:t>
              <w:br/>
              <w:t>SAP38</w:t>
              <w:tab/>
              <w:t/>
              <w:tab/>
              <w:t>MODRE</w:t>
              <w:br/>
              <w:t>SKB</w:t>
              <w:tab/>
              <w:t/>
              <w:tab/>
              <w:t>OCRLI</w:t>
              <w:br/>
              <w:t>SKB</w:t>
              <w:tab/>
              <w:t/>
              <w:tab/>
              <w:t>BANKO</w:t>
              <w:br/>
              <w:t>SKB</w:t>
              <w:tab/>
              <w:t/>
              <w:tab/>
              <w:t>ULAND</w:t>
              <w:br/>
              <w:t>SKB</w:t>
              <w:tab/>
              <w:t/>
              <w:tab/>
              <w:t>TRMAND</w:t>
              <w:br/>
              <w:t>EFI</w:t>
              <w:tab/>
              <w:t/>
              <w:tab/>
              <w:t>LONIN</w:t>
              <w:br/>
              <w:t>EFI</w:t>
              <w:tab/>
              <w:t/>
              <w:tab/>
              <w:t>LONKO</w:t>
              <w:br/>
              <w:t>EFI</w:t>
              <w:tab/>
              <w:t/>
              <w:tab/>
              <w:t>RENTG</w:t>
              <w:br/>
              <w:t>EFI</w:t>
              <w:tab/>
              <w:t/>
              <w:tab/>
              <w:t>DANKO</w:t>
              <w:br/>
              <w:t>NETS</w:t>
              <w:tab/>
              <w:t/>
              <w:tab/>
              <w:t>BANKO</w:t>
              <w:br/>
              <w:t>SLUT</w:t>
              <w:tab/>
              <w:t/>
              <w:tab/>
              <w:t>MODRE</w:t>
              <w:br/>
              <w:t>NEMKONT</w:t>
              <w:tab/>
              <w:t>MODRE</w:t>
              <w:br/>
              <w:t>DMO</w:t>
              <w:tab/>
              <w:t/>
              <w:tab/>
              <w:t>MODRE</w:t>
              <w:br/>
              <w:t/>
              <w:br/>
              <w:t>DMIIndbetalingArt LONKO kan ikke anvendes ved oprettelse af indbetalinger. Den sættes automatisk af DMI ved korrektion af lønindeholdelser.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DMIIndbetalingID</w:t>
            </w:r>
            <w:bookmarkStart w:name="DMIIndbetal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Den unikke identifikation af den enkelte indbetaling, som skal anvendes til at kunne spore indbetalingen fx ifm med 2 identiske betalinger foretaget samme dag.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ForetagIkkeAutomatiskDækning</w:t>
            </w:r>
            <w:bookmarkStart w:name="ForetagIkkeAutomatiskDækn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Ja = Der foretages ikke automatisk dæking.</w:t>
              <w:br/>
              <w:t>Nej = Der foretages automatisk dækning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KundeNummer</w:t>
            </w:r>
            <w:bookmarkStart w:name="Ku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br/>
              <w:t>pattern: [0-9]{8,11}</w:t>
            </w:r>
          </w:p>
        </w:tc>
        <w:tc>
          <w:tcPr>
            <w:tcW w:type="dxa" w:w="4391"/>
            <w:tcMar>
              <w:top w:type="dxa" w:w="57"/>
              <w:bottom w:type="dxa" w:w="57"/>
            </w:tcMar>
          </w:tcPr>
          <w:p>
            <w:pPr>
              <w:rPr>
                <w:rFonts w:ascii="Arial" w:cs="Arial" w:hAnsi="Arial"/>
                <w:sz w:val="18"/>
              </w:rPr>
            </w:pPr>
            <w:r>
              <w:rPr>
                <w:rFonts w:ascii="Arial" w:cs="Arial" w:hAnsi="Arial"/>
                <w:sz w:val="18"/>
              </w:rPr>
              <w:t/>
              <w:t>Identifikationen af kunden i form af CVR/SE nr. for virksomheder, CPR for personer og journalnr. for dem, som ikke har et af de 2 andre typer.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KundeType</w:t>
            </w:r>
            <w:bookmarkStart w:name="Kun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Identificere typen kunde, dvs. hvad KundeNummer dækker over.</w:t>
              <w:br/>
              <w:t/>
              <w:br/>
              <w:t>Værdisæt:</w:t>
              <w:br/>
              <w:t>CVR-Virksomhed</w:t>
              <w:br/>
              <w:t>SE-Virksomhed</w:t>
              <w:br/>
              <w:t>CPR-Person</w:t>
              <w:br/>
              <w:t>AKR-DMR-Person</w:t>
              <w:br/>
              <w:t>AKR-DMR-Virksomhed</w:t>
              <w:br/>
              <w:t>AKR-DMR-Ukendt</w:t>
              <w:br/>
              <w:t>AKR-EFI-Person</w:t>
              <w:br/>
              <w:t>AKR-EFI-Virksomhed</w:t>
              <w:br/>
              <w:t>AKR-EFI-Myndighed</w:t>
              <w:br/>
              <w:t>AKR-EFI-Ukendt</w:t>
              <w:br/>
              <w:t>UViR-Virksomhed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RenteGodtgørelseBeløb</w:t>
            </w:r>
            <w:bookmarkStart w:name="RenteGodtgørelse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Den beregnede rentegodtgørelse som leveres til sagsbehand-ler.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RenteGodtgørelseBeløbDKK</w:t>
            </w:r>
            <w:bookmarkStart w:name="RenteGodtgørelse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Den beregnede rentegodtgørelse i danske kroner, som leveres til sagsbehand-ler.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RenteGodtgørelseBeregnBeløb</w:t>
            </w:r>
            <w:bookmarkStart w:name="RenteGodtgørelseBeregn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som sagsbehandler indtaster til brug for beregning af en rentegodtgørelse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RenteGodtgørelseBeregnBeløbDKK</w:t>
            </w:r>
            <w:bookmarkStart w:name="RenteGodtgørelseBeregn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som sagsbehandler indtaster i danske kroner til brug for beregning af en rentegodtgørelse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RenteGodtgørelseDelPeriodeBlb</w:t>
            </w:r>
            <w:bookmarkStart w:name="RenteGodtgørelseDelPeriodeBl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RenteGodtgørelseBeløb for en del af den samlede periode. Skal bruges til at flette i meddelelse for kunde, hvis rentegodtgørelsen er be-regnet over flere renteperioder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RenteGodtgørelseDelPeriodeFra</w:t>
            </w:r>
            <w:bookmarkStart w:name="RenteGodtgørelseDelPeriode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hvorfra en sats er gyldig. Skal anvendes hvis der er flere satser inden for den samlede periode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RenteGodtgørelseDelPeriodeTil</w:t>
            </w:r>
            <w:bookmarkStart w:name="RenteGodtgørelseDelPeriode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hvortil en sats er gyldig. Skal anvendes hvis der er flere satser inden for den samlede periode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RenteGodtgørelsePeriodeFra</w:t>
            </w:r>
            <w:bookmarkStart w:name="RenteGodtgørelsePeriode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dato hvorfra rentegodtgørelsen beregnes fra = første rentedag.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RenteGodtgørelsePeriodeTil</w:t>
            </w:r>
            <w:bookmarkStart w:name="RenteGodtgørelsePeriode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dato hvorfra rentegodtgørelsen beregnes til = sidste rentedag.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RenteGodtgørelseRefRenteSats</w:t>
            </w:r>
            <w:bookmarkStart w:name="RenteGodtgørelseRefRenteSats"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6</w:t>
            </w:r>
          </w:p>
        </w:tc>
        <w:tc>
          <w:tcPr>
            <w:tcW w:type="dxa" w:w="4391"/>
            <w:tcMar>
              <w:top w:type="dxa" w:w="57"/>
              <w:bottom w:type="dxa" w:w="57"/>
            </w:tcMar>
          </w:tcPr>
          <w:p>
            <w:pPr>
              <w:rPr>
                <w:rFonts w:ascii="Arial" w:cs="Arial" w:hAnsi="Arial"/>
                <w:sz w:val="18"/>
              </w:rPr>
            </w:pPr>
            <w:r>
              <w:rPr>
                <w:rFonts w:ascii="Arial" w:cs="Arial" w:hAnsi="Arial"/>
                <w:sz w:val="18"/>
              </w:rPr>
              <w:t/>
              <w:t>Referencesatsen er den officielle udlånsrente, der fastsættes af Nationalbanken pr. 1.januar og 1.juli. Benyttes ved godtgørelse efter renteloven.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RenteGodtgørelseSumRenteSats</w:t>
            </w:r>
            <w:bookmarkStart w:name="RenteGodtgørelseSumRenteSats"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6</w:t>
            </w:r>
          </w:p>
        </w:tc>
        <w:tc>
          <w:tcPr>
            <w:tcW w:type="dxa" w:w="4391"/>
            <w:tcMar>
              <w:top w:type="dxa" w:w="57"/>
              <w:bottom w:type="dxa" w:w="57"/>
            </w:tcMar>
          </w:tcPr>
          <w:p>
            <w:pPr>
              <w:rPr>
                <w:rFonts w:ascii="Arial" w:cs="Arial" w:hAnsi="Arial"/>
                <w:sz w:val="18"/>
              </w:rPr>
            </w:pPr>
            <w:r>
              <w:rPr>
                <w:rFonts w:ascii="Arial" w:cs="Arial" w:hAnsi="Arial"/>
                <w:sz w:val="18"/>
              </w:rPr>
              <w:t/>
              <w:t>Den samlede rentesats som danner grundlag for renteberegningen.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RenteGodtgørelseType</w:t>
            </w:r>
            <w:bookmarkStart w:name="RenteGodtgørels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6</w:t>
              <w:br/>
              <w:t>enumeration: GOOVSK, GORENT</w:t>
            </w:r>
          </w:p>
        </w:tc>
        <w:tc>
          <w:tcPr>
            <w:tcW w:type="dxa" w:w="4391"/>
            <w:tcMar>
              <w:top w:type="dxa" w:w="57"/>
              <w:bottom w:type="dxa" w:w="57"/>
            </w:tcMar>
          </w:tcPr>
          <w:p>
            <w:pPr>
              <w:rPr>
                <w:rFonts w:ascii="Arial" w:cs="Arial" w:hAnsi="Arial"/>
                <w:sz w:val="18"/>
              </w:rPr>
            </w:pPr>
            <w:r>
              <w:rPr>
                <w:rFonts w:ascii="Arial" w:cs="Arial" w:hAnsi="Arial"/>
                <w:sz w:val="18"/>
              </w:rPr>
              <w:t/>
              <w:t>Angiver hvilken type af rentegørelse der skal beregnes.</w:t>
              <w:br/>
              <w:t/>
              <w:br/>
              <w:t>Værdisæt:</w:t>
              <w:br/>
              <w:t>GOOVSK: Godtgørelse for udbetaling af overskydende skat efter 1/10 i efterfølgende indkomstår (kildeskattelovens §62</w:t>
              <w:br/>
              <w:t>GORENT: Godtgørelse jf. renteloven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RenteGodtgørelseÅrsagBegr</w:t>
            </w:r>
            <w:bookmarkStart w:name="RenteGodtgørelseÅrsagBeg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Sagsbehandler skal angive begrundelse for beregning af rentegodtgørelse.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RenteGodtgørelseÅrsagKode</w:t>
            </w:r>
            <w:bookmarkStart w:name="RenteGodtgørelseÅrsag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URTI, URID, SUOS, SUNM, AND</w:t>
            </w:r>
          </w:p>
        </w:tc>
        <w:tc>
          <w:tcPr>
            <w:tcW w:type="dxa" w:w="4391"/>
            <w:tcMar>
              <w:top w:type="dxa" w:w="57"/>
              <w:bottom w:type="dxa" w:w="57"/>
            </w:tcMar>
          </w:tcPr>
          <w:p>
            <w:pPr>
              <w:rPr>
                <w:rFonts w:ascii="Arial" w:cs="Arial" w:hAnsi="Arial"/>
                <w:sz w:val="18"/>
              </w:rPr>
            </w:pPr>
            <w:r>
              <w:rPr>
                <w:rFonts w:ascii="Arial" w:cs="Arial" w:hAnsi="Arial"/>
                <w:sz w:val="18"/>
              </w:rPr>
              <w:t/>
              <w:t>Værdier til angivekse af årsag for rentegodtgørelse.</w:t>
              <w:br/>
              <w:t/>
              <w:br/>
              <w:t>Værdisæt:</w:t>
              <w:br/>
              <w:t>URTI: Uretmæssigt tilbageholdt</w:t>
              <w:br/>
              <w:t>URID: Uretmæssigt inddrevet</w:t>
              <w:br/>
              <w:t>SUOS: For sen udbetaling af overskydende skat</w:t>
              <w:br/>
              <w:t>SUNM: For sen udbetaling af negativ moms (21 dags reglen)</w:t>
              <w:br/>
              <w:t>AND: 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RenteGodtgørelseÅrsagTekst</w:t>
            </w:r>
            <w:bookmarkStart w:name="RenteGodtgørelseÅrsag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Uddybende begrundelse for valg af ÅrsagKode 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ValutaKode</w:t>
            </w:r>
            <w:bookmarkStart w:name="Valuta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w:t>
              <w:br/>
              <w:t>pattern: [A-Z]{2,3}</w:t>
            </w:r>
          </w:p>
        </w:tc>
        <w:tc>
          <w:tcPr>
            <w:tcW w:type="dxa" w:w="4391"/>
            <w:tcMar>
              <w:top w:type="dxa" w:w="57"/>
              <w:bottom w:type="dxa" w:w="57"/>
            </w:tcMar>
          </w:tcPr>
          <w:p>
            <w:pPr>
              <w:rPr>
                <w:rFonts w:ascii="Arial" w:cs="Arial" w:hAnsi="Arial"/>
                <w:sz w:val="18"/>
              </w:rPr>
            </w:pPr>
            <w:r>
              <w:rPr>
                <w:rFonts w:ascii="Arial" w:cs="Arial" w:hAnsi="Arial"/>
                <w:sz w:val="18"/>
              </w:rPr>
              <w:t/>
              <w:t>Angiver valuta enheden (ISO-møntkoden) for et beløb.</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DORenteGodtgørelseTilskriv</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