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EFIOpgaveOpretHændelseModtag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1.7</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07-10-2011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portal orkestrerings (PO) service opretter synkront en manuel aftaleopgave eller en plugopgave på en kø i resourcesystemet  og sender en hændelse til den angivne indsats.</w:t>
              <w:br/>
              <w:t/>
              <w:br/>
              <w:t>En manuel opgave er en aftaleopgave, der bookes fra sagsbehandlerportalen. En manuel aftaleopgave er enten en telefonopgave eller aftaleopgave, f.eks. et kundemøde. En plugopgave er en opgave, som sagsbehandleren tager fra en pulje af opgaver.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er front-end til Ressoucestyringen, hvor opgaverne oprettes synkront eller asynkront afhængigt af opgavekategorien, og IMSagsbehandlerHændelseModtag, der informerer indsatsen (asynkront). Kalderen skal derfor angive ved hjælp af AftaleOpgaveMarkering hvilken opgavekategori, der skal oprettes.</w:t>
              <w:br/>
              <w:t/>
              <w:br/>
              <w:t>Når kalderen sætter AftaleOpgaveMarkering til sand, kalder servicen RSEFIOpgaveOpret, der synkront opretter opgaven i RS. Returværdien fra kaldet herunder OpgaveBookingReference er EFI's (og dermed indsatsens) reference til opgaven. OpgaveBookingReferencen sendes til indsatsen i hændelsen. Hvis der ikke er ledige ressourcer i RS, som specificeret i opgaven, så returnerer servicen fejl 500. Hvis transportlaget eller RS fejler teknisk, så returnerer servicen fejl 900 til kalderen.  I begge tilfælde sendes hændelsen ikke til IM.</w:t>
              <w:br/>
              <w:t/>
              <w:br/>
              <w:t>Når kalderen sætter AftaleOpgaveMarkering til falsk, kalder servicen RSEFIOpgaveBook, der asynkront opretter opgaven i RS. Hvis transportlaget eller RS fejler teknisk, så returnerer servicen fejl 900 til kalderen, og hændelsen sendes ikke til IM. Svaret fra RS modtages og distribueres af IM.</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Det er kalderens ansvar at sikre at krævede felter, der er krævede felter er udfyldt i overenstemmelse med kravene i den RS service, som kaldes ud fra værdien af AftaleOpgaveMarkering.</w:t>
              <w:br/>
              <w:t/>
              <w:br/>
              <w:t>Kalderen bør udfyldes RSEFIEkstraInfoStruktur for at undgå unødvendige call-backs fra RS til EFI.</w:t>
              <w:br/>
              <w:t/>
              <w:br/>
              <w:t>Hvis IndsatsParameterKode er udfyldt, kaldes IAIndsatsParametrePåIndsatsGem for at gemme OpgaveBookingReference på en endnu ikke startet indsats. Ellers kaldes IMSagsbehandlerHændelseModtag for at informere en allerede startet indsats og aktere hændelsen.</w:t>
              <w:br/>
              <w:t/>
              <w:br/>
              <w:t>Kaldene af RSEFIOpgaveOpret, RSEFIOpgaveBook og IMSagsbehandlerHændelseModtag / IAIndsatsParametrePåIndsatsGem sker i en transaktion.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EFIOpgaveOpretHændelseModtag_I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EFIKundeStruktur</w:t>
              <w:br/>
              <w:t>EFIHændelseType</w:t>
              <w:br/>
              <w:t>(EFIHændelseStruktur)</w:t>
              <w:br/>
              <w:t>AftaleOpgaveMarkering</w:t>
              <w:br/>
              <w:t>*BooketAf*</w:t>
              <w:br/>
              <w:t>[</w:t>
              <w:br/>
              <w:t/>
              <w:tab/>
              <w:t>DMIIndberetterID</w:t>
              <w:br/>
              <w:t>]</w:t>
              <w:br/>
              <w:t>*OpgaveOpretListe*</w:t>
              <w:br/>
              <w:t>0{</w:t>
              <w:br/>
              <w:t/>
              <w:tab/>
              <w:t>*EFIOpgave*</w:t>
              <w:br/>
              <w:t/>
              <w:tab/>
              <w:t>[</w:t>
              <w:br/>
              <w:t/>
              <w:tab/>
              <w:t/>
              <w:tab/>
              <w:t>OpgaveOpgavetypeID</w:t>
              <w:br/>
              <w:t/>
              <w:tab/>
              <w:t/>
              <w:tab/>
              <w:t>(OpgaveTekst)</w:t>
              <w:br/>
              <w:t/>
              <w:tab/>
              <w:t/>
              <w:tab/>
              <w:t>SlotStartDatoTid</w:t>
              <w:br/>
              <w:t/>
              <w:tab/>
              <w:t/>
              <w:tab/>
              <w:t>(OpgaveBookingreference)</w:t>
              <w:br/>
              <w:t/>
              <w:tab/>
              <w:t/>
              <w:tab/>
              <w:t>(OpgaveLinkParametre)</w:t>
              <w:br/>
              <w:t/>
              <w:tab/>
              <w:t/>
              <w:tab/>
              <w:t>(OpgaveGennemførselstid)</w:t>
              <w:br/>
              <w:t/>
              <w:tab/>
              <w:t/>
              <w:tab/>
              <w:t>(RSEFIEkstraInfoStruktur)</w:t>
              <w:br/>
              <w:t/>
              <w:tab/>
              <w:t/>
              <w:tab/>
              <w:t>*RessourceTrækListe*</w:t>
              <w:br/>
              <w:t/>
              <w:tab/>
              <w:t/>
              <w:tab/>
              <w:t>0{</w:t>
              <w:br/>
              <w:t/>
              <w:tab/>
              <w:t/>
              <w:tab/>
              <w:t/>
              <w:tab/>
              <w:t>*RessourceTræk*</w:t>
              <w:br/>
              <w:t/>
              <w:tab/>
              <w:t/>
              <w:tab/>
              <w:t/>
              <w:tab/>
              <w:t>[</w:t>
              <w:br/>
              <w:t/>
              <w:tab/>
              <w:t/>
              <w:tab/>
              <w:t/>
              <w:tab/>
              <w:t/>
              <w:tab/>
              <w:t>RSRessourceID</w:t>
              <w:br/>
              <w:t/>
              <w:tab/>
              <w:t/>
              <w:tab/>
              <w:t/>
              <w:tab/>
              <w:t>]</w:t>
              <w:br/>
              <w:t/>
              <w:tab/>
              <w:t/>
              <w:tab/>
              <w:t>}</w:t>
              <w:br/>
              <w:t/>
              <w:tab/>
              <w:t/>
              <w:tab/>
              <w:t>(</w:t>
              <w:br/>
              <w:t/>
              <w:tab/>
              <w:t/>
              <w:tab/>
              <w:t/>
              <w:tab/>
              <w:t>*MødeAdresse*</w:t>
              <w:br/>
              <w:t/>
              <w:tab/>
              <w:t/>
              <w:tab/>
              <w:t/>
              <w:tab/>
              <w:t>[</w:t>
              <w:br/>
              <w:t/>
              <w:tab/>
              <w:t/>
              <w:tab/>
              <w:t/>
              <w:tab/>
              <w:t/>
              <w:tab/>
              <w:t>AdresseStruktur</w:t>
              <w:br/>
              <w:t/>
              <w:tab/>
              <w:t/>
              <w:tab/>
              <w:t/>
              <w:tab/>
              <w:t>]</w:t>
              <w:br/>
              <w:t/>
              <w:tab/>
              <w:t/>
              <w:tab/>
              <w:t>)</w:t>
              <w:br/>
              <w:t/>
              <w:tab/>
              <w:t>]</w:t>
              <w:br/>
              <w:t>}</w:t>
              <w:br/>
              <w:t>*EFIOpgaveBookListe*</w:t>
              <w:br/>
              <w:t>0{</w:t>
              <w:br/>
              <w:t/>
              <w:tab/>
              <w:t>*EFIOpgave*</w:t>
              <w:br/>
              <w:t/>
              <w:tab/>
              <w:t>[</w:t>
              <w:br/>
              <w:t/>
              <w:tab/>
              <w:t/>
              <w:tab/>
              <w:t>OpgaveOpgavetypeID</w:t>
              <w:br/>
              <w:t/>
              <w:tab/>
              <w:t/>
              <w:tab/>
              <w:t>(OpgaveBookingreference)</w:t>
              <w:br/>
              <w:t/>
              <w:tab/>
              <w:t/>
              <w:tab/>
              <w:t>(OpgaveKundeid)</w:t>
              <w:br/>
              <w:t/>
              <w:tab/>
              <w:t/>
              <w:tab/>
              <w:t>(OpgaveTekst)</w:t>
              <w:br/>
              <w:t/>
              <w:tab/>
              <w:t/>
              <w:tab/>
              <w:t>(OpgaveLinkParametre)</w:t>
              <w:br/>
              <w:t/>
              <w:tab/>
              <w:t/>
              <w:tab/>
              <w:t>(OpgaveBookingsvarDage)</w:t>
              <w:br/>
              <w:t/>
              <w:tab/>
              <w:t/>
              <w:tab/>
              <w:t>(RSEFIEkstraInfoStruktur)</w:t>
              <w:br/>
              <w:t/>
              <w:tab/>
              <w:t/>
              <w:tab/>
              <w:t>(</w:t>
              <w:br/>
              <w:t/>
              <w:tab/>
              <w:t/>
              <w:tab/>
              <w:t/>
              <w:tab/>
              <w:t>*BooketAf*</w:t>
              <w:br/>
              <w:t/>
              <w:tab/>
              <w:t/>
              <w:tab/>
              <w:t/>
              <w:tab/>
              <w:t>[</w:t>
              <w:br/>
              <w:t/>
              <w:tab/>
              <w:t/>
              <w:tab/>
              <w:t/>
              <w:tab/>
              <w:t/>
              <w:tab/>
              <w:t>MedarbejderprofilWNummer</w:t>
              <w:br/>
              <w:t/>
              <w:tab/>
              <w:t/>
              <w:tab/>
              <w:t/>
              <w:tab/>
              <w:t>]</w:t>
              <w:br/>
              <w:t/>
              <w:tab/>
              <w:t/>
              <w:tab/>
              <w:t>)</w:t>
              <w:br/>
              <w:t/>
              <w:tab/>
              <w:t/>
              <w:tab/>
              <w:t>(</w:t>
              <w:br/>
              <w:t/>
              <w:tab/>
              <w:t/>
              <w:tab/>
              <w:t/>
              <w:tab/>
              <w:t>*MødeAdresse*</w:t>
              <w:br/>
              <w:t/>
              <w:tab/>
              <w:t/>
              <w:tab/>
              <w:t/>
              <w:tab/>
              <w:t>[</w:t>
              <w:br/>
              <w:t/>
              <w:tab/>
              <w:t/>
              <w:tab/>
              <w:t/>
              <w:tab/>
              <w:t/>
              <w:tab/>
              <w:t>AdresseStruktur</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EFIOpgaveOpretHændelseModtag_O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OpgaveBookingreference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valideres for følgende fejl:</w:t>
              <w:br/>
              <w:t>- Fejl i kald af RSEFIOpgaveOpret medfører automatisk at transaktionen afbrydes</w:t>
              <w:br/>
              <w:t/>
              <w:br/>
              <w:t>Validering: Ressourcestyringen kunne ikke booke ressourcer til opgaven</w:t>
              <w:br/>
              <w:t>Fejlnummer: 500</w:t>
              <w:br/>
              <w:t>Reaktion: Der kunne ikke bookes ressourcer til at udføre opgaven</w:t>
              <w:br/>
              <w:t/>
              <w:br/>
              <w:t>Validering: Generel fejl der kræver analyse af Systemadministrator, fx transaktionen kan ikke gennemføres</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AftaleOpgaveMarkering</w:t>
            </w:r>
            <w:bookmarkStart w:name="AftaleOpgav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EFIOpgaveOpretHændelseModtag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