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DWHæftelsesforholdTilAfskrivningMultiModtag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1.1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17-08-2016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SKAT DW udsøger hæftelsesforhold for fordringer, der opfylder betingelserne for en §16. Et sådant hæftelsesforhold skal afskrives ved forældelse. Resultatet af udsøgningen meddeles til EFI i form af en leverance med hæftelser, hvor det for hver hæftelse markeres om hæftelsen opfylder betingelserne for en §16. Leverancen er en delta-leverance, hvor ændringerne i forhold til sidst kørte leverance sendes over. Resultatet overføres via markeringsflag og en uddybende beskrivelse af de anvendte regler, der afgjorde markeringens værdi.</w:t>
              <w:br/>
              <w:t/>
              <w:br/>
              <w:t>EFI opdaterer afskrivningsmarkeringen i DMI og danner kunde- og fordringsnoter med de rapporterede markeringer og regler.</w:t>
              <w:br/>
              <w:t/>
              <w:br/>
              <w:t>Denne servicebeskrivelse beskriver dataformatet for leverancen fra DW. Bemærk at der ikke udstilles en service med indholdet af denne servicedefinition.</w:t>
              <w:br/>
              <w:t/>
              <w:br/>
              <w:t>EFI opdaterer afskrivningsmarkeringen i DMI og danner kunde- og fordringsnoter med de rapportede markeringer og regler.</w:t>
              <w:br/>
              <w:t/>
              <w:br/>
              <w:t>Bemærk at der ikke udstilles en service med indholdet af denne servicedefinition.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DWHæftelsesforholdTilAfskrivningMultiModtag_I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DWHæftelsesforholdTilAfskrivningMultiModtag_O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*KundeAfskrivningRapportListe*</w:t>
              <w:br/>
              <w:t>1{</w:t>
              <w:br/>
              <w:t/>
              <w:tab/>
              <w:t>*Kunde*</w:t>
              <w:br/>
              <w:t/>
              <w:tab/>
              <w:t>[</w:t>
              <w:br/>
              <w:t/>
              <w:tab/>
              <w:t/>
              <w:tab/>
              <w:t>KundeStruktur</w:t>
              <w:br/>
              <w:t/>
              <w:tab/>
              <w:t/>
              <w:tab/>
              <w:t>RapportUdsøgDato</w:t>
              <w:br/>
              <w:t/>
              <w:tab/>
              <w:t/>
              <w:tab/>
              <w:t>*HæftelseTilAfskrivningListe*</w:t>
              <w:br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>*HæftelseTilAfskrivning*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DMIFordringEFIFordringID</w:t>
              <w:br/>
              <w:t/>
              <w:tab/>
              <w:t/>
              <w:tab/>
              <w:t/>
              <w:tab/>
              <w:t/>
              <w:tab/>
              <w:t>HæftelseMåAfskrives</w:t>
              <w:br/>
              <w:t/>
              <w:tab/>
              <w:t/>
              <w:tab/>
              <w:t/>
              <w:tab/>
              <w:t/>
              <w:tab/>
              <w:t>*AfskrivningRegelListe*</w:t>
              <w:br/>
              <w:t/>
              <w:tab/>
              <w:t/>
              <w:tab/>
              <w:t/>
              <w:tab/>
              <w:t/>
              <w:tab/>
              <w:t>{</w:t>
              <w:br/>
              <w:t/>
              <w:tab/>
              <w:t/>
              <w:tab/>
              <w:t/>
              <w:tab/>
              <w:t/>
              <w:tab/>
              <w:t/>
              <w:tab/>
              <w:t>AfskrivningRegelStruktur</w:t>
              <w:br/>
              <w:t/>
              <w:tab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}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Følgende valideringer foretages i EFI. Valideringerne logges i EFI. De returneres ikke til SKAT DW</w:t>
              <w:br/>
              <w:t>________________________________________</w:t>
              <w:br/>
              <w:t>Validering: Kontrol af hvorvidt kunde findes</w:t>
              <w:br/>
              <w:t>Fejlnummer: 005</w:t>
              <w:br/>
              <w:t>Reaktion: Besked om at kunde ikke findes</w:t>
              <w:br/>
              <w:t>Parameterliste: KundeNummer, KundeType</w:t>
              <w:br/>
              <w:t/>
              <w:br/>
              <w:t>Validering: Kontrol af hvorvidt fordring findes</w:t>
              <w:br/>
              <w:t>Fejlnummer: 007</w:t>
              <w:br/>
              <w:t>Reaktion: Besked om at fordring ikke findes</w:t>
              <w:br/>
              <w:t>Parameterliste: DMIFordringEFIFordringID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AfskrivningRegelStruktur</w:t>
            </w:r>
            <w:bookmarkStart w:name="AfskrivningRegel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AfskrivningRegelId</w:t>
              <w:br/>
              <w:t>AfskrivningRegelTekst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KundeStruktur</w:t>
            </w:r>
            <w:bookmarkStart w:name="Kund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  <w:br/>
              <w:t>KundeType</w:t>
              <w:br/>
              <w:t>(VirksomhedCVRNummer)</w:t>
              <w:br/>
              <w:t>(KundeNavn)</w:t>
              <w:br/>
              <w:t>(DriftFormKode)</w:t>
              <w:br/>
              <w:t>(</w:t>
              <w:br/>
              <w:t/>
              <w:tab/>
              <w:t>*EnkeltmandVirksomhedEjer*</w:t>
              <w:br/>
              <w:t/>
              <w:tab/>
              <w:t>[</w:t>
              <w:br/>
              <w:t/>
              <w:tab/>
              <w:t/>
              <w:tab/>
              <w:t>PersonCPRNummer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Identificerer en kunde som et KundeNummer, KundeType par. De optionelle felter er ikke garanteret udfyldt i alle services hvor KundeStruktur benyttes.</w:t>
              <w:br/>
              <w:t/>
              <w:br/>
              <w:t>Hvis KundeNavn er udfyldt er det baseret på navne-information i CSR-P, ES eller AKR.</w:t>
              <w:br/>
              <w:t/>
              <w:br/>
              <w:t>For KundeType=SE-Virksomhed kan VirksomhedCVRNummer og DriftFormKode være udfyldt,</w:t>
              <w:br/>
              <w:t>og hvis DriftFormKodee=Enkeltmandsfirma vil EnkeltmandVirksomhedEjer være sat.</w:t>
              <w:br/>
              <w:t/>
              <w:br/>
              <w:t>De optionelle felter vil blive beriget af MF ved modtagelse af en fordring, før den sendes videre til DMI.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AfskrivningRegelId</w:t>
            </w:r>
            <w:bookmarkStart w:name="AfskrivningRege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heltal fra 0-9999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AfskrivningRegelTekst</w:t>
            </w:r>
            <w:bookmarkStart w:name="AfskrivningRegel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en afskrivningsregel.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DMIFordringEFIFordringID</w:t>
            </w:r>
            <w:bookmarkStart w:name="DMIFordringEFIFordr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identifikation af den enkelte  RIMfordring.</w:t>
              <w:br/>
              <w:t>Benyttes til kommunikation mellem EFI og  DMI.</w:t>
              <w:br/>
              <w:t>EFIFordringID vidreføres som ID i DMI. Det er en forret-ningsmæssigt vigtig identifikation da, man præcist skal iden-tificere DMI fordringen i tilfælde af tilbagekaldelse eller bortfald fra fordringshavers side.</w:t>
              <w:br/>
              <w:t>FordringID tildeles i EFI eller i DMI ud fra separate nummerserier.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DriftFormKode</w:t>
            </w:r>
            <w:bookmarkStart w:name="DriftForm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Entydig kode som identificerer driftformen.</w:t>
              <w:br/>
              <w:t/>
              <w:br/>
              <w:t>DriftFormKode: DriftFormTekstLang (DriftFormTekstKort)</w:t>
              <w:br/>
              <w:t/>
              <w:br/>
              <w:t>001: Enkeltmandsfirma (EF)</w:t>
              <w:br/>
              <w:t>002: Dødsbo (BO)</w:t>
              <w:br/>
              <w:t>003: Interessentskab (IS)</w:t>
              <w:br/>
              <w:t>004: Registreret interessentskab (RIS)</w:t>
              <w:br/>
              <w:t>005: Partrederi (PR)</w:t>
              <w:br/>
              <w:t>006: Kommanditselskab (KS)</w:t>
              <w:br/>
              <w:t>007: Registreret kommanditselskab (RKS)</w:t>
              <w:br/>
              <w:t>008: Enhed under oprettelse (EUO)</w:t>
              <w:br/>
              <w:t>009: Aktieselskab (AS)</w:t>
              <w:br/>
              <w:t>010: AS beskattet som andelsforening (AS)</w:t>
              <w:br/>
              <w:t>011: ApS beskattet som andelsforening (ApS)</w:t>
              <w:br/>
              <w:t>012: Filial af udenlandsk aktieselskab (UAS)</w:t>
              <w:br/>
              <w:t>013: Anpartsselskab under stiftelse (APU)</w:t>
              <w:br/>
              <w:t>014: Anpartsselskab (APS)</w:t>
              <w:br/>
              <w:t>015: Filial af udenlandsk anpartsselskab (UAP)</w:t>
              <w:br/>
              <w:t>016: Europæisk Økonomisk Firmagruppe (EØF)</w:t>
              <w:br/>
              <w:t>017: Andelsforening (FAF)</w:t>
              <w:br/>
              <w:t>018: Indkøbsforening (FIF)</w:t>
              <w:br/>
              <w:t>019: Produktions- og salgsforening (FPS)</w:t>
              <w:br/>
              <w:t>020: Brugsforening (FNB) (FNB)</w:t>
              <w:br/>
              <w:t>021: Brugsforening (FBF) (FBF)</w:t>
              <w:br/>
              <w:t>022: Øvrige andelsforening (FØF)</w:t>
              <w:br/>
              <w:t>023: Gensidige forsikringsforening (FGF)</w:t>
              <w:br/>
              <w:t>024: Investeringsforening (FAI)</w:t>
              <w:br/>
              <w:t>025: Selskab med begrænset ansvar (SBA)</w:t>
              <w:br/>
              <w:t>026: Andelsforen. m/ begrænset ansvar (ABA</w:t>
              <w:br/>
              <w:t>027: Forening m/begrænset ansvar (FBA)</w:t>
              <w:br/>
              <w:t>029: Forening (FO)</w:t>
              <w:br/>
              <w:t>030: Finansierings- og kreditinstitut (FRI)</w:t>
              <w:br/>
              <w:t>031: Finansieringsinstitut (LFI)</w:t>
              <w:br/>
              <w:t>032: Realkreditinstitut (LFR)</w:t>
              <w:br/>
              <w:t>033: Sparekasse og Andelskasse (SP)</w:t>
              <w:br/>
              <w:t>034: Udenlandsk, anden virksomhed (UØ)</w:t>
              <w:br/>
              <w:t>035: Udenlandsk forening (UF)</w:t>
              <w:br/>
              <w:t>036: Erhvervsdrivende fond (LFF)</w:t>
              <w:br/>
              <w:t>037: Fond (FF)</w:t>
              <w:br/>
              <w:t>038: Arbejdsmarkedsforening (LFA)</w:t>
              <w:br/>
              <w:t>039: Selvejende institution, forening, fond mv (SI)</w:t>
              <w:br/>
              <w:t>040: Selvejende institution med offentlig støtte (SIO)</w:t>
              <w:br/>
              <w:t>041: Legat (FL)</w:t>
              <w:br/>
              <w:t>042: Stiftelse (FST)</w:t>
              <w:br/>
              <w:t>043: Stat (OS)</w:t>
              <w:br/>
              <w:t>044: Amt (OA)</w:t>
              <w:br/>
              <w:t>045: Kommune (OK)</w:t>
              <w:br/>
              <w:t>046: Folkekirkeligt menighedsråd (MR)</w:t>
              <w:br/>
              <w:t>047: Særlig offentlig virksomhed (SOV)</w:t>
              <w:br/>
              <w:t>048: Afregnende enhed, fællesregistrering (YY)</w:t>
              <w:br/>
              <w:t>049: AS beskattet som indkøbsforening (AS)</w:t>
              <w:br/>
              <w:t>050: ApS beskattet som indkøbsforening (ApS)</w:t>
              <w:br/>
              <w:t>051: Forening omfattet af lov om fonde (LFØ)</w:t>
              <w:br/>
              <w:t>052: Konkursbo (BKB)</w:t>
              <w:br/>
              <w:t>054: Anden forening (Ø)</w:t>
              <w:br/>
              <w:t>055: Registreret enkeltmandsfirma (REF)</w:t>
              <w:br/>
              <w:t>056: Udenlandsk aktieselskab (UA)</w:t>
              <w:br/>
              <w:t>057: Udenlandsk anpartsselskab (UDP)</w:t>
              <w:br/>
              <w:t>058: SE-selskab (SE)</w:t>
              <w:br/>
              <w:t>059: Frivillig Forening (FFO)</w:t>
              <w:br/>
              <w:t>060: Region (REG)</w:t>
              <w:br/>
              <w:t>061: Udenlandsk pengeinstitut (UPI)</w:t>
              <w:br/>
              <w:t>062: Udenlandsk forsikringsselskab (UFO)</w:t>
              <w:br/>
              <w:t>063: Udenlandsk pensionsinstitut (UPE)</w:t>
              <w:br/>
              <w:t>064: Personlig mindre virksomhed (PMV)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HæftelseMåAfskrives</w:t>
            </w:r>
            <w:bookmarkStart w:name="HæftelseMåAfskrives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om hæftelsen automatisk må afskrives ved forældelse. Sættes via udvalgsregler implementeret i SKAT DW (ja=true).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KundeNavn</w:t>
            </w:r>
            <w:bookmarkStart w:name="Kund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kunde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KundeType</w:t>
            </w:r>
            <w:bookmarkStart w:name="Kun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 typen kunde, dvs. hvad KundeNummer dækker over.</w:t>
              <w:br/>
              <w:t/>
              <w:br/>
              <w:t>Værdisæt:</w:t>
              <w:br/>
              <w:t>CVR-Virksomhed</w:t>
              <w:br/>
              <w:t>SE-Virksomhed</w:t>
              <w:br/>
              <w:t>CPR-Person</w:t>
              <w:br/>
              <w:t>AKR-DMR-Person</w:t>
              <w:br/>
              <w:t>AKR-DMR-Virksomhed</w:t>
              <w:br/>
              <w:t>AKR-DMR-Ukendt</w:t>
              <w:br/>
              <w:t>AKR-EFI-Person</w:t>
              <w:br/>
              <w:t>AKR-EFI-Virksomhed</w:t>
              <w:br/>
              <w:t>AKR-EFI-Myndighed</w:t>
              <w:br/>
              <w:t>AKR-EFI-Ukendt</w:t>
              <w:br/>
              <w:t>UViR-Virksomhed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RapportUdsøgDato</w:t>
            </w:r>
            <w:bookmarkStart w:name="RapportUdsøg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hvor rapporten er udsøgt.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DWHæftelsesforholdTilAfskrivningMultiModtag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