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EFIBetalingEvneKøretøjModtag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04-09-2014</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modtage hændelser vedrørende til og afgang af køretøjer for aktive kunder i EFI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Køretøjshændelser underretter EFI om EFI kunders køb eller salg af køretøjer. Det digitale motorregister, DMR, er stamdatasystem for køretøjsoplysninger.</w:t>
              <w:br/>
              <w:t/>
              <w:br/>
              <w:t>Der håndteres kun hændelser vedrørende aktive kunder i EFI, der er oprettet i betalingsevneberegningen med et personbudget.</w:t>
              <w:br/>
              <w:t/>
              <w:br/>
              <w:t>Det forventes, at SKAT DW er producent af hændelserne.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EFIBetalingEvneKøretøjModtag_I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*KøretøjHændelseKundeListe*</w:t>
              <w:br/>
              <w:t>1{</w:t>
              <w:br/>
              <w:t/>
              <w:tab/>
              <w:t>*KøretøjHændelseKunde*</w:t>
              <w:br/>
              <w:t/>
              <w:tab/>
              <w:t>[</w:t>
              <w:br/>
              <w:t/>
              <w:tab/>
              <w:t/>
              <w:tab/>
              <w:t>EFIKundeIdentStruktur</w:t>
              <w:br/>
              <w:t/>
              <w:tab/>
              <w:t/>
              <w:tab/>
              <w:t>*KøretøjHændelseListe*</w:t>
              <w:br/>
              <w:t/>
              <w:tab/>
              <w:t/>
              <w:tab/>
              <w:t>0{</w:t>
              <w:br/>
              <w:t/>
              <w:tab/>
              <w:t/>
              <w:tab/>
              <w:t/>
              <w:tab/>
              <w:t>*Køretøj*</w:t>
              <w:br/>
              <w:t/>
              <w:tab/>
              <w:t/>
              <w:tab/>
              <w:t/>
              <w:tab/>
              <w:t>[</w:t>
              <w:br/>
              <w:t/>
              <w:tab/>
              <w:t/>
              <w:tab/>
              <w:t/>
              <w:tab/>
              <w:t/>
              <w:tab/>
              <w:t>KøretøjIdent</w:t>
              <w:br/>
              <w:t/>
              <w:tab/>
              <w:t/>
              <w:tab/>
              <w:t/>
              <w:tab/>
              <w:t/>
              <w:tab/>
              <w:t>EFIKøretøjTilAfgangMarkering</w:t>
              <w:br/>
              <w:t/>
              <w:tab/>
              <w:t/>
              <w:tab/>
              <w:t/>
              <w:tab/>
              <w:t/>
              <w:tab/>
              <w:t>KøretøjOplysningStelNummer</w:t>
              <w:br/>
              <w:t/>
              <w:tab/>
              <w:t/>
              <w:tab/>
              <w:t/>
              <w:tab/>
              <w:t/>
              <w:tab/>
              <w:t>KøretøjOplysningStatus</w:t>
              <w:br/>
              <w:t/>
              <w:tab/>
              <w:t/>
              <w:tab/>
              <w:t/>
              <w:tab/>
              <w:t/>
              <w:tab/>
              <w:t>KøretøjMærkeTypeNavn</w:t>
              <w:br/>
              <w:t/>
              <w:tab/>
              <w:t/>
              <w:tab/>
              <w:t/>
              <w:tab/>
              <w:t/>
              <w:tab/>
              <w:t>(KøretøjModelTypeNavn)</w:t>
              <w:br/>
              <w:t/>
              <w:tab/>
              <w:t/>
              <w:tab/>
              <w:t/>
              <w:tab/>
              <w:t/>
              <w:tab/>
              <w:t>(KøretøjVariantTypeNavn)</w:t>
              <w:br/>
              <w:t/>
              <w:tab/>
              <w:t/>
              <w:tab/>
              <w:t/>
              <w:tab/>
              <w:t/>
              <w:tab/>
              <w:t>(KøretøjOplysningFørsteRegistreringDato)</w:t>
              <w:br/>
              <w:t/>
              <w:tab/>
              <w:t/>
              <w:tab/>
              <w:t/>
              <w:tab/>
              <w:t/>
              <w:tab/>
              <w:t>(RegistreringNummerNummer)</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EFIBetalingEvneKøretøjModtag_O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Valideringen foretages i EFI og sendes ikke tilbage til producenten. EFI foretager ingen valideringer af dataindholdet af køretøjsoplysningerne</w:t>
              <w:br/>
              <w:t>________________________</w:t>
              <w:br/>
              <w:t/>
              <w:br/>
              <w:t>Validering: Kunden der forespørges på findes ikke</w:t>
              <w:br/>
              <w:t>Fejlnummer: 005</w:t>
              <w:br/>
              <w:t>Reaktion: Kald kan ikke behandles da kunden der spørges på ikke findes</w:t>
              <w:br/>
              <w:t/>
              <w:br/>
              <w:t>Validering: Generel fejl der kræver analyse af Systemadministrator</w:t>
              <w:br/>
              <w:t>Fejlnummer: 900</w:t>
              <w:br/>
              <w:t>Reaktion: Kald kan ikke behandles pga. uforudset teknisk fejl.</w:t>
              <w:br/>
              <w:t/>
              <w:br/>
              <w:t>Validering: Dubletkontrol på hovedoplysninger TransaktionsID</w:t>
              <w:br/>
              <w:t>Advisnummer: 990</w:t>
              <w:br/>
              <w:t>Reaktion: Kald behandles ikke da kald med angivet TransaktionsID allerede er behandlet</w:t>
              <w:br/>
              <w:t>Parameterliste: TransaktionsID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 synkron</w:t>
              <w:br/>
              <w:t>Frekvens: lav</w:t>
              <w:br/>
              <w:t>Volumen: middel</w:t>
              <w:br/>
              <w:t>Leverancesikkerhed: høj</w:t>
              <w:br/>
              <w:t>Kompencerende transaktion: ingen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EFIKøretøjTilAfgangMarkering</w:t>
            </w:r>
            <w:bookmarkStart w:name="EFIKøretøjTilAfga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Transient element der angiver om køretøjet er til afgang.</w:t>
              <w:br/>
              <w:t>(TRUE angiver at køretøjet er til afgang. FALSE angiver at køretøjet er til tilgang.)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KøretøjIdent</w:t>
            </w:r>
            <w:bookmarkStart w:name="KøretøjId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16</w:t>
              <w:br/>
              <w:t>pattern: ([0-9])*([\*]){0,1}</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KøretøjModelTypeNavn</w:t>
            </w:r>
            <w:bookmarkStart w:name="KøretøjModel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KøretøjMærkeTypeNavn</w:t>
            </w:r>
            <w:bookmarkStart w:name="KøretøjMærk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KøretøjOplysningFørsteRegistreringDato</w:t>
            </w:r>
            <w:bookmarkStart w:name="KøretøjOplysningFørsteRegistre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KøretøjOplysningStatus</w:t>
            </w:r>
            <w:bookmarkStart w:name="KøretøjOplysning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br/>
              <w:t>whitespace: preserve</w:t>
              <w:br/>
              <w:t>enumeration: UnderOprettelse, Oprettet, Registreret, Afmeldt, Eksportmarkering, Skrottet, Eksporteret, AdministrativOprettelse, Erklæretafimportør, Erklæretafimportørogforhandler, Slettet, HarGennemførtRegistreringssyn</w:t>
            </w:r>
          </w:p>
        </w:tc>
        <w:tc>
          <w:tcPr>
            <w:tcW w:type="dxa" w:w="4391"/>
            <w:tcMar>
              <w:top w:type="dxa" w:w="57"/>
              <w:bottom w:type="dxa" w:w="57"/>
            </w:tcMar>
          </w:tcPr>
          <w:p>
            <w:pPr>
              <w:rPr>
                <w:rFonts w:ascii="Arial" w:cs="Arial" w:hAnsi="Arial"/>
                <w:sz w:val="18"/>
              </w:rPr>
            </w:pPr>
            <w:r>
              <w:rPr>
                <w:rFonts w:ascii="Arial" w:cs="Arial" w:hAnsi="Arial"/>
                <w:sz w:val="18"/>
              </w:rPr>
              <w:t/>
              <w:t>Attributten definerer en status for et givet køretøj.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KøretøjOplysningStelNummer</w:t>
            </w:r>
            <w:bookmarkStart w:name="KøretøjOplysningSt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20</w:t>
              <w:br/>
              <w:t>pattern: ([A-ZÆØÅ0-9])*([\*]){0,1}</w:t>
            </w:r>
          </w:p>
        </w:tc>
        <w:tc>
          <w:tcPr>
            <w:tcW w:type="dxa" w:w="4391"/>
            <w:tcMar>
              <w:top w:type="dxa" w:w="57"/>
              <w:bottom w:type="dxa" w:w="57"/>
            </w:tcMar>
          </w:tcPr>
          <w:p>
            <w:pPr>
              <w:rPr>
                <w:rFonts w:ascii="Arial" w:cs="Arial" w:hAnsi="Arial"/>
                <w:sz w:val="18"/>
              </w:rPr>
            </w:pPr>
            <w:r>
              <w:rPr>
                <w:rFonts w:ascii="Arial" w:cs="Arial" w:hAnsi="Arial"/>
                <w:sz w:val="18"/>
              </w:rPr>
              <w:t/>
              <w:t>Ethvert registreringspligtigt køretøj kan være forsynet med 17-20-tegns stelnummer (VIN-mærkning). Det er den internationale standard.</w:t>
              <w:br/>
              <w:t/>
              <w:br/>
              <w:t>Bemærk at ikke alle køretøjer har det nye internationale format for stelnumre. Der er en del historiske stelnumre, som er mindre en 17 tegn lange. Der findes enkelte køretøjer, som ikke har noget stelnummer.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KøretøjVariantTypeNavn</w:t>
            </w:r>
            <w:bookmarkStart w:name="KøretøjVariant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RegistreringNummerNummer</w:t>
            </w:r>
            <w:bookmarkStart w:name="RegistreringNumme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2</w:t>
              <w:br/>
              <w:t>maxLength: 10</w:t>
              <w:br/>
              <w:t>pattern: ([A-Z0-9ÅÆØ])*([\*]){0,1}</w:t>
            </w:r>
          </w:p>
        </w:tc>
        <w:tc>
          <w:tcPr>
            <w:tcW w:type="dxa" w:w="4391"/>
            <w:tcMar>
              <w:top w:type="dxa" w:w="57"/>
              <w:bottom w:type="dxa" w:w="57"/>
            </w:tcMar>
          </w:tcPr>
          <w:p>
            <w:pPr>
              <w:rPr>
                <w:rFonts w:ascii="Arial" w:cs="Arial" w:hAnsi="Arial"/>
                <w:sz w:val="18"/>
              </w:rPr>
            </w:pPr>
            <w:r>
              <w:rPr>
                <w:rFonts w:ascii="Arial" w:cs="Arial" w:hAnsi="Arial"/>
                <w:sz w:val="18"/>
              </w:rPr>
              <w:t/>
              <w:t>Registreringsnummeret på en given plade eller licens m.v. Feltet understøtter også ønskerplader og udenlanske plader.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EFIBetalingEvneKøretøjModtag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