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IAIndsatsBetalingOrdningHent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1.4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udstiller hele betalingsordningsindsatsen til portalen.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IAIndsatsBetalingOrdningHent_I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IAIndsatsBetalingOrdningHent_O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*IAIndsatsBetalingOrdningHentStruktur*</w:t>
              <w:br/>
              <w:t>[</w:t>
              <w:br/>
              <w:t/>
              <w:tab/>
              <w:t>(SporSkabelonIndsatsSkabelonID)</w:t>
              <w:br/>
              <w:t/>
              <w:tab/>
              <w:t>IndsatsStartdato</w:t>
              <w:br/>
              <w:t/>
              <w:tab/>
              <w:t>*IndsatsOprettetAf*</w:t>
              <w:br/>
              <w:t/>
              <w:tab/>
              <w:t>[</w:t>
              <w:br/>
              <w:t/>
              <w:tab/>
              <w:t/>
              <w:tab/>
              <w:t>RessourceNummer</w:t>
              <w:br/>
              <w:t/>
              <w:tab/>
              <w:t>]</w:t>
              <w:br/>
              <w:t/>
              <w:tab/>
              <w:t>(IndsatsSlutdato)</w:t>
              <w:br/>
              <w:t/>
              <w:tab/>
              <w:t>IndsatsTypeKode</w:t>
              <w:br/>
              <w:t/>
              <w:tab/>
              <w:t>IndsatsUnderTypeKode</w:t>
              <w:br/>
              <w:t/>
              <w:tab/>
              <w:t>TilstandID</w:t>
              <w:br/>
              <w:t/>
              <w:tab/>
              <w:t>TilstandNavn</w:t>
              <w:br/>
              <w:t/>
              <w:tab/>
              <w:t>TilstandType</w:t>
              <w:br/>
              <w:t/>
              <w:tab/>
              <w:t>(BetalingOrdningID)</w:t>
              <w:br/>
              <w:t/>
              <w:tab/>
              <w:t>BetalingOrdningBSAccept</w:t>
              <w:br/>
              <w:t>]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BetalingOrdningBSAccept</w:t>
            </w:r>
            <w:bookmarkStart w:name="BetalingOrdningBSAccep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Definerer om der skal sendes BS meddelelse med</w:t>
              <w:br/>
              <w:t>Ja  = Der skal sendes BS meddelelse</w:t>
              <w:br/>
              <w:t>Nej = Der skal ikke sendes BS meddelelse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BetalingOrdningID</w:t>
            </w:r>
            <w:bookmarkStart w:name="BetalingOrdn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som indentificerer betalingsordningen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IAIndsatsBetalingOrdningHent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