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IAIndsatsBobehandlingKontaktOpret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01-06-2012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slette en kontakt i Bobehandlings indsatsen.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oprette en kontakt i indsatsen Bobehandling</w:t>
              <w:br/>
              <w:t/>
              <w:br/>
              <w:t>Servicen modtager data til oprettelse af kontakt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 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IAIndsatsBobehandlingKontaktOpret_I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  <w:br/>
              <w:t>BobehandlingGemKontaktStruktur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IAIndsatsBobehandlingKontaktOpret_O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/>
              <w:br/>
              <w:t>Validering: IndsatsID'et kan pege på en ikke eksisterende indsats.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BobehandlingGemKontaktStruktur</w:t>
            </w:r>
            <w:bookmarkStart w:name="BobehandlingGemKontak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*BobehandlingKontaktValg*</w:t>
              <w:br/>
              <w:t>[</w:t>
              <w:br/>
              <w:t/>
              <w:tab/>
              <w:t>*BobehandlingKunderepræsentant*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>]</w:t>
              <w:br/>
              <w:t/>
              <w:tab/>
              <w:t>|</w:t>
              <w:br/>
              <w:t/>
              <w:tab/>
              <w:t>*BobehandlingSamarbejdspartner*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IAIndsatsBobehandlingKontaktOpret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