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IAIndsatsKundeMødeHent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16-05-2011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udstiller hele kundemødeindsatsen til portalen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IAIndsatsKundeMødeHent_I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IAIndsatsKundeMødeHent_O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(SporSkabelonIndsatsSkabelonID)</w:t>
              <w:br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IndsatsTypeKode</w:t>
              <w:br/>
              <w:t>TilstandID</w:t>
              <w:br/>
              <w:t>TilstandNavn</w:t>
              <w:br/>
              <w:t>TilstandType</w:t>
              <w:br/>
              <w:t>(KundemødeDatoTid)</w:t>
              <w:br/>
              <w:t>(</w:t>
              <w:br/>
              <w:t/>
              <w:tab/>
              <w:t>*Sagsbehandler*</w:t>
              <w:br/>
              <w:t/>
              <w:tab/>
              <w:t>[</w:t>
              <w:br/>
              <w:t/>
              <w:tab/>
              <w:t/>
              <w:tab/>
              <w:t>RessourceNummer</w:t>
              <w:br/>
              <w:t/>
              <w:tab/>
              <w:t>]</w:t>
              <w:br/>
              <w:t>)</w:t>
              <w:br/>
              <w:t>(</w:t>
              <w:br/>
              <w:t/>
              <w:tab/>
              <w:t>*MødeAdresse*</w:t>
              <w:br/>
              <w:t/>
              <w:tab/>
              <w:t>[</w:t>
              <w:br/>
              <w:t/>
              <w:tab/>
              <w:t/>
              <w:tab/>
              <w:t>KFIAdresseStruktur</w:t>
              <w:br/>
              <w:t/>
              <w:tab/>
              <w:t>]</w:t>
              <w:br/>
              <w:t>)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KFIAdresseStruktur</w:t>
            </w:r>
            <w:bookmarkStart w:name="KFI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  <w:br/>
              <w:t>*AdresseValg*</w:t>
              <w:br/>
              <w:t>[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(AdresseFortløbendeNummer)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(AdresseByNavn)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(AdresseVejKode)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(AdresseGyldigFra)</w:t>
              <w:br/>
              <w:t/>
              <w:tab/>
              <w:t/>
              <w:tab/>
              <w:t>(AdresseGyldigTil)</w:t>
              <w:br/>
              <w:t/>
              <w:tab/>
              <w:t/>
              <w:tab/>
              <w:t>(LandKode)</w:t>
              <w:br/>
              <w:t/>
              <w:tab/>
              <w:t/>
              <w:tab/>
              <w:t>(MyndighedNummer)</w:t>
              <w:br/>
              <w:t/>
              <w:tab/>
              <w:t>]</w:t>
              <w:br/>
              <w:t/>
              <w:tab/>
              <w:t>|</w:t>
              <w:br/>
              <w:t/>
              <w:tab/>
              <w:t>*AlternativAdresse*</w:t>
              <w:br/>
              <w:t/>
              <w:tab/>
              <w:t>[</w:t>
              <w:br/>
              <w:t/>
              <w:tab/>
              <w:t/>
              <w:tab/>
              <w:t>(AlternativAdresseFortløbendeNummer)</w:t>
              <w:br/>
              <w:t/>
              <w:tab/>
              <w:t/>
              <w:tab/>
              <w:t>(AlternativAdresseAnvendelseKode)</w:t>
              <w:br/>
              <w:t/>
              <w:tab/>
              <w:t/>
              <w:tab/>
              <w:t>(AlternativAdresseAdresseLinie1)</w:t>
              <w:br/>
              <w:t/>
              <w:tab/>
              <w:t/>
              <w:tab/>
              <w:t>(AlternativAdresseAdresseLinie2)</w:t>
              <w:br/>
              <w:t/>
              <w:tab/>
              <w:t/>
              <w:tab/>
              <w:t>(AlternativAdresseAdresseLinie3)</w:t>
              <w:br/>
              <w:t/>
              <w:tab/>
              <w:t/>
              <w:tab/>
              <w:t>(AlternativAdresseAdresseLinie4)</w:t>
              <w:br/>
              <w:t/>
              <w:tab/>
              <w:t/>
              <w:tab/>
              <w:t>(AlternativAdresseAdresseLinie5)</w:t>
              <w:br/>
              <w:t/>
              <w:tab/>
              <w:t/>
              <w:tab/>
              <w:t>(AlternativAdresseAdresseLinie6)</w:t>
              <w:br/>
              <w:t/>
              <w:tab/>
              <w:t/>
              <w:tab/>
              <w:t>(AlternativAdresseAdresseLinie7)</w:t>
              <w:br/>
              <w:t/>
              <w:tab/>
              <w:t/>
              <w:tab/>
              <w:t>(AlternativAdresseGyldigFra)</w:t>
              <w:br/>
              <w:t/>
              <w:tab/>
              <w:t/>
              <w:tab/>
              <w:t>(AlternativAdresseGyldigTil)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(LandKode)</w:t>
              <w:br/>
              <w:t/>
              <w:tab/>
              <w:t>]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KundemødeDatoTid</w:t>
            </w:r>
            <w:bookmarkStart w:name="Kundemøde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Tiden for mødets afholdelse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IAIndsatsKundeMødeHent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