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KFIKundeOverfør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KFIKundeOverfoer anvendes til enten at skifte kundenummer og evt. kundetype på en kunde i EFI eller sammenlægning to AKR kunder i EFI.</w:t>
              <w:br/>
              <w:t/>
              <w:br/>
              <w:t>EFI opdaterer DMI og evt. AKR i overenstemmelse med valgene i input.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udfører skiftet fra den oprindelige EFI kundeidentifikation til den nye EFI kundeidentifikation efter følgende regler:</w:t>
              <w:br/>
              <w:t/>
              <w:br/>
              <w:t>1) Et CPR kundenummer kan skiftes til et andet CPR kundenummer</w:t>
              <w:br/>
              <w:t>2) Et AKR kundenummer kan skiftes til et CPR eller et SE kundenummer</w:t>
              <w:br/>
              <w:t>3) Et AKR kundenummer kan skiftes til et andet AKR kundenummer</w:t>
              <w:br/>
              <w:t/>
              <w:br/>
              <w:t>Servicen opretter en konto med alle hæftelsesforhold og beløb på det nye kundenummer i DMI, samt nedskriver alle hæftelsesforhold til 0 kr. på det tidligere kundenummer.</w:t>
              <w:br/>
              <w:t/>
              <w:br/>
              <w:t>Servicen opdaterer AKR ved hjælp af servicen AlternativKontaktOpdater med AlternativKontaktErstatningNummerStruktur og AlternativKontaktGyldigTil, hvis det er muligt efter forretningsreglerne i AKR.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oprettes ikke en ny kunde i EFI, og der sendes ingen hændelser til indsatserne. Indsatserne underrettes kun gennem evt. scoringshændelser. Der oprettes en ny inddrivelsessag i Captia på det nye kundenummer og kundenoter vedr. kundenummerskiftet i begge sager.</w:t>
              <w:br/>
              <w:t/>
              <w:br/>
              <w:t>Der sender en meddelelse om ændringen af kundenummeret til de fordringshavere, der har indsendt fordringer på det gamle kundenummer.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KFIKundeOverfør_I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*GammelKunde*</w:t>
              <w:br/>
              <w:t>[</w:t>
              <w:br/>
              <w:t/>
              <w:tab/>
              <w:t>EFIKundeIdentStruktur</w:t>
              <w:br/>
              <w:t>]</w:t>
              <w:br/>
              <w:t>*NyKunde*</w:t>
              <w:br/>
              <w:t>[</w:t>
              <w:br/>
              <w:t/>
              <w:tab/>
              <w:t>EFIKundeIdentStruktur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KFIKundeOverfør_O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Entitet  findes ikke</w:t>
              <w:br/>
              <w:t>Fejlnummer: 100.</w:t>
              <w:br/>
              <w:t>Reaktion:Den angivne kunde kan ikke findes.</w:t>
              <w:br/>
              <w:t/>
              <w:br/>
              <w:t>Validering:  Validerings fejl i input</w:t>
              <w:br/>
              <w:t>Fejlnummer: 200</w:t>
              <w:br/>
              <w:t>Reaktion: Der er fejl i input til service..</w:t>
              <w:br/>
              <w:t/>
              <w:br/>
              <w:t/>
              <w:br/>
              <w:t>Validering:  Ukendt kundetype</w:t>
              <w:br/>
              <w:t>Fejlnummer: 210</w:t>
              <w:br/>
              <w:t>Reaktion EFI kender ikke kundetype angivet i input 200 Valideringsfejl på input.</w:t>
              <w:br/>
              <w:t>Validering: Ukendt kundetype</w:t>
              <w:br/>
              <w:t/>
              <w:br/>
              <w:t>Validering: Teknisk fejl</w:t>
              <w:br/>
              <w:t>Fejlnummer: 900</w:t>
              <w:br/>
              <w:t>Reaktion: Systemadministrator skal undersøge årsag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KFIKundeOverfør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